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Investment Memo — Krystal Biotech, Inc. (NASDAQ: KRYS)</w:t>
      </w:r>
    </w:p>
    <w:p>
      <w:pPr>
        <w:spacing w:after="40"/>
      </w:pPr>
      <w:r>
        <w:rPr>
          <w:i/>
          <w:iCs/>
          <w:sz w:val="22"/>
          <w:szCs w:val="22"/>
        </w:rPr>
        <w:t xml:space="preserve">Framework: Bull / Base / Bear scenario analysis  •  Horizon: 1–3 years</w:t>
      </w:r>
    </w:p>
    <w:p>
      <w:pPr>
        <w:tabs>
          <w:tab w:val="right" w:pos="9026"/>
        </w:tabs>
        <w:spacing w:after="240"/>
      </w:pPr>
      <w:r>
        <w:rPr>
          <w:color w:val="595959"/>
          <w:sz w:val="20"/>
          <w:szCs w:val="20"/>
        </w:rPr>
        <w:t xml:space="preserve">Prepared for: Ann  |  Sector: Genetic medicine / rare disease</w:t>
      </w:r>
      <w:r>
        <w:rPr>
          <w:color w:val="595959"/>
          <w:sz w:val="20"/>
          <w:szCs w:val="20"/>
        </w:rPr>
        <w:t xml:space="preserve">	April 17, 2026</w:t>
      </w:r>
    </w:p>
    <w:p>
      <w:pPr>
        <w:pStyle w:val="Heading1"/>
      </w:pPr>
      <w:r>
        <w:t xml:space="preserve">Executive Summary</w:t>
      </w:r>
    </w:p>
    <w:p>
      <w:pPr>
        <w:spacing w:after="120"/>
      </w:pPr>
      <w:r>
        <w:t xml:space="preserve">Krystal Biotech (KRYS) is a commercial-stage genetic medicine company whose lead asset, VYJUVEK — the first FDA-approved redosable gene therapy — delivers functional COL7A1 to patients with dystrophic epidermolysis bullosa (DEB). FY2025 revenue reached $389.1M (+34% YoY) on a 93% gross margin, and the company reported its first full year of positive operating income and ROIC in 2024, with free cash flow of ~$189M in the trailing twelve months. Cash and investments stood at ~$956M at YE2025.</w:t>
      </w:r>
    </w:p>
    <w:p>
      <w:pPr>
        <w:spacing w:after="120"/>
      </w:pPr>
      <w:r>
        <w:t xml:space="preserve">At ~$264/share and a $7.7B market cap, KRYS trades at roughly 15x forward revenue and ~40x trailing earnings — a premium multiple that prices in successful EU/Japan ramps and early pipeline de-risking, but not a failed readout or competitive disruption. Applying a Bull/Base/Bear framework over a 1–3 year horizon, my probability-weighted 12–24 month price target is approximately $305, implying ~15% upside from current levels, with a highly asymmetric bull case.</w:t>
      </w:r>
    </w:p>
    <w:p>
      <w:pPr>
        <w:spacing w:after="120"/>
      </w:pPr>
      <w:r>
        <w:t xml:space="preserve">Bottom line: this is a quality compounder at a full price. I would own a core position and use any mid-year weakness (likely around KB801 / KB803 readouts, H2 2026) to add. The medium-term setup is attractive because the most material catalysts cluster within the 12–24 month window.</w:t>
      </w:r>
    </w:p>
    <w:p>
      <w:pPr>
        <w:pStyle w:val="Heading1"/>
      </w:pPr>
      <w:r>
        <w:t xml:space="preserve">Company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b/>
                <w:bCs/>
                <w:color w:val="FFFFFF"/>
              </w:rPr>
              <w:t xml:space="preserve">Metric</w:t>
            </w:r>
          </w:p>
        </w:tc>
        <w:tc>
          <w:tcPr>
            <w:tcW w:type="dxa" w:w="26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b/>
                <w:bCs/>
                <w:color w:val="FFFFFF"/>
              </w:rPr>
              <w:t xml:space="preserve">Value</w:t>
            </w:r>
          </w:p>
        </w:tc>
        <w:tc>
          <w:tcPr>
            <w:tcW w:type="dxa" w:w="41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b/>
                <w:bCs/>
                <w:color w:val="FFFFFF"/>
              </w:rPr>
              <w:t xml:space="preserve">Note</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rPr>
              <w:t xml:space="preserve">Ticker</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NASDAQ: KRYS</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Commercial-stage biotech</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Price (Apr 16, 2026)</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$263.98</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52-wk range $122.80–$298.30</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rPr>
              <w:t xml:space="preserve">Market cap</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~$7.72B</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~29.3M shares out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Enterprise value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~$6.77B</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Net cash ~$947M (~$32/sh)</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rPr>
              <w:t xml:space="preserve">FY2025 revenue</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$389.1M</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+34% YoY; all VYJUVEK</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FY2025 gross margin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~93%</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Rare-disease gene therapy economics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rPr>
              <w:t xml:space="preserve">TTM FCF</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~$189M</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OCF $201M – capex $12M</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Cash &amp; investments (YE25)</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~$956M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vs. $750M YE24; fully funded to all programs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rPr>
              <w:t xml:space="preserve">ROIC</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~39% (trailing)</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First full positive year: 2024</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2026 opex guidance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$175–$195M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Non-GAAP R&amp;D + SG&amp;A</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rPr>
              <w:t xml:space="preserve">Analyst consensus</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Strong Buy</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Avg PT $297–$329; Jefferies $371</w:t>
            </w:r>
          </w:p>
        </w:tc>
      </w:tr>
    </w:tbl>
    <w:p>
      <w:r>
        <w:t xml:space="preserve"/>
      </w:r>
    </w:p>
    <w:p>
      <w:pPr>
        <w:pStyle w:val="Heading1"/>
      </w:pPr>
      <w:r>
        <w:t xml:space="preserve">Why Now</w:t>
      </w:r>
    </w:p>
    <w:p>
      <w:pPr>
        <w:spacing w:after="120"/>
      </w:pPr>
      <w:r>
        <w:t xml:space="preserve">KRYS is at a rare biotech inflection: the lead asset is commercially proven, the business is profitable with a fortress balance sheet, and the next leg of growth comes from two independent, high-conviction drivers — (1) international expansion of VYJUVEK into Europe and Japan, and (2) a cluster of registrational readouts across respiratory, ophthalmic, and oncology programs over the next 18 months. The positive ROIC inflection in 2024 shifts the stock from speculative biotech to compounding specialty-pharma with embedded platform optionality from the HSV-1 vector.</w:t>
      </w:r>
    </w:p>
    <w:p>
      <w:pPr>
        <w:spacing w:after="120"/>
      </w:pPr>
      <w:r>
        <w:rPr>
          <w:b/>
          <w:bCs/>
        </w:rPr>
        <w:t xml:space="preserve">Three reasons the 1–3 year horizon is the right window:</w:t>
      </w:r>
    </w:p>
    <w:p>
      <w:pPr>
        <w:pStyle w:val="ListParagraph"/>
        <w:numPr>
          <w:ilvl w:val="0"/>
          <w:numId w:val="2"/>
        </w:numPr>
      </w:pPr>
      <w:r>
        <w:t xml:space="preserve">VYJUVEK ex-US ramp is just starting: Germany launched in late August 2025 (~20 patients dosed; ~90 across DE/FR/JP by YE25). Italy comes online in H2 2026, with distributor agreements covering 20+ countries and a goal of 40+ markets in 2026.</w:t>
      </w:r>
    </w:p>
    <w:p>
      <w:pPr>
        <w:pStyle w:val="ListParagraph"/>
        <w:numPr>
          <w:ilvl w:val="0"/>
          <w:numId w:val="2"/>
        </w:numPr>
      </w:pPr>
      <w:r>
        <w:t xml:space="preserve">Pipeline inflection in 2026: registrational Phase 3 readouts for KB801 (neurotrophic keratitis) and KB803 (ocular complications of DEB); KB407 CORAL-3 enrollment starting 2Q26; KB707 NSCLC interim in H2 2026 (FDA RMAT designation granted Feb 2026).</w:t>
      </w:r>
    </w:p>
    <w:p>
      <w:pPr>
        <w:pStyle w:val="ListParagraph"/>
        <w:numPr>
          <w:ilvl w:val="0"/>
          <w:numId w:val="2"/>
        </w:numPr>
      </w:pPr>
      <w:r>
        <w:t xml:space="preserve">Cash-funded to every catalyst: at $956M of cash + $189M TTM FCF, the company can self-fund the full pipeline without dilution through peak R&amp;D.</w:t>
      </w:r>
    </w:p>
    <w:p>
      <w:pPr>
        <w:pStyle w:val="Heading1"/>
      </w:pPr>
      <w:r>
        <w:t xml:space="preserve">Bull / Base / Bear Scenarios (1–3 year horizon)</w:t>
      </w:r>
    </w:p>
    <w:p>
      <w:pPr>
        <w:spacing w:after="120"/>
      </w:pPr>
      <w:r>
        <w:t xml:space="preserve">Scenarios are anchored on three variables: (1) VYJUVEK global revenue trajectory to 2028, (2) pipeline de-risking (KB801, KB803, KB407, KB707), and (3) the multiple the market is willing to pay. Current price ($264) is between base and bull outcomes.</w:t>
      </w:r>
    </w:p>
    <w:p>
      <w:pPr>
        <w:pStyle w:val="Heading2"/>
      </w:pPr>
      <w:r>
        <w:t xml:space="preserve">Scenario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2300"/>
        <w:gridCol w:w="2300"/>
        <w:gridCol w:w="2300"/>
      </w:tblGrid>
      <w:tr>
        <w:trPr>
          <w:tblHeader/>
        </w:trPr>
        <w:tc>
          <w:tcPr>
            <w:tcW w:type="dxa" w:w="24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b/>
                <w:bCs/>
                <w:color w:val="FFFFFF"/>
              </w:rPr>
              <w:t xml:space="preserve"/>
            </w:r>
          </w:p>
        </w:tc>
        <w:tc>
          <w:tcPr>
            <w:tcW w:type="dxa" w:w="2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b/>
                <w:bCs/>
                <w:color w:val="FFFFFF"/>
              </w:rPr>
              <w:t xml:space="preserve">Bear</w:t>
            </w:r>
          </w:p>
        </w:tc>
        <w:tc>
          <w:tcPr>
            <w:tcW w:type="dxa" w:w="2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b/>
                <w:bCs/>
                <w:color w:val="FFFFFF"/>
              </w:rPr>
              <w:t xml:space="preserve">Base</w:t>
            </w:r>
          </w:p>
        </w:tc>
        <w:tc>
          <w:tcPr>
            <w:tcW w:type="dxa" w:w="2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b/>
                <w:bCs/>
                <w:color w:val="FFFFFF"/>
              </w:rPr>
              <w:t xml:space="preserve">Bull</w:t>
            </w:r>
          </w:p>
        </w:tc>
      </w:tr>
      <w:tr>
        <w:tc>
          <w:tcPr>
            <w:tcW w:type="dxa" w:w="2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rPr>
              <w:t xml:space="preserve">Probability</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20%</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55%</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25%</w:t>
            </w:r>
          </w:p>
        </w:tc>
      </w:tr>
      <w:tr>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2026E revenue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$470M</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$510M</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$555M</w:t>
            </w:r>
          </w:p>
        </w:tc>
      </w:tr>
      <w:tr>
        <w:tc>
          <w:tcPr>
            <w:tcW w:type="dxa" w:w="2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rPr>
              <w:t xml:space="preserve">2027E revenue</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$550M</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$640M</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$745M</w:t>
            </w:r>
          </w:p>
        </w:tc>
      </w:tr>
      <w:tr>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2028E revenue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$610M</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$775M</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$950M</w:t>
            </w:r>
          </w:p>
        </w:tc>
      </w:tr>
      <w:tr>
        <w:tc>
          <w:tcPr>
            <w:tcW w:type="dxa" w:w="2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rPr>
              <w:t xml:space="preserve">VYJUVEK peak US</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~$475M</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~$575M</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~$650M</w:t>
            </w:r>
          </w:p>
        </w:tc>
      </w:tr>
      <w:tr>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VYJUVEK peak ex-US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~$150M</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~$275M</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~$425M</w:t>
            </w:r>
          </w:p>
        </w:tc>
      </w:tr>
      <w:tr>
        <w:tc>
          <w:tcPr>
            <w:tcW w:type="dxa" w:w="2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rPr>
              <w:t xml:space="preserve">Pipeline NPV credit</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$0</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$15/sh</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$45/sh</w:t>
            </w:r>
          </w:p>
        </w:tc>
      </w:tr>
      <w:tr>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EV / 2028E revenue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8x</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11x</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13x</w:t>
            </w:r>
          </w:p>
        </w:tc>
      </w:tr>
      <w:tr>
        <w:tc>
          <w:tcPr>
            <w:tcW w:type="dxa" w:w="2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rPr>
              <w:t xml:space="preserve">Implied EV</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$4.9B</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$8.5B</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$12.4B</w:t>
            </w:r>
          </w:p>
        </w:tc>
      </w:tr>
      <w:tr>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 Net cash ($/sh)</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$32</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$32</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$32</w:t>
            </w:r>
          </w:p>
        </w:tc>
      </w:tr>
      <w:tr>
        <w:tc>
          <w:tcPr>
            <w:tcW w:type="dxa" w:w="2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rPr>
              <w:t xml:space="preserve">12–24mo price target</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$180</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$305</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$470</w:t>
            </w:r>
          </w:p>
        </w:tc>
      </w:tr>
      <w:tr>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Return vs. $264</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–32%</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+16%</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+78%</w:t>
            </w:r>
          </w:p>
        </w:tc>
      </w:tr>
    </w:tbl>
    <w:p>
      <w:r>
        <w:t xml:space="preserve"/>
      </w:r>
    </w:p>
    <w:p>
      <w:pPr>
        <w:spacing w:after="120"/>
      </w:pPr>
      <w:r>
        <w:rPr>
          <w:b/>
          <w:bCs/>
        </w:rPr>
        <w:t xml:space="preserve">Probability-weighted target: </w:t>
      </w:r>
      <w:r>
        <w:t xml:space="preserve">(0.20 × $180) + (0.55 × $305) + (0.25 × $470) = ~$320  →  ~21% expected return over 12–24 months from $264.</w:t>
      </w:r>
    </w:p>
    <w:p>
      <w:pPr>
        <w:pStyle w:val="Heading2"/>
      </w:pPr>
      <w:r>
        <w:t xml:space="preserve">Bull Case ($470 PT, ~25% probability)</w:t>
      </w:r>
    </w:p>
    <w:p>
      <w:pPr>
        <w:spacing w:after="120"/>
      </w:pPr>
      <w:r>
        <w:t xml:space="preserve">Drivers: VYJUVEK US continues to grow mid-teens through broader label uptake (September 2025 label expansion covers DEB from birth with flexible application). Germany pricing closes at or above $500k/yr equivalent in H2 2026; Italy launches on schedule; Japan reimbursement secures a premium price consistent with local orphan precedents. At least one of KB801 or KB803 hits in 2026–2027, adding a $200–400M peak-sales opportunity each. KB707 NSCLC interim in H2 2026 confirms ORR ≥30% with durability, unlocking pivotal trial and a separate oncology-platform value leg.</w:t>
      </w:r>
    </w:p>
    <w:p>
      <w:pPr>
        <w:spacing w:after="120"/>
      </w:pPr>
      <w:r>
        <w:t xml:space="preserve">2028 revenue ~$950M at ~13x EV/Sales = $12.4B enterprise value. Add net cash ~$947M → ~$13.4B equity → ~$455/share, plus $15/share pipeline credit from remaining late-stage optionality = ~$470.</w:t>
      </w:r>
    </w:p>
    <w:p>
      <w:pPr>
        <w:pStyle w:val="Heading2"/>
      </w:pPr>
      <w:r>
        <w:t xml:space="preserve">Base Case ($305 PT, ~55% probability)</w:t>
      </w:r>
    </w:p>
    <w:p>
      <w:pPr>
        <w:spacing w:after="120"/>
      </w:pPr>
      <w:r>
        <w:t xml:space="preserve">Drivers: US VYJUVEK plateaus ~$550–$600M as the ~3,500-patient diagnosed pool saturates. EU/Japan ramp proceeds, but German pricing negotiations drag into late 2026 and French into 2027 (company already guided to this). Italy launches on time. Pipeline delivers one meaningful win (e.g., KB801 NK) and one miss or delay. KB407 CF moves to registrational CORAL-3 with enrollment in 2Q26 but no pivotal data within the horizon.</w:t>
      </w:r>
    </w:p>
    <w:p>
      <w:pPr>
        <w:spacing w:after="120"/>
      </w:pPr>
      <w:r>
        <w:t xml:space="preserve">2028 revenue ~$775M at ~11x = $8.5B EV, + $947M cash = $9.4B equity ≈ $320/share, less modest discount for execution risk; base PT ~$305. This roughly matches current sell-side consensus ($298–$329).</w:t>
      </w:r>
    </w:p>
    <w:p>
      <w:pPr>
        <w:pStyle w:val="Heading2"/>
      </w:pPr>
      <w:r>
        <w:t xml:space="preserve">Bear Case ($180 PT, ~20% probability)</w:t>
      </w:r>
    </w:p>
    <w:p>
      <w:pPr>
        <w:spacing w:after="120"/>
      </w:pPr>
      <w:r>
        <w:t xml:space="preserve">Drivers: Abeona's ZEVASKYN (pz-cel, approved April 2025, launched Q3 2025 at $3.1M/procedure) captures more RDEB patients than expected, limiting VYJUVEK US growth. European reimbursement negotiations conclude at materially lower prices than US (~$200–300k equivalent) or stretch past 2027. One or more of KB801/KB803 fail to meet primary endpoints, rerating the pipeline NPV to zero. Safety signal or manufacturing issue surfaces.</w:t>
      </w:r>
    </w:p>
    <w:p>
      <w:pPr>
        <w:spacing w:after="120"/>
      </w:pPr>
      <w:r>
        <w:t xml:space="preserve">2028 revenue ~$610M at ~8x = $4.9B EV, + cash $947M = $5.85B equity ≈ $200/share; apply a sentiment discount for single-product risk → PT ~$180 (about the mid-point of 2024's price range).</w:t>
      </w:r>
    </w:p>
    <w:p>
      <w:pPr>
        <w:pStyle w:val="Heading1"/>
      </w:pPr>
      <w:r>
        <w:t xml:space="preserve">Key Drivers Deep-Dive</w:t>
      </w:r>
    </w:p>
    <w:p>
      <w:pPr>
        <w:pStyle w:val="Heading2"/>
      </w:pPr>
      <w:r>
        <w:t xml:space="preserve">1. VYJUVEK — the commercial engine</w:t>
      </w:r>
    </w:p>
    <w:p>
      <w:pPr>
        <w:spacing w:after="120"/>
      </w:pPr>
      <w:r>
        <w:t xml:space="preserve">VYJUVEK is the first FDA-approved redosable gene therapy (May 2023), European Commission approved (April 23, 2025), and Japan MHLW approved (July 25, 2025). It is a topical HSV-1 based gene therapy delivering two functional copies of COL7A1, applied weekly by a caregiver. Pricing is ~$631k/patient/year in the US. Reimbursement is essentially solved in the US: 575+ payer approvals as of July 2025, with positive access determinations covering 97% of commercial and Medicaid lives.</w:t>
      </w:r>
    </w:p>
    <w:p>
      <w:pPr>
        <w:spacing w:after="120"/>
      </w:pPr>
      <w:r>
        <w:t xml:space="preserve">The September 2025 label expansion to all ages from birth and flexible application/dressing management is commercially meaningful — it removes a point-of-care friction that limited neonatal initiation and caregiver preference.</w:t>
      </w:r>
    </w:p>
    <w:p>
      <w:pPr>
        <w:pStyle w:val="Heading2"/>
      </w:pPr>
      <w:r>
        <w:t xml:space="preserve">2. International expansion</w:t>
      </w:r>
    </w:p>
    <w:p>
      <w:pPr>
        <w:spacing w:after="120"/>
      </w:pPr>
      <w:r>
        <w:t xml:space="preserve">Germany was the first ex-US launch (late August 2025, ~20 patients dosed by Q4). By YE2025, ~90 patients across Germany, France, and Japan were on therapy. Italy is guided as the third European market in H2 2026. The company has distributor agreements covering 20+ countries with a goal of 40+ markets in 2026. Management has explicitly flagged that overseas expansion is the primary 2026 growth driver.</w:t>
      </w:r>
    </w:p>
    <w:p>
      <w:pPr>
        <w:spacing w:after="120"/>
      </w:pPr>
      <w:r>
        <w:t xml:space="preserve">The known unknown: pricing. Germany reimbursement negotiations run until at least H2 2026, France until at least 2027. Any settlement materially below the US price will compress the ex-US revenue upside in my Base/Bull math.</w:t>
      </w:r>
    </w:p>
    <w:p>
      <w:pPr>
        <w:pStyle w:val="Heading2"/>
      </w:pPr>
      <w:r>
        <w:t xml:space="preserve">3. Pipeline — a cluster of 2026–2027 readouts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3060"/>
      </w:tblGrid>
      <w:tr>
        <w:trPr>
          <w:tblHeader/>
        </w:trPr>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b/>
                <w:bCs/>
                <w:color w:val="FFFFFF"/>
              </w:rPr>
              <w:t xml:space="preserve">Program</w:t>
            </w:r>
          </w:p>
        </w:tc>
        <w:tc>
          <w:tcPr>
            <w:tcW w:type="dxa" w:w="2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b/>
                <w:bCs/>
                <w:color w:val="FFFFFF"/>
              </w:rPr>
              <w:t xml:space="preserve">Indication</w:t>
            </w:r>
          </w:p>
        </w:tc>
        <w:tc>
          <w:tcPr>
            <w:tcW w:type="dxa" w:w="2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b/>
                <w:bCs/>
                <w:color w:val="FFFFFF"/>
              </w:rPr>
              <w:t xml:space="preserve">Stage</w:t>
            </w:r>
          </w:p>
        </w:tc>
        <w:tc>
          <w:tcPr>
            <w:tcW w:type="dxa" w:w="30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b/>
                <w:bCs/>
                <w:color w:val="FFFFFF"/>
              </w:rPr>
              <w:t xml:space="preserve">Next catalyst (expected)</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rPr>
              <w:t xml:space="preserve">VYJUVEK label</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DEB (global)</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Commercial</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Italy launch 2H26; 40+ countries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KB801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Neurotrophic keratitis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Registrational Ph3 (double-masked, placebo)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Top-line 2026</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rPr>
              <w:t xml:space="preserve">KB803</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Ocular complications of DEB</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Registrational Ph3</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Top-line 2026</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KB407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Cystic fibrosis (inhaled)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Phase 1 positive → CORAL-3 registrational</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CORAL-3 enrollment 2Q26</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rPr>
              <w:t xml:space="preserve">KB408</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AATD</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Early clinical (gene delivery confirmed)</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Update 2H26</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KB707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NSCLC (inhaled) + intratumoral</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FDA RMAT Feb 2026; 36% ORR in pretreated</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Interim H2 2026; single pivotal possible</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rPr>
              <w:t xml:space="preserve">KB304 (Jeune)</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Aesthetics (décolleté)</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FDA-aligned scale</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Phase 2 start in 2027</w:t>
            </w:r>
          </w:p>
        </w:tc>
      </w:tr>
    </w:tbl>
    <w:p>
      <w:r>
        <w:t xml:space="preserve"/>
      </w:r>
    </w:p>
    <w:p>
      <w:pPr>
        <w:pStyle w:val="Heading2"/>
      </w:pPr>
      <w:r>
        <w:t xml:space="preserve">4. Competitive landscape</w:t>
      </w:r>
    </w:p>
    <w:p>
      <w:pPr>
        <w:spacing w:after="120"/>
      </w:pPr>
      <w:r>
        <w:t xml:space="preserve">The only direct DEB competitor is Abeona's ZEVASKYN (pz-cel / EB-101), FDA-approved April 2025 as the first autologous gene-modified cell therapy for RDEB. ZEVASKYN is a surgically-applied, one-time product priced at ~$3.1M per procedure; it only addresses recessive DEB (roughly half the DEB population) and requires a qualified treatment center. VYJUVEK, by contrast, is non-invasive, redosable, works across dominant and recessive DEB, and can be administered at home. The two are more complementary than substitutive in the medium term, but ZEVASKYN does create a discrete ceiling on VYJUVEK's US penetration among severe RDEB wound-focused patients.</w:t>
      </w:r>
    </w:p>
    <w:p>
      <w:pPr>
        <w:pStyle w:val="Heading2"/>
      </w:pPr>
      <w:r>
        <w:t xml:space="preserve">5. ROIC inflection and unit economics</w:t>
      </w:r>
    </w:p>
    <w:p>
      <w:pPr>
        <w:spacing w:after="120"/>
      </w:pPr>
      <w:r>
        <w:t xml:space="preserve">2024 was the first full year of positive operating income ($65.7M vs. -$109.7M in 2023) and positive ROIC (now ~39% on a trailing basis per GuruFocus). This is the single most important qualitative change in the thesis: KRYS is no longer a story stock, it is a self-funding compounder. 93% gross margin, low capex (~$12M TTM), and $956M cash make the pipeline essentially free-carried.</w:t>
      </w:r>
    </w:p>
    <w:p>
      <w:pPr>
        <w:pStyle w:val="Heading1"/>
      </w:pPr>
      <w:r>
        <w:t xml:space="preserve">Catalyst Calendar (next 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rPr>
          <w:tblHeader/>
        </w:trPr>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b/>
                <w:bCs/>
                <w:color w:val="FFFFFF"/>
              </w:rPr>
              <w:t xml:space="preserve">Timing</w:t>
            </w:r>
          </w:p>
        </w:tc>
        <w:tc>
          <w:tcPr>
            <w:tcW w:type="dxa" w:w="5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b/>
                <w:bCs/>
                <w:color w:val="FFFFFF"/>
              </w:rPr>
              <w:t xml:space="preserve">Catalyst</w:t>
            </w:r>
          </w:p>
        </w:tc>
        <w:tc>
          <w:tcPr>
            <w:tcW w:type="dxa" w:w="23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left"/>
            </w:pPr>
            <w:r>
              <w:rPr>
                <w:b/>
                <w:bCs/>
                <w:color w:val="FFFFFF"/>
              </w:rPr>
              <w:t xml:space="preserve">Expected direction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rPr>
              <w:t xml:space="preserve">Q2 2026</w:t>
            </w:r>
          </w:p>
        </w:tc>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Q1 2026 earnings — ex-US ramp &amp; German price signal</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Incrementally positive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Q2 2026</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KB407 CORAL-3 FDA alignment + enrollment start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Confirms registrational path</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rPr>
              <w:t xml:space="preserve">H1 2026</w:t>
            </w:r>
          </w:p>
        </w:tc>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KB803 pivotal Ph3 top-line (ocular DEB)</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Binary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H1 2026</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KB801 pivotal Ph3 top-line (neurotrophic keratitis)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Binary</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rPr>
              <w:t xml:space="preserve">H2 2026</w:t>
            </w:r>
          </w:p>
        </w:tc>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Italy launch of VYJUVEK (third EU market)</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Positive if on schedule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H2 2026</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KB707 NSCLC interim (KYANITE-1)</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Platform-value inflection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rPr>
              <w:t xml:space="preserve">H2 2026</w:t>
            </w:r>
          </w:p>
        </w:tc>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Germany pricing decision</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Material to 2027 revenue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2H 2026</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KB408 AATD update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Optionality</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rPr>
              <w:t xml:space="preserve">2027</w:t>
            </w:r>
          </w:p>
        </w:tc>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France pricing; more EU launches; possible KB407 pivotal data</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rPr>
              <w:t xml:space="preserve">Mostly base-case support</w:t>
            </w:r>
          </w:p>
        </w:tc>
      </w:tr>
    </w:tbl>
    <w:p>
      <w:r>
        <w:t xml:space="preserve"/>
      </w:r>
    </w:p>
    <w:p>
      <w:pPr>
        <w:pStyle w:val="Heading1"/>
      </w:pPr>
      <w:r>
        <w:t xml:space="preserve">Key Risks</w:t>
      </w:r>
    </w:p>
    <w:p>
      <w:pPr>
        <w:pStyle w:val="ListParagraph"/>
        <w:numPr>
          <w:ilvl w:val="0"/>
          <w:numId w:val="2"/>
        </w:numPr>
      </w:pPr>
      <w:r>
        <w:t xml:space="preserve">Single-product concentration: ~100% of revenue is VYJUVEK. A safety signal or manufacturing disruption would be thesis-breaking.</w:t>
      </w:r>
    </w:p>
    <w:p>
      <w:pPr>
        <w:pStyle w:val="ListParagraph"/>
        <w:numPr>
          <w:ilvl w:val="0"/>
          <w:numId w:val="2"/>
        </w:numPr>
      </w:pPr>
      <w:r>
        <w:t xml:space="preserve">Ex-US pricing: EU/Japan reimbursement at materially lower prices than US compresses Bull-case math. Germany and France explicitly extend into 2H26 / 2027.</w:t>
      </w:r>
    </w:p>
    <w:p>
      <w:pPr>
        <w:pStyle w:val="ListParagraph"/>
        <w:numPr>
          <w:ilvl w:val="0"/>
          <w:numId w:val="2"/>
        </w:numPr>
      </w:pPr>
      <w:r>
        <w:t xml:space="preserve">Pipeline binary: KB801 and KB803 are both registrational Ph3 with 2026 readouts. A double miss would reset pipeline NPV to near zero and put the bear case in play.</w:t>
      </w:r>
    </w:p>
    <w:p>
      <w:pPr>
        <w:pStyle w:val="ListParagraph"/>
        <w:numPr>
          <w:ilvl w:val="0"/>
          <w:numId w:val="2"/>
        </w:numPr>
      </w:pPr>
      <w:r>
        <w:t xml:space="preserve">Competitive: Abeona's ZEVASKYN launch cadence could surprise to the upside, capping VYJUVEK US penetration in severe RDEB.</w:t>
      </w:r>
    </w:p>
    <w:p>
      <w:pPr>
        <w:pStyle w:val="ListParagraph"/>
        <w:numPr>
          <w:ilvl w:val="0"/>
          <w:numId w:val="2"/>
        </w:numPr>
      </w:pPr>
      <w:r>
        <w:t xml:space="preserve">Valuation: ~40x trailing earnings and ~15x forward revenue leaves little margin for error if EU ramp or pivotal readouts disappoint.</w:t>
      </w:r>
    </w:p>
    <w:p>
      <w:pPr>
        <w:pStyle w:val="ListParagraph"/>
        <w:numPr>
          <w:ilvl w:val="0"/>
          <w:numId w:val="2"/>
        </w:numPr>
      </w:pPr>
      <w:r>
        <w:t xml:space="preserve">Key-person risk: CEO Krish Krishnan (since Dec 2015) and President R&amp;D Suma Krishnan are central to the platform; founder-led companies carry succession risk.</w:t>
      </w:r>
    </w:p>
    <w:p>
      <w:pPr>
        <w:pStyle w:val="Heading1"/>
      </w:pPr>
      <w:r>
        <w:t xml:space="preserve">Bottom Line</w:t>
      </w:r>
    </w:p>
    <w:p>
      <w:pPr>
        <w:spacing w:after="120"/>
      </w:pPr>
      <w:r>
        <w:t xml:space="preserve">KRYS is a high-quality, cash-generative, rare-disease franchise with embedded gene-therapy platform optionality, trading at a premium multiple that is earned — but not cheap. Over a 1–3 year horizon the risk/reward is positively skewed: ~20% expected return on a probability-weighted basis, with a ~+78% bull case if even one of the 2026 pivotal readouts hits and ex-US pricing settles at a reasonable level, against a ~–32% bear if competition and pricing both disappoint.</w:t>
      </w:r>
    </w:p>
    <w:p>
      <w:pPr>
        <w:spacing w:after="120"/>
      </w:pPr>
      <w:r>
        <w:t xml:space="preserve">Positioning recommendation (for discussion, not advice): core-weight long; add on pullbacks into the $220–$240 zone, which historically coincides with pre-readout risk-off; trim above ~$340 absent a clear pipeline win.</w:t>
      </w:r>
    </w:p>
    <w:p>
      <w:r>
        <w:t xml:space="preserve"/>
      </w:r>
    </w:p>
    <w:p>
      <w:pPr>
        <w:pStyle w:val="Heading2"/>
      </w:pPr>
      <w:r>
        <w:t xml:space="preserve">Sources (primary)</w:t>
      </w:r>
    </w:p>
    <w:p>
      <w:pPr>
        <w:pStyle w:val="ListParagraph"/>
        <w:numPr>
          <w:ilvl w:val="0"/>
          <w:numId w:val="2"/>
        </w:numPr>
      </w:pPr>
      <w:r>
        <w:t xml:space="preserve">Krystal Biotech IR — Q4/FY2024 (Feb 2025), Q4/FY2025 (Feb 2026), J.P. Morgan Healthcare Conference business update (Jan 2026)</w:t>
      </w:r>
    </w:p>
    <w:p>
      <w:pPr>
        <w:pStyle w:val="ListParagraph"/>
        <w:numPr>
          <w:ilvl w:val="0"/>
          <w:numId w:val="2"/>
        </w:numPr>
      </w:pPr>
      <w:r>
        <w:t xml:space="preserve">SEC 10-K FY2024 &amp; FY2025</w:t>
      </w:r>
    </w:p>
    <w:p>
      <w:pPr>
        <w:pStyle w:val="ListParagraph"/>
        <w:numPr>
          <w:ilvl w:val="0"/>
          <w:numId w:val="2"/>
        </w:numPr>
      </w:pPr>
      <w:r>
        <w:t xml:space="preserve">Press releases: EC approval (Apr 23, 2025), Japan MHLW approval (Jul 25, 2025), FDA label expansion (Sep 2025), KB707 RMAT designation (Feb 2026), KB407 interim (Jan 2026)</w:t>
      </w:r>
    </w:p>
    <w:p>
      <w:pPr>
        <w:pStyle w:val="ListParagraph"/>
        <w:numPr>
          <w:ilvl w:val="0"/>
          <w:numId w:val="2"/>
        </w:numPr>
      </w:pPr>
      <w:r>
        <w:t xml:space="preserve">Abeona Therapeutics — ZEVASKYN FDA approval (Apr 28, 2025), Q1 2025 results</w:t>
      </w:r>
    </w:p>
    <w:p>
      <w:pPr>
        <w:pStyle w:val="ListParagraph"/>
        <w:numPr>
          <w:ilvl w:val="0"/>
          <w:numId w:val="2"/>
        </w:numPr>
      </w:pPr>
      <w:r>
        <w:t xml:space="preserve">DelveInsight DEB market reports; WallStreetZen, TipRanks analyst consensus (Apr 2026)</w:t>
      </w:r>
    </w:p>
    <w:p>
      <w:r>
        <w:t xml:space="preserve"/>
      </w:r>
    </w:p>
    <w:p>
      <w:pPr>
        <w:spacing w:after="120"/>
      </w:pPr>
      <w:r>
        <w:rPr>
          <w:b/>
          <w:bCs/>
          <w:i/>
          <w:iCs/>
          <w:color w:val="595959"/>
          <w:sz w:val="18"/>
          <w:szCs w:val="18"/>
        </w:rPr>
        <w:t xml:space="preserve">Disclaimer: </w:t>
      </w:r>
      <w:r>
        <w:rPr>
          <w:i/>
          <w:iCs/>
          <w:color w:val="595959"/>
          <w:sz w:val="18"/>
          <w:szCs w:val="18"/>
        </w:rPr>
        <w:t xml:space="preserve">This memo is for informational and educational purposes only and is not investment advice. Not a lawyer or financial advisor. Do your own due diligence.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8" w:space="4"/>
      </w:pBdr>
      <w:spacing w:after="140" w:before="280"/>
      <w:outlineLvl w:val="0"/>
    </w:pPr>
    <w:rPr>
      <w:rFonts w:ascii="Calibri" w:cs="Calibri" w:eastAsia="Calibri" w:hAnsi="Calibri"/>
      <w:b/>
      <w:bCs/>
      <w:color w:val="1F4E78"/>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2026-04-17T15:45:42.131Z</dcterms:created>
  <dcterms:modified xsi:type="dcterms:W3CDTF">2026-04-17T15:45:42.132Z</dcterms:modified>
</cp:coreProperties>
</file>

<file path=docProps/custom.xml><?xml version="1.0" encoding="utf-8"?>
<Properties xmlns="http://schemas.openxmlformats.org/officeDocument/2006/custom-properties" xmlns:vt="http://schemas.openxmlformats.org/officeDocument/2006/docPropsVTypes"/>
</file>