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6"/>
          <w:szCs w:val="36"/>
        </w:rPr>
        <w:t xml:space="preserve">MEDPACE HOLDINGS (NASDAQ: MEDP)</w:t>
      </w:r>
    </w:p>
    <w:p>
      <w:pPr>
        <w:spacing w:after="60"/>
        <w:jc w:val="center"/>
      </w:pPr>
      <w:r>
        <w:rPr>
          <w:b/>
          <w:bCs/>
          <w:sz w:val="28"/>
          <w:szCs w:val="28"/>
        </w:rPr>
        <w:t xml:space="preserve">Q1 2026 Earnings — Post-Call Analysis</w:t>
      </w:r>
    </w:p>
    <w:p>
      <w:pPr>
        <w:spacing w:after="200"/>
        <w:jc w:val="center"/>
      </w:pPr>
      <w:r>
        <w:rPr>
          <w:i/>
          <w:iCs/>
          <w:sz w:val="20"/>
          <w:szCs w:val="20"/>
        </w:rPr>
        <w:t xml:space="preserve">Earnings released April 22, 2026  |  Conference call April 23, 2026  |  Sources: Q1 2026 press release, Q1 2026 call transcript, FY2025 Form 10-K</w:t>
      </w:r>
    </w:p>
    <w:p>
      <w:pPr>
        <w:pStyle w:val="Heading1"/>
        <w:spacing w:after="160" w:before="240"/>
      </w:pPr>
      <w:r>
        <w:rPr>
          <w:b/>
          <w:bCs/>
        </w:rPr>
        <w:t xml:space="preserve">1. Company — 60 Seconds</w:t>
      </w:r>
    </w:p>
    <w:p>
      <w:pPr>
        <w:spacing w:after="120"/>
      </w:pPr>
      <w:r>
        <w:t xml:space="preserve">Medpace is a full-service, scientifically-driven clinical contract research organization (CRO) running Phase I–IV drug and device trials for biotech, pharma and medical-device sponsors. Therapeutic depth in oncology, cardiology, metabolic/endocrine, CNS, and anti-infective. Revenue is recognized over time on a cost-to-cost input method; reported revenue is GROSS of reimbursed pass-through costs — investigator grants, patient stipends, central lab, imaging, shipping, supplies — which carry essentially zero margin and recycle through both revenue and expense lines.</w:t>
      </w:r>
    </w:p>
    <w:p>
      <w:pPr>
        <w:spacing w:after="120"/>
      </w:pPr>
      <w:r>
        <w:t xml:space="preserve">Headquarters Cincinnati, OH. ~6,300 employees across 46 countries as of March 31, 2026. Founder-led: CEO August Troendle remains largest individual holder. Balance sheet is effectively net cash ($652.7M, no funded debt). Growth has been 100% organic. The company has made an explicit strategic choice NOT to serve large pharma.</w:t>
      </w:r>
    </w:p>
    <w:p>
      <w:pPr>
        <w:spacing w:after="120"/>
      </w:pPr>
      <w:r>
        <w:t xml:space="preserve">On the April 23 call, four items changed how a serious reader should frame the business right now: (1) CEO acknowledged that the plus-one-year portion of backlog has now been declining for six consecutive quarters and described this as "area for concern," (2) CEO said Medpace is facing sequential revenue flat-to-down for the balance of 2026, (3) weak Q1 book-to-bill of 0.88x was driven by BOTH elevated backlog cancellations AND soft gross awards — not cancellations alone, and (4) President Jesse Geiger's retirement was ceremoniously acknowledged with 18.5 years of service; CEO will absorb President duties with no near-term succession process announced.</w:t>
      </w:r>
    </w:p>
    <w:p>
      <w:pPr>
        <w:pStyle w:val="Heading1"/>
        <w:spacing w:after="160" w:before="240"/>
      </w:pPr>
      <w:r>
        <w:rPr>
          <w:b/>
          <w:bCs/>
        </w:rPr>
        <w:t xml:space="preserve">2. Headlines</w:t>
      </w:r>
    </w:p>
    <w:p>
      <w:pPr>
        <w:pStyle w:val="ListParagraph"/>
        <w:numPr>
          <w:ilvl w:val="0"/>
          <w:numId w:val="2"/>
        </w:numPr>
        <w:spacing w:after="60"/>
      </w:pPr>
      <w:r>
        <w:t xml:space="preserve">Revenue $706.6M, +26.5% YoY, beat consensus (~$697M implied). EBITDA $149.4M (+25.9%), margin 21.1% — essentially flat YoY. GAAP diluted EPS $4.28 (+16.6%), beat by ~$0.10.</w:t>
      </w:r>
    </w:p>
    <w:p>
      <w:pPr>
        <w:pStyle w:val="ListParagraph"/>
        <w:numPr>
          <w:ilvl w:val="0"/>
          <w:numId w:val="2"/>
        </w:numPr>
        <w:spacing w:after="60"/>
      </w:pPr>
      <w:r>
        <w:t xml:space="preserve">Book-to-bill 0.88x — second consecutive quarter below 1.0x. CEO explicitly told the Street he does not expect this level to repeat: "0.88, where things are contracting, is not anything we would expect going forward."</w:t>
      </w:r>
    </w:p>
    <w:p>
      <w:pPr>
        <w:pStyle w:val="ListParagraph"/>
        <w:numPr>
          <w:ilvl w:val="0"/>
          <w:numId w:val="2"/>
        </w:numPr>
        <w:spacing w:after="60"/>
      </w:pPr>
      <w:r>
        <w:t xml:space="preserve">Backlog fell $98M sequentially to $2,929.2M; YoY up 2.9%. Plus-one-year portion of backlog has declined for six consecutive quarters. CEO: "I guess there is area for concern."</w:t>
      </w:r>
    </w:p>
    <w:p>
      <w:pPr>
        <w:pStyle w:val="ListParagraph"/>
        <w:numPr>
          <w:ilvl w:val="0"/>
          <w:numId w:val="2"/>
        </w:numPr>
        <w:spacing w:after="60"/>
      </w:pPr>
      <w:r>
        <w:t xml:space="preserve">Pre-backlog (awarded work not yet at first-patient-in) GREW in the quarter. Win rate and initial award notifications were strong. Pre-backlog cancellations were not elevated. This is the key offset to the 0.88x book-to-bill print.</w:t>
      </w:r>
    </w:p>
    <w:p>
      <w:pPr>
        <w:pStyle w:val="ListParagraph"/>
        <w:numPr>
          <w:ilvl w:val="0"/>
          <w:numId w:val="2"/>
        </w:numPr>
        <w:spacing w:after="60"/>
      </w:pPr>
      <w:r>
        <w:t xml:space="preserve">CEO admitted he was previously wrong: "Several quarters back, it wasn't a concern because our pre-backlog was growing so fast, and I thought cancellations were coming down and going to be in a good place. That really, frankly, hasn't happened."</w:t>
      </w:r>
    </w:p>
    <w:p>
      <w:pPr>
        <w:pStyle w:val="ListParagraph"/>
        <w:numPr>
          <w:ilvl w:val="0"/>
          <w:numId w:val="2"/>
        </w:numPr>
        <w:spacing w:after="60"/>
      </w:pPr>
      <w:r>
        <w:t xml:space="preserve">Cancellations hit their highest point in over a year. Drivers: product failures (oncology, cardiovascular), sponsor reprioritizations. Not M&amp;A-driven. Not funding-driven. Metabolic was explicitly NOT the problem — it has the lowest historical cancel rate of any of Medpace's therapeutic areas.</w:t>
      </w:r>
    </w:p>
    <w:p>
      <w:pPr>
        <w:pStyle w:val="ListParagraph"/>
        <w:numPr>
          <w:ilvl w:val="0"/>
          <w:numId w:val="2"/>
        </w:numPr>
        <w:spacing w:after="60"/>
      </w:pPr>
      <w:r>
        <w:t xml:space="preserve">RFPs were down sequentially AND year-over-year — first such print in a while. CEO dismissed numerical count as a flawed signal and pointed to quality instead.</w:t>
      </w:r>
    </w:p>
    <w:p>
      <w:pPr>
        <w:pStyle w:val="ListParagraph"/>
        <w:numPr>
          <w:ilvl w:val="0"/>
          <w:numId w:val="2"/>
        </w:numPr>
        <w:spacing w:after="60"/>
      </w:pPr>
      <w:r>
        <w:t xml:space="preserve">FY2026 guidance maintained: $2.755–$2.855B revenue, $487–511M net income, $605–635M EBITDA, $16.68–$17.50 EPS. Implied Q2–Q4 revenue averages $699.5M — roughly FLAT sequential from Q1.</w:t>
      </w:r>
    </w:p>
    <w:p>
      <w:pPr>
        <w:pStyle w:val="ListParagraph"/>
        <w:numPr>
          <w:ilvl w:val="0"/>
          <w:numId w:val="2"/>
        </w:numPr>
        <w:spacing w:after="60"/>
      </w:pPr>
      <w:r>
        <w:t xml:space="preserve">FCF per diluted share +34.9% to $5.01. Cash $652.7M, no debt, $0 buybacks in Q1 vs $371.9M in Q1 2025. $800M+ of buyback authorization remaining; Board execution language on the call was unusually muted.</w:t>
      </w:r>
    </w:p>
    <w:p>
      <w:pPr>
        <w:pStyle w:val="ListParagraph"/>
        <w:numPr>
          <w:ilvl w:val="0"/>
          <w:numId w:val="2"/>
        </w:numPr>
        <w:spacing w:after="60"/>
      </w:pPr>
      <w:r>
        <w:t xml:space="preserve">Leadership: Jesse Geiger retires May 31, 2026 after 18.5 years. CEO Troendle absorbs President role, committed to staying "for quite a while." Succession process explicitly "not in the near term."</w:t>
      </w:r>
    </w:p>
    <w:p>
      <w:pPr>
        <w:spacing w:after="120"/>
      </w:pPr>
      <w:r>
        <w:t xml:space="preserve">One-sentence verdict: The beat on Q1 headlines is real; the call replaced the optimistic framing of prior quarters with candor about a contracting forward book, no sequential growth for the rest of 2026, and an out-year visibility issue the CEO now concedes.</w:t>
      </w:r>
    </w:p>
    <w:p>
      <w:pPr>
        <w:pStyle w:val="Heading1"/>
        <w:spacing w:after="160" w:before="240"/>
      </w:pPr>
      <w:r>
        <w:rPr>
          <w:b/>
          <w:bCs/>
        </w:rPr>
        <w:t xml:space="preserve">3. Financials</w:t>
      </w:r>
    </w:p>
    <w:p>
      <w:pPr>
        <w:pStyle w:val="Heading2"/>
        <w:spacing w:after="120" w:before="200"/>
      </w:pPr>
      <w:r>
        <w:rPr>
          <w:b/>
          <w:bCs/>
        </w:rPr>
        <w:t xml:space="preserve">A. Scorecard — Q1 2026 vs Q1 2025 vs Street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50"/>
        <w:gridCol w:w="1250"/>
        <w:gridCol w:w="1250"/>
        <w:gridCol w:w="1500"/>
        <w:gridCol w:w="1910"/>
      </w:tblGrid>
      <w:tr>
        <w:trPr>
          <w:tblHeader/>
        </w:trPr>
        <w:tc>
          <w:tcPr>
            <w:tcW w:type="dxa" w:w="22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rPr>
              <w:t xml:space="preserve">Metric</w:t>
            </w:r>
          </w:p>
        </w:tc>
        <w:tc>
          <w:tcPr>
            <w:tcW w:type="dxa" w:w="125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rPr>
              <w:t xml:space="preserve">Q1 2025A</w:t>
            </w:r>
          </w:p>
        </w:tc>
        <w:tc>
          <w:tcPr>
            <w:tcW w:type="dxa" w:w="125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rPr>
              <w:t xml:space="preserve">Q1 2026A</w:t>
            </w:r>
          </w:p>
        </w:tc>
        <w:tc>
          <w:tcPr>
            <w:tcW w:type="dxa" w:w="125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rPr>
              <w:t xml:space="preserve">YoY %</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rPr>
              <w:t xml:space="preserve">Street</w:t>
            </w:r>
          </w:p>
        </w:tc>
        <w:tc>
          <w:tcPr>
            <w:tcW w:type="dxa" w:w="191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rPr>
              <w:t xml:space="preserve">Beat/Miss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Revenue (net, $M)</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558.6</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706.6</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+26.5%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~697</w:t>
            </w:r>
          </w:p>
        </w:tc>
        <w:tc>
          <w:tcPr>
            <w:tcW w:type="dxa" w:w="19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Beat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EPS diluted (GAAP, $)</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3.67</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4.28</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+16.6%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~4.18</w:t>
            </w:r>
          </w:p>
        </w:tc>
        <w:tc>
          <w:tcPr>
            <w:tcW w:type="dxa" w:w="19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Beat ~$0.10</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Net income ($M)</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114.6</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123.9</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+8.1%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n/a</w:t>
            </w:r>
          </w:p>
        </w:tc>
        <w:tc>
          <w:tcPr>
            <w:tcW w:type="dxa" w:w="19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EBITDA ($M)</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118.6</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149.4</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+25.9%</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n/a</w:t>
            </w:r>
          </w:p>
        </w:tc>
        <w:tc>
          <w:tcPr>
            <w:tcW w:type="dxa" w:w="19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Operating margin</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20.3%</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20.0%</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-30 bps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n/a</w:t>
            </w:r>
          </w:p>
        </w:tc>
        <w:tc>
          <w:tcPr>
            <w:tcW w:type="dxa" w:w="19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Flat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EBITDA margin</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21.2%</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21.1%</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-10 bps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n/a</w:t>
            </w:r>
          </w:p>
        </w:tc>
        <w:tc>
          <w:tcPr>
            <w:tcW w:type="dxa" w:w="19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Flat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Net income margin</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20.5%</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17.5%</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-300 bps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n/a</w:t>
            </w:r>
          </w:p>
        </w:tc>
        <w:tc>
          <w:tcPr>
            <w:tcW w:type="dxa" w:w="19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Tax-driven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Net new awards ($M)</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500.0</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618.4</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+23.7%</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n/a</w:t>
            </w:r>
          </w:p>
        </w:tc>
        <w:tc>
          <w:tcPr>
            <w:tcW w:type="dxa" w:w="19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Book-to-bill</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0.90x</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0.88x</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 bps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n/a</w:t>
            </w:r>
          </w:p>
        </w:tc>
        <w:tc>
          <w:tcPr>
            <w:tcW w:type="dxa" w:w="19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Negative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Backlog period-end ($M)</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2,846.0</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2,929.2</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+2.9%</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n/a</w:t>
            </w:r>
          </w:p>
        </w:tc>
        <w:tc>
          <w:tcPr>
            <w:tcW w:type="dxa" w:w="19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r>
    </w:tbl>
    <w:p>
      <w:pPr>
        <w:spacing w:after="120"/>
      </w:pPr>
      <w:r>
        <w:t xml:space="preserve"/>
      </w:r>
    </w:p>
    <w:p>
      <w:pPr>
        <w:pStyle w:val="Heading2"/>
        <w:spacing w:after="120" w:before="200"/>
      </w:pPr>
      <w:r>
        <w:rPr>
          <w:b/>
          <w:bCs/>
        </w:rPr>
        <w:t xml:space="preserve">B. Margin Progression</w:t>
      </w:r>
    </w:p>
    <w:p>
      <w:pPr>
        <w:pStyle w:val="ListParagraph"/>
        <w:numPr>
          <w:ilvl w:val="0"/>
          <w:numId w:val="2"/>
        </w:numPr>
        <w:spacing w:after="60"/>
      </w:pPr>
      <w:r>
        <w:t xml:space="preserve">Direct-service margin (net of pass-through): 50.1% → 49.8% — flat</w:t>
      </w:r>
    </w:p>
    <w:p>
      <w:pPr>
        <w:pStyle w:val="ListParagraph"/>
        <w:numPr>
          <w:ilvl w:val="0"/>
          <w:numId w:val="2"/>
        </w:numPr>
        <w:spacing w:after="60"/>
      </w:pPr>
      <w:r>
        <w:t xml:space="preserve">Operating margin: 20.3% → 20.0% — flat</w:t>
      </w:r>
    </w:p>
    <w:p>
      <w:pPr>
        <w:pStyle w:val="ListParagraph"/>
        <w:numPr>
          <w:ilvl w:val="0"/>
          <w:numId w:val="2"/>
        </w:numPr>
        <w:spacing w:after="60"/>
      </w:pPr>
      <w:r>
        <w:t xml:space="preserve">EBITDA margin: 21.2% → 21.1% — flat</w:t>
      </w:r>
    </w:p>
    <w:p>
      <w:pPr>
        <w:pStyle w:val="ListParagraph"/>
        <w:numPr>
          <w:ilvl w:val="0"/>
          <w:numId w:val="2"/>
        </w:numPr>
        <w:spacing w:after="60"/>
      </w:pPr>
      <w:r>
        <w:t xml:space="preserve">Net income margin (GAAP): 20.5% → 17.5% — entirely tax-rate normalization (3.0% → 16.1%); FY guide assumes 19.0–20.0% ETR</w:t>
      </w:r>
    </w:p>
    <w:p>
      <w:pPr>
        <w:pStyle w:val="ListParagraph"/>
        <w:numPr>
          <w:ilvl w:val="0"/>
          <w:numId w:val="2"/>
        </w:numPr>
        <w:spacing w:after="60"/>
      </w:pPr>
      <w:r>
        <w:t xml:space="preserve">CFO Brady on the call: pass-through OOP was "pretty high this quarter at 44%" of revenue; he expects OOP share to come down through 2026 as metabolic studies wind down. That will reduce reported top-line growth rate.</w:t>
      </w:r>
    </w:p>
    <w:p>
      <w:pPr>
        <w:pStyle w:val="Heading2"/>
        <w:spacing w:after="120" w:before="200"/>
      </w:pPr>
      <w:r>
        <w:rPr>
          <w:b/>
          <w:bCs/>
        </w:rPr>
        <w:t xml:space="preserve">C. Cash Flow &amp; Balance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rPr>
              <w:t xml:space="preserve">Line</w:t>
            </w:r>
          </w:p>
        </w:tc>
        <w:tc>
          <w:tcPr>
            <w:tcW w:type="dxa" w:w="212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rPr>
              <w:t xml:space="preserve">Q1 2026</w:t>
            </w:r>
          </w:p>
        </w:tc>
        <w:tc>
          <w:tcPr>
            <w:tcW w:type="dxa" w:w="212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rPr>
              <w:t xml:space="preserve">Q1 2025</w:t>
            </w:r>
          </w:p>
        </w:tc>
        <w:tc>
          <w:tcPr>
            <w:tcW w:type="dxa" w:w="212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rPr>
              <w:t xml:space="preserve">YoY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Operating cash flow ($M)</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151.8</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125.8</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+20.6%</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CapEx ($M)</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(6.8)</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(10.0)</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-32.2%</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Free cash flow ($M)</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145.0</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115.8</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+25.2%</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FCF per diluted share ($)</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5.01</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3.71</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+34.9%</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Share repurchases ($M)</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0</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(371.9)</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n/m</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Cash end of period ($M)</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652.7</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441.4</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+47.9%</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DSO (days, net)</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-58.8</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n/a</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Debt</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None</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None</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r>
    </w:tbl>
    <w:p>
      <w:pPr>
        <w:spacing w:after="120"/>
      </w:pPr>
      <w:r>
        <w:t xml:space="preserve">On the call CFO Brady noted over $800M of remaining buyback authorization but offered no commitment on timing or pace. The "no additional share repurchases in our guidance" line in both the release and on the call signals that the Board is preserving optionality. Combined with zero Q1 deployment, the most reasonable read is that the Board wants visibility on class-action resolution and bookings trajectory before redeploying.</w:t>
      </w:r>
    </w:p>
    <w:p>
      <w:pPr>
        <w:pStyle w:val="Heading2"/>
        <w:spacing w:after="120" w:before="200"/>
      </w:pPr>
      <w:r>
        <w:rPr>
          <w:b/>
          <w:bCs/>
        </w:rPr>
        <w:t xml:space="preserve">D. Customer Concentration (disclosed on call, not in release)</w:t>
      </w:r>
    </w:p>
    <w:p>
      <w:pPr>
        <w:pStyle w:val="ListParagraph"/>
        <w:numPr>
          <w:ilvl w:val="0"/>
          <w:numId w:val="2"/>
        </w:numPr>
        <w:spacing w:after="60"/>
      </w:pPr>
      <w:r>
        <w:t xml:space="preserve">Top 5 customers = ~28% of LTM revenue</w:t>
      </w:r>
    </w:p>
    <w:p>
      <w:pPr>
        <w:pStyle w:val="ListParagraph"/>
        <w:numPr>
          <w:ilvl w:val="0"/>
          <w:numId w:val="2"/>
        </w:numPr>
        <w:spacing w:after="60"/>
      </w:pPr>
      <w:r>
        <w:t xml:space="preserve">Top 10 customers = ~37% of LTM revenue</w:t>
      </w:r>
    </w:p>
    <w:p>
      <w:pPr>
        <w:pStyle w:val="ListParagraph"/>
        <w:numPr>
          <w:ilvl w:val="0"/>
          <w:numId w:val="2"/>
        </w:numPr>
        <w:spacing w:after="60"/>
      </w:pPr>
      <w:r>
        <w:t xml:space="preserve">No single customer exceeds 10% disclosure threshold per the 10-K</w:t>
      </w:r>
    </w:p>
    <w:p>
      <w:pPr>
        <w:pStyle w:val="Heading1"/>
        <w:spacing w:after="160" w:before="240"/>
      </w:pPr>
      <w:r>
        <w:rPr>
          <w:b/>
          <w:bCs/>
        </w:rPr>
        <w:t xml:space="preserve">4. Management Commentary — Post-Call</w:t>
      </w:r>
    </w:p>
    <w:p>
      <w:pPr>
        <w:pStyle w:val="Heading2"/>
        <w:spacing w:after="120" w:before="200"/>
      </w:pPr>
      <w:r>
        <w:rPr>
          <w:b/>
          <w:bCs/>
        </w:rPr>
        <w:t xml:space="preserve">A. Tone</w:t>
      </w:r>
    </w:p>
    <w:p>
      <w:pPr>
        <w:spacing w:after="120"/>
      </w:pPr>
      <w:r>
        <w:t xml:space="preserve">The call was unusually candid — especially compared to the highly antiseptic press release 24 hours earlier. CEO Troendle was direct about cancellation elevation, gross-bookings weakness, soft RFPs, and the sequential revenue trajectory. He explicitly conceded prior forecasting errors. That is atypical for Medpace and is likely a deliberate posture during an active securities class action in which plaintiffs allege management oversold a 1.15x Q4 2025 book-to-bill target.</w:t>
      </w:r>
    </w:p>
    <w:p>
      <w:pPr>
        <w:pStyle w:val="Heading2"/>
        <w:spacing w:after="120" w:before="200"/>
      </w:pPr>
      <w:r>
        <w:rPr>
          <w:b/>
          <w:bCs/>
        </w:rPr>
        <w:t xml:space="preserve">B. The Key Admissions — Direct Quotes</w:t>
      </w:r>
    </w:p>
    <w:p>
      <w:pPr>
        <w:spacing w:after="160" w:before="80"/>
        <w:ind w:left="720" w:right="720"/>
      </w:pPr>
      <w:r>
        <w:rPr>
          <w:i/>
          <w:iCs/>
        </w:rPr>
        <w:t xml:space="preserve">“Quarter one of 2026 saw cancellations rise again, with backlog cancels reaching their highest point in over a year. Net bookings were below the level seen in Q4, but well above those in Q1 2025, with a Net Book-to-Bill Ratio of 0.88. RFPs were down in the quarter sequentially and year-over-year.” </w:t>
      </w:r>
      <w:r>
        <w:rPr>
          <w:b/>
          <w:bCs/>
          <w:i/>
          <w:iCs/>
        </w:rPr>
        <w:t xml:space="preserve">— August Troendle, CEO (prepared remarks)</w:t>
      </w:r>
    </w:p>
    <w:p>
      <w:pPr>
        <w:spacing w:after="160" w:before="80"/>
        <w:ind w:left="720" w:right="720"/>
      </w:pPr>
      <w:r>
        <w:rPr>
          <w:i/>
          <w:iCs/>
        </w:rPr>
        <w:t xml:space="preserve">“Was it overwhelmingly cancellations that drove us down from what would've been a great book-to-bill? No. New gross awards were also on the low end, and that's why. It was a combination of the two.” </w:t>
      </w:r>
      <w:r>
        <w:rPr>
          <w:b/>
          <w:bCs/>
          <w:i/>
          <w:iCs/>
        </w:rPr>
        <w:t xml:space="preserve">— August Troendle responding to Ann Hynes (Mizuho)</w:t>
      </w:r>
    </w:p>
    <w:p>
      <w:pPr>
        <w:spacing w:after="160" w:before="80"/>
        <w:ind w:left="720" w:right="720"/>
      </w:pPr>
      <w:r>
        <w:rPr>
          <w:i/>
          <w:iCs/>
        </w:rPr>
        <w:t xml:space="preserve">“Yeah, sure. I guess there is area for concern. Several quarters back, it wasn't a concern because our pre-backlog was growing so fast, and I thought cancellations were coming down and going to be in a good place. That really, frankly, hasn't happened... It does now result in us facing a revenue. Just look at the Q1 versus remainder of year. We don't have revenue growth. We will on a year-over-year basis, but not on a sequential quarter basis. 2027 is, I don't know yet.” </w:t>
      </w:r>
      <w:r>
        <w:rPr>
          <w:b/>
          <w:bCs/>
          <w:i/>
          <w:iCs/>
        </w:rPr>
        <w:t xml:space="preserve">— August Troendle responding to Eric Coldwell (Baird) on the six-quarter decline in plus-one-year backlog</w:t>
      </w:r>
    </w:p>
    <w:p>
      <w:pPr>
        <w:spacing w:after="160" w:before="80"/>
        <w:ind w:left="720" w:right="720"/>
      </w:pPr>
      <w:r>
        <w:rPr>
          <w:i/>
          <w:iCs/>
        </w:rPr>
        <w:t xml:space="preserve">“I don't even want to talk about book-to-bill, and I'm not going to give a guide to future book-to-bill for us. We certainly do hope to have improving bookings over time, and I would assume that the book-to-bill, certainly 0.88, where things are contracting, is not anything we would expect going forward.” </w:t>
      </w:r>
      <w:r>
        <w:rPr>
          <w:b/>
          <w:bCs/>
          <w:i/>
          <w:iCs/>
        </w:rPr>
        <w:t xml:space="preserve">— August Troendle responding to Eric Coldwell's follow-up</w:t>
      </w:r>
    </w:p>
    <w:p>
      <w:pPr>
        <w:pStyle w:val="Heading2"/>
        <w:spacing w:after="120" w:before="200"/>
      </w:pPr>
      <w:r>
        <w:rPr>
          <w:b/>
          <w:bCs/>
        </w:rPr>
        <w:t xml:space="preserve">C. The Offsets — What the Call Defended</w:t>
      </w:r>
    </w:p>
    <w:p>
      <w:pPr>
        <w:pStyle w:val="ListParagraph"/>
        <w:numPr>
          <w:ilvl w:val="0"/>
          <w:numId w:val="2"/>
        </w:numPr>
        <w:spacing w:after="60"/>
      </w:pPr>
      <w:r>
        <w:t xml:space="preserve">Win rate and initial award notifications were described as strong in Q1. Pre-backlog (awarded work not yet at first-patient-in) GREW in the quarter.</w:t>
      </w:r>
    </w:p>
    <w:p>
      <w:pPr>
        <w:pStyle w:val="ListParagraph"/>
        <w:numPr>
          <w:ilvl w:val="0"/>
          <w:numId w:val="2"/>
        </w:numPr>
        <w:spacing w:after="60"/>
      </w:pPr>
      <w:r>
        <w:t xml:space="preserve">Cancellations within pre-backlog were NOT particularly elevated — the cancellation problem is in the backlog bucket, which Troendle characterized as almost always driven by drug-failure events (toxicity, efficacy) rather than commercial attrition Medpace can influence.</w:t>
      </w:r>
    </w:p>
    <w:p>
      <w:pPr>
        <w:pStyle w:val="ListParagraph"/>
        <w:numPr>
          <w:ilvl w:val="0"/>
          <w:numId w:val="2"/>
        </w:numPr>
        <w:spacing w:after="60"/>
      </w:pPr>
      <w:r>
        <w:t xml:space="preserve">Metabolic — the segment behind the fast-burn/duration-shortening concern — was explicitly NOT the source of elevated cancellations. Troendle: metabolic "has the lowest historically cancellation rate" of all therapeutic areas broken out. Concentration in GLP-1 trials (~50% of obesity work) is acknowledged; Troendle conceded possible market saturation and pricing pressure but said this has not translated to cancellations.</w:t>
      </w:r>
    </w:p>
    <w:p>
      <w:pPr>
        <w:pStyle w:val="ListParagraph"/>
        <w:numPr>
          <w:ilvl w:val="0"/>
          <w:numId w:val="2"/>
        </w:numPr>
        <w:spacing w:after="60"/>
      </w:pPr>
      <w:r>
        <w:t xml:space="preserve">Medpace continued hiring in Q1. Troendle on the apparent inconsistency with weak bookings: "That's the confidence. We're still hiring. I don't know how you get any more confidence than that."</w:t>
      </w:r>
    </w:p>
    <w:p>
      <w:pPr>
        <w:pStyle w:val="ListParagraph"/>
        <w:numPr>
          <w:ilvl w:val="0"/>
          <w:numId w:val="2"/>
        </w:numPr>
        <w:spacing w:after="60"/>
      </w:pPr>
      <w:r>
        <w:t xml:space="preserve">Retention has improved and continues to drive some operating leverage, per CFO Brady — at a slower pace than historically, and already reflected in the FY26 guide.</w:t>
      </w:r>
    </w:p>
    <w:p>
      <w:pPr>
        <w:pStyle w:val="Heading2"/>
        <w:spacing w:after="120" w:before="200"/>
      </w:pPr>
      <w:r>
        <w:rPr>
          <w:b/>
          <w:bCs/>
        </w:rPr>
        <w:t xml:space="preserve">D. The Mechanical Drag the Call Surfaced</w:t>
      </w:r>
    </w:p>
    <w:p>
      <w:pPr>
        <w:pStyle w:val="ListParagraph"/>
        <w:numPr>
          <w:ilvl w:val="0"/>
          <w:numId w:val="2"/>
        </w:numPr>
        <w:spacing w:after="60"/>
      </w:pPr>
      <w:r>
        <w:t xml:space="preserve">Award-to-backlog lag ~4 quarters. Current Q1 bookings reflect sponsor decisions from roughly Q1–Q2 2025. The elevated pre-backlog cancellations of the last several quarters are structurally destined to print as weak backlog ADDITIONS over the next 3–4 quarters. This cannot be fixed in the short run.</w:t>
      </w:r>
    </w:p>
    <w:p>
      <w:pPr>
        <w:pStyle w:val="ListParagraph"/>
        <w:numPr>
          <w:ilvl w:val="0"/>
          <w:numId w:val="2"/>
        </w:numPr>
        <w:spacing w:after="60"/>
      </w:pPr>
      <w:r>
        <w:t xml:space="preserve">Pass-through (OOP) reported at 44% of revenue in Q1; CFO expects this to decline through 2026 as metabolic studies wind down. Mechanically, reported revenue growth will compress toward direct-service growth rate (~10–11%) by year-end.</w:t>
      </w:r>
    </w:p>
    <w:p>
      <w:pPr>
        <w:pStyle w:val="ListParagraph"/>
        <w:numPr>
          <w:ilvl w:val="0"/>
          <w:numId w:val="2"/>
        </w:numPr>
        <w:spacing w:after="60"/>
      </w:pPr>
      <w:r>
        <w:t xml:space="preserve">Biotech M&amp;A is an unhedged structural drag. When a biotech client is acquired, Medpace is "generally cut out on future work. It's a loss for us." Medpace explicitly does not serve large pharma, so they do not catch the other end of these deals — the competitive set that does (IQVIA, ICON) benefits from the same dynamic that hurts Medpace.</w:t>
      </w:r>
    </w:p>
    <w:p>
      <w:pPr>
        <w:pStyle w:val="Heading2"/>
        <w:spacing w:after="120" w:before="200"/>
      </w:pPr>
      <w:r>
        <w:rPr>
          <w:b/>
          <w:bCs/>
        </w:rPr>
        <w:t xml:space="preserve">E. Buried Clarifications Worth Noting</w:t>
      </w:r>
    </w:p>
    <w:p>
      <w:pPr>
        <w:pStyle w:val="ListParagraph"/>
        <w:numPr>
          <w:ilvl w:val="0"/>
          <w:numId w:val="2"/>
        </w:numPr>
        <w:spacing w:after="60"/>
      </w:pPr>
      <w:r>
        <w:t xml:space="preserve">Some "cancellations" are actually successful operations. Troendle volunteered that when Medpace recruits faster than planned (e.g., completes a two-year enrollment in one year), the total contract value is reduced, and the reduction flows through the cancel bucket. The headline cancel number therefore overstates the commercial-concern component by an unknown amount. Push IR to split this.</w:t>
      </w:r>
    </w:p>
    <w:p>
      <w:pPr>
        <w:pStyle w:val="ListParagraph"/>
        <w:numPr>
          <w:ilvl w:val="0"/>
          <w:numId w:val="2"/>
        </w:numPr>
        <w:spacing w:after="60"/>
      </w:pPr>
      <w:r>
        <w:t xml:space="preserve">Studies on hold remain in backlog indefinitely. Medpace does not remove them. Troendle: "It's just on hold for a period of time, and then hopefully it gets started or maybe it does cancel in the future." The reported $2,929.2M backlog contains an unknown quantum of "zombie" hold-status studies that may never activate. A portion of this quarter's elevated backlog-cancel line may be the hold bucket finally washing out.</w:t>
      </w:r>
    </w:p>
    <w:p>
      <w:pPr>
        <w:pStyle w:val="ListParagraph"/>
        <w:numPr>
          <w:ilvl w:val="0"/>
          <w:numId w:val="2"/>
        </w:numPr>
        <w:spacing w:after="60"/>
      </w:pPr>
      <w:r>
        <w:t xml:space="preserve">Backlog recognition coincides with first-patient-in, not contract signing. By the time a study enters backlog, Medpace has already performed significant setup work. That means the "backlog cancellation" events this quarter are almost entirely drug-failure events, not salesmanship failures. Medpace's revenue-at-risk from these cancels is low — the economic damage is opportunity cost on future backlog additions.</w:t>
      </w:r>
    </w:p>
    <w:p>
      <w:pPr>
        <w:pStyle w:val="ListParagraph"/>
        <w:numPr>
          <w:ilvl w:val="0"/>
          <w:numId w:val="2"/>
        </w:numPr>
        <w:spacing w:after="60"/>
      </w:pPr>
      <w:r>
        <w:t xml:space="preserve">AI: no net productivity benefit expected for the next two years — Medpace is in net-investment phase. Clients are not yet using commercial AI in ways that affect the Medpace relationship.</w:t>
      </w:r>
    </w:p>
    <w:p>
      <w:pPr>
        <w:pStyle w:val="ListParagraph"/>
        <w:numPr>
          <w:ilvl w:val="0"/>
          <w:numId w:val="2"/>
        </w:numPr>
        <w:spacing w:after="60"/>
      </w:pPr>
      <w:r>
        <w:t xml:space="preserve">CEO succession: not in process. Troendle will absorb President duties "for quite a while." The Board has not communicated a mitigation of the concentration-of-responsibility issue during the active class action.</w:t>
      </w:r>
    </w:p>
    <w:p>
      <w:pPr>
        <w:pStyle w:val="Heading2"/>
        <w:spacing w:after="120" w:before="200"/>
      </w:pPr>
      <w:r>
        <w:rPr>
          <w:b/>
          <w:bCs/>
        </w:rPr>
        <w:t xml:space="preserve">F. Red / Yellow Flags</w:t>
      </w:r>
    </w:p>
    <w:p>
      <w:pPr>
        <w:pStyle w:val="ListParagraph"/>
        <w:numPr>
          <w:ilvl w:val="0"/>
          <w:numId w:val="2"/>
        </w:numPr>
        <w:spacing w:after="60"/>
      </w:pPr>
      <w:r>
        <w:t xml:space="preserve">RED: Gross bookings weak independent of cancellations — this is new, and it removes the cleanest defense ("one bad cancel quarter").</w:t>
      </w:r>
    </w:p>
    <w:p>
      <w:pPr>
        <w:pStyle w:val="ListParagraph"/>
        <w:numPr>
          <w:ilvl w:val="0"/>
          <w:numId w:val="2"/>
        </w:numPr>
        <w:spacing w:after="60"/>
      </w:pPr>
      <w:r>
        <w:t xml:space="preserve">RED: Plus-one-year backlog in decline for six consecutive quarters, explicitly acknowledged as a concern by the CEO.</w:t>
      </w:r>
    </w:p>
    <w:p>
      <w:pPr>
        <w:pStyle w:val="ListParagraph"/>
        <w:numPr>
          <w:ilvl w:val="0"/>
          <w:numId w:val="2"/>
        </w:numPr>
        <w:spacing w:after="60"/>
      </w:pPr>
      <w:r>
        <w:t xml:space="preserve">RED: CEO reversal on prior guidance that cancellations would come down — relevant context for the ongoing securities class action.</w:t>
      </w:r>
    </w:p>
    <w:p>
      <w:pPr>
        <w:pStyle w:val="ListParagraph"/>
        <w:numPr>
          <w:ilvl w:val="0"/>
          <w:numId w:val="2"/>
        </w:numPr>
        <w:spacing w:after="60"/>
      </w:pPr>
      <w:r>
        <w:t xml:space="preserve">YELLOW: Buyback tone muted despite $800M+ of authorization and zero Q1 deployment.</w:t>
      </w:r>
    </w:p>
    <w:p>
      <w:pPr>
        <w:pStyle w:val="ListParagraph"/>
        <w:numPr>
          <w:ilvl w:val="0"/>
          <w:numId w:val="2"/>
        </w:numPr>
        <w:spacing w:after="60"/>
      </w:pPr>
      <w:r>
        <w:t xml:space="preserve">YELLOW: No CEO succession process; concentration of responsibility during litigation.</w:t>
      </w:r>
    </w:p>
    <w:p>
      <w:pPr>
        <w:pStyle w:val="ListParagraph"/>
        <w:numPr>
          <w:ilvl w:val="0"/>
          <w:numId w:val="2"/>
        </w:numPr>
        <w:spacing w:after="60"/>
      </w:pPr>
      <w:r>
        <w:t xml:space="preserve">YELLOW: Book-to-bill being reframed by the CEO as a "flawed measure" — mathematically defensible under ASC 606 but rhetorically awkward given the class action covers alleged book-to-bill mischaracterization.</w:t>
      </w:r>
    </w:p>
    <w:p>
      <w:pPr>
        <w:pStyle w:val="ListParagraph"/>
        <w:numPr>
          <w:ilvl w:val="0"/>
          <w:numId w:val="2"/>
        </w:numPr>
        <w:spacing w:after="60"/>
      </w:pPr>
      <w:r>
        <w:t xml:space="preserve">YELLOW: RFP count down sequentially AND year-over-year — first such print in some time. CEO dismisses the number but acknowledges it.</w:t>
      </w:r>
    </w:p>
    <w:p>
      <w:pPr>
        <w:pStyle w:val="ListParagraph"/>
        <w:numPr>
          <w:ilvl w:val="0"/>
          <w:numId w:val="2"/>
        </w:numPr>
        <w:spacing w:after="60"/>
      </w:pPr>
      <w:r>
        <w:t xml:space="preserve">YELLOW: "Zombie backlog" on-hold studies are an unquantified reserve that could cancel in future periods.</w:t>
      </w:r>
    </w:p>
    <w:p>
      <w:pPr>
        <w:pStyle w:val="Heading1"/>
        <w:spacing w:after="160" w:before="240"/>
      </w:pPr>
      <w:r>
        <w:rPr>
          <w:b/>
          <w:bCs/>
        </w:rPr>
        <w:t xml:space="preserve">5. Guidance — What Troendle Said Out Loud</w:t>
      </w:r>
    </w:p>
    <w:p>
      <w:pPr>
        <w:spacing w:after="120"/>
      </w:pPr>
      <w:r>
        <w:t xml:space="preserve">FY2026 guidance maintained: revenue $2.755–$2.855B, EBITDA $605–$635M, EPS $16.68–$17.50. Midpoint revenue $2.805B minus Q1 $706.6M implies Q2–Q4 averaging $699.5M per quarter — flat-to-slightly-down sequential from Q1. The press release presented this as unremarkable reiterated guidance. On the call, Troendle explicitly confirmed this is the actual shape: no sequential revenue growth for the balance of the year. Year-over-year growth holds on base-effect arithmetic only.</w:t>
      </w:r>
    </w:p>
    <w:p>
      <w:pPr>
        <w:spacing w:after="120"/>
      </w:pPr>
      <w:r>
        <w:t xml:space="preserve">2027 was addressed directly: "2027 is, I don't know yet. That's too far out at this point to really get a handle on. Our growth profile both now and six months from now in terms of sequential growth is a real question." That is a CEO declining to defend 2027 in April 2026. Not a guide, but a tell.</w:t>
      </w:r>
    </w:p>
    <w:p>
      <w:pPr>
        <w:spacing w:after="120"/>
      </w:pPr>
      <w:r>
        <w:t xml:space="preserve">Pass-through normalization is a separate, mechanical drag on reported growth. CFO Brady expects OOP share of revenue to end 2026 below the 44% printed in Q1. If OOP growth decelerates from +54% YoY to flat or negative, direct-service revenue growth of ~10–11% becomes the reported revenue growth rate by Q4. This is consistent with guidance math and with the 10-K's disclosed duration-shortening in the performance-obligation schedule.</w:t>
      </w:r>
    </w:p>
    <w:p>
      <w:pPr>
        <w:pStyle w:val="Heading1"/>
        <w:spacing w:after="160" w:before="240"/>
      </w:pPr>
      <w:r>
        <w:rPr>
          <w:b/>
          <w:bCs/>
        </w:rPr>
        <w:t xml:space="preserve">6. Thesis Check — Post-Call 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rPr>
              <w:t xml:space="preserve">Thesis element</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rPr>
              <w:t xml:space="preserve">Status</w:t>
            </w:r>
          </w:p>
        </w:tc>
        <w:tc>
          <w:tcPr>
            <w:tcW w:type="dxa" w:w="53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rPr>
              <w:t xml:space="preserve">Evidence (post-call)</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Durable double-digit organic growth</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Challenged</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Direct-service growth +10.8% in Q1; CEO confirmed no sequential growth rest of 2026.</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Book-to-bill leadership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Damaged</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0.88x Q1, 1.04x FY25. CEO is actively reframing metric as flawed; win rate defended; pre-backlog offset real but unquantified.</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Margin expansion story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Neutral</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Op/EBITDA margins flat YoY. Retention-driven leverage continues at a slower pace; already in guide.</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Capital return optionality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Neutral (-)</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$800M authorization; zero Q1 deployment; muted tone on the call.</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Founder-CEO execution continuity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Challenged</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No near-term succession process; CEO absorbs President role during active class action.</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Litigation overhang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Challenged</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No call commentary on class action; CEO reframing book-to-bill is a defensible but sensitive posture.</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FCF/share compounding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Strengthened</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FCF/share +34.9% Q1 — remains the strongest positive signal.</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Pre-backlog rebuild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Supported (offset)</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Pre-backlog grew in Q1; win rate strong; cancellations in pre-backlog NOT elevated.</w:t>
            </w:r>
          </w:p>
        </w:tc>
      </w:tr>
    </w:tbl>
    <w:p>
      <w:pPr>
        <w:spacing w:after="120"/>
      </w:pPr>
      <w:r>
        <w:t xml:space="preserve">Overall thesis verdict: UNDER REVIEW, with downward bias. The cash-flow engine and margin stability remain intact. The growth narrative that drove 2024–2025 multiple expansion is now defined by decelerating organic growth, no sequential revenue growth rest of year per the CEO himself, six quarters of plus-one-year backlog decline, and management turnover during live litigation. The offsets — strong win rate, growing pre-backlog, retention-driven leverage — are real but will take roughly four quarters to translate into reported backlog additions given Medpace's first-patient-in recognition policy.</w:t>
      </w:r>
    </w:p>
    <w:p>
      <w:pPr>
        <w:pStyle w:val="Heading1"/>
        <w:spacing w:after="160" w:before="240"/>
      </w:pPr>
      <w:r>
        <w:rPr>
          <w:b/>
          <w:bCs/>
        </w:rPr>
        <w:t xml:space="preserve">7. The Pre-Backlog Timing Argument — Why 0.88x Lags Sponsor Activity by ~3 Quarters</w:t>
      </w:r>
    </w:p>
    <w:p>
      <w:pPr>
        <w:spacing w:after="120"/>
      </w:pPr>
      <w:r>
        <w:t xml:space="preserve">The most important exchange on the call for the bull case came in response to Justin Bowers (Deutsche Bank), and it is subtle enough that most summaries will miss it. Troendle walked through a structural argument that reframes book-to-bill from a leading indicator to a three-quarter-lagging indicator of sponsor activity. The argument is real, and it cuts both ways for the thesis.</w:t>
      </w:r>
    </w:p>
    <w:p>
      <w:pPr>
        <w:pStyle w:val="Heading2"/>
        <w:spacing w:after="120" w:before="200"/>
      </w:pPr>
      <w:r>
        <w:rPr>
          <w:b/>
          <w:bCs/>
        </w:rPr>
        <w:t xml:space="preserve">A. Medpace's Accounting Policy Is Conservative by Industry Standards</w:t>
      </w:r>
    </w:p>
    <w:p>
      <w:pPr>
        <w:spacing w:after="120"/>
      </w:pPr>
      <w:r>
        <w:t xml:space="preserve">A signed, contracted, dollar-committed sponsor award does NOT enter Medpace's reported backlog when it is signed. It enters backlog only when first-patient-in is achieved — typically three to five quarters AFTER the contract is signed, per Troendle's own cadence description. Some CROs historically have recognized awards into backlog on contract signing. Medpace does not. In Troendle's words from the call:</w:t>
      </w:r>
    </w:p>
    <w:p>
      <w:pPr>
        <w:spacing w:after="160" w:before="80"/>
        <w:ind w:left="720" w:right="720"/>
      </w:pPr>
      <w:r>
        <w:rPr>
          <w:i/>
          <w:iCs/>
        </w:rPr>
        <w:t xml:space="preserve">“In the current quarter, as I said, our wins, our awards were good and our win rate was good. If we had a backlog policy that shows anything that we get awarded in a quarter as going into backlog, as some CROs have done in the past, we would had a good book-to-bill. I don't know what it would've been, but it would've been a — I think people would be happy with it. We don't because those awards are often just based upon future plans and there's a lot to be done and like I said, they might not even have money.” </w:t>
      </w:r>
      <w:r>
        <w:rPr>
          <w:b/>
          <w:bCs/>
          <w:i/>
          <w:iCs/>
        </w:rPr>
        <w:t xml:space="preserve">— August Troendle, CEO</w:t>
      </w:r>
    </w:p>
    <w:p>
      <w:pPr>
        <w:pStyle w:val="Heading2"/>
        <w:spacing w:after="120" w:before="200"/>
      </w:pPr>
      <w:r>
        <w:rPr>
          <w:b/>
          <w:bCs/>
        </w:rPr>
        <w:t xml:space="preserve">B. The Two Vintages Flowing Through Book-to-Bill</w:t>
      </w:r>
    </w:p>
    <w:p>
      <w:pPr>
        <w:spacing w:after="120"/>
      </w:pPr>
      <w:r>
        <w:t xml:space="preserve">Because of this policy, the $618.4M of Q1 2026 net new business awards is NOT a measure of current-quarter commercial activity. It is a measure of contracts that were signed 3–5 quarters ago and have just now crossed the first-patient-in threshold. The reported 0.88x book-to-bill therefore has two temporally distinct components:</w:t>
      </w:r>
    </w:p>
    <w:p>
      <w:pPr>
        <w:pStyle w:val="ListParagraph"/>
        <w:numPr>
          <w:ilvl w:val="0"/>
          <w:numId w:val="2"/>
        </w:numPr>
        <w:spacing w:after="60"/>
      </w:pPr>
      <w:r>
        <w:t xml:space="preserve">Numerator (awards flowing INTO backlog this quarter): sponsor contracts signed roughly in Q1–Q3 2025, which are the vintages Troendle has acknowledged had high cancellation activity and weak gross awards at the signing end.</w:t>
      </w:r>
    </w:p>
    <w:p>
      <w:pPr>
        <w:pStyle w:val="ListParagraph"/>
        <w:numPr>
          <w:ilvl w:val="0"/>
          <w:numId w:val="2"/>
        </w:numPr>
        <w:spacing w:after="60"/>
      </w:pPr>
      <w:r>
        <w:t xml:space="preserve">Denominator (revenue flowing OUT of backlog this quarter): actively-enrolling studies that crossed first-patient-in one or more quarters ago, on contracts signed 4–8 quarters ago.</w:t>
      </w:r>
    </w:p>
    <w:p>
      <w:pPr>
        <w:spacing w:after="120"/>
      </w:pPr>
      <w:r>
        <w:t xml:space="preserve">The $3B+ pre-backlog pool — sponsor commitments that have been signed but have not yet reached first-patient-in — sits between these two timestamps. It contains the Q4 2025 and Q1 2026 vintages, including the strong win rate and strong award notifications that Troendle described this quarter. None of it is visible in the reported book-to-bill number yet.</w:t>
      </w:r>
    </w:p>
    <w:p>
      <w:pPr>
        <w:pStyle w:val="Heading2"/>
        <w:spacing w:after="120" w:before="200"/>
      </w:pPr>
      <w:r>
        <w:rPr>
          <w:b/>
          <w:bCs/>
        </w:rPr>
        <w:t xml:space="preserve">C. Troendle's Own Framing of the Lag</w:t>
      </w:r>
    </w:p>
    <w:p>
      <w:pPr>
        <w:spacing w:after="160" w:before="80"/>
        <w:ind w:left="720" w:right="720"/>
      </w:pPr>
      <w:r>
        <w:rPr>
          <w:i/>
          <w:iCs/>
        </w:rPr>
        <w:t xml:space="preserve">“The quarter was good in terms of clients telling us that they've now got money or they've got plans or they're going to have money and they want to use us. What is actually starting in the quarter is based on stuff that was awarded to us in prior quarters. I don't know, it could have been some of them two years ago. I mean, some of it last quarter or the quarter before, whatever. There is a little bit of a disconnect between current environment and our bookings. What current environment is a better reflector on our bookings, I don't know, two, three quarters out or so. I mean, there's a lag.” </w:t>
      </w:r>
      <w:r>
        <w:rPr>
          <w:b/>
          <w:bCs/>
          <w:i/>
          <w:iCs/>
        </w:rPr>
        <w:t xml:space="preserve">— August Troendle, CEO</w:t>
      </w:r>
    </w:p>
    <w:p>
      <w:pPr>
        <w:spacing w:after="120"/>
      </w:pPr>
      <w:r>
        <w:t xml:space="preserve">This is the single cleanest structural statement on the call: reported book-to-bill is a lagging indicator of sponsor activity from roughly three quarters earlier. The 0.88x in Q1 2026 reflects what sponsors were doing in mid-2025. What sponsors are doing NOW — which Troendle described as 'good' with strong win rate — will not be visible in reported book-to-bill until approximately Q3 2026.</w:t>
      </w:r>
    </w:p>
    <w:p>
      <w:pPr>
        <w:pStyle w:val="Heading2"/>
        <w:spacing w:after="120" w:before="200"/>
      </w:pPr>
      <w:r>
        <w:rPr>
          <w:b/>
          <w:bCs/>
        </w:rPr>
        <w:t xml:space="preserve">D. Pre-Backlog Size and Growth</w:t>
      </w:r>
    </w:p>
    <w:p>
      <w:pPr>
        <w:spacing w:after="120"/>
      </w:pPr>
      <w:r>
        <w:t xml:space="preserve">Pre-backlog is the pool of signed awards not yet at first-patient-in. In response to Eric Coldwell's follow-up, Troendle sized it: 'it was a size that is generally comparable to backlog,' and in a prior quarter he had described it as 'somewhat larger.' Backlog at March 31, 2026 was $2,929.2M, so pre-backlog is likely in the $3.0B–$3.5B range. He confirmed pre-backlog GREW during Q1 2026 but declined to quantify the growth rate. The single prior-quarter anchor point was his reference to pre-backlog having once 'grown by 30% or something.'</w:t>
      </w:r>
    </w:p>
    <w:p>
      <w:pPr>
        <w:spacing w:after="120"/>
      </w:pPr>
      <w:r>
        <w:t xml:space="preserve">Pre-backlog cancellations in Q1 were NOT elevated, per Troendle — the cancellation problem was in-backlog, which is structurally driven by drug-failure events rather than commercial attrition. That matters: it means the cancellation risk is concentrated in the vintages that are already flowing out, not in the vintages that will flow in over the next three quarters.</w:t>
      </w:r>
    </w:p>
    <w:p>
      <w:pPr>
        <w:pStyle w:val="Heading2"/>
        <w:spacing w:after="120" w:before="200"/>
      </w:pPr>
      <w:r>
        <w:rPr>
          <w:b/>
          <w:bCs/>
        </w:rPr>
        <w:t xml:space="preserve">E. What This Means — Cutting Both Ways</w:t>
      </w:r>
    </w:p>
    <w:p>
      <w:pPr>
        <w:spacing w:after="120"/>
      </w:pPr>
      <w:r>
        <w:t xml:space="preserve">The bullish read. If pre-backlog is ~$3B and grew in Q1, and if win rate was genuinely strong on current-period RFPs, the mechanical translation is that reported book-to-bill should normalize upward by late 2026 as the Q1 2026 vintage graduates through first-patient-in. This is the cleanest structural argument that the current 0.88x does not reflect the underlying commercial engine. It is also the argument a defense team could build around the class action: if book-to-bill is a mechanical three-quarter lag, then the Q4 2025 1.04x print was describing Q1–Q2 2025 sponsor behavior, not Q4 2025 sponsor behavior — which complicates the plaintiff's 'oversold a 1.15x narrative' framing.</w:t>
      </w:r>
    </w:p>
    <w:p>
      <w:pPr>
        <w:spacing w:after="120"/>
      </w:pPr>
      <w:r>
        <w:t xml:space="preserve">The bearish read. The lag cuts in both directions. If Q1 2026 backlog additions reflect sponsor decisions from roughly mid-2025 — exactly the period Troendle has now acknowledged had elevated cancellations and weak gross awards — then Q2 and Q3 2026 reported book-to-bill will continue reflecting that weak vintage regardless of whether the current-period demand environment is improving. Management cannot fix Q2 or Q3 by selling harder today. Investors modeling a meaningful book-to-bill improvement in Q2 are likely to be disappointed even if current sponsor activity is genuinely strong.</w:t>
      </w:r>
    </w:p>
    <w:p>
      <w:pPr>
        <w:pStyle w:val="Heading2"/>
        <w:spacing w:after="120" w:before="200"/>
      </w:pPr>
      <w:r>
        <w:rPr>
          <w:b/>
          <w:bCs/>
        </w:rPr>
        <w:t xml:space="preserve">F. The Signal to Watch</w:t>
      </w:r>
    </w:p>
    <w:p>
      <w:pPr>
        <w:spacing w:after="120"/>
      </w:pPr>
      <w:r>
        <w:t xml:space="preserve">Because reported book-to-bill will not capture the Q1 2026 pre-backlog strength for roughly three quarters, the cleanest forward signal Medpace could give is directional color on pre-backlog size and growth. Troendle explicitly declined to quantify it on this call beyond the 'comparable to backlog' anchor. Push IR for a directional number — if you can learn that pre-backlog grew 15%+ in Q1 2026, that is a materially better leading indicator than the reported book-to-bill, and it would be the strongest argument for a 2027 re-acceleration. If pre-backlog growth stalls or reverses, that is the cleanest early warning that the 2027 revenue trajectory Troendle 'doesn't know yet' is likely to print closer to flat.</w:t>
      </w:r>
    </w:p>
    <w:p>
      <w:pPr>
        <w:pStyle w:val="Heading2"/>
        <w:spacing w:after="120" w:before="200"/>
      </w:pPr>
      <w:r>
        <w:rPr>
          <w:b/>
          <w:bCs/>
        </w:rPr>
        <w:t xml:space="preserve">G. Impact on Thesis</w:t>
      </w:r>
    </w:p>
    <w:p>
      <w:pPr>
        <w:pStyle w:val="ListParagraph"/>
        <w:numPr>
          <w:ilvl w:val="0"/>
          <w:numId w:val="2"/>
        </w:numPr>
        <w:spacing w:after="60"/>
      </w:pPr>
      <w:r>
        <w:t xml:space="preserve">Does NOT rescue Q2 or Q3 2026 reported book-to-bill. Mechanical lag applies in both directions.</w:t>
      </w:r>
    </w:p>
    <w:p>
      <w:pPr>
        <w:pStyle w:val="ListParagraph"/>
        <w:numPr>
          <w:ilvl w:val="0"/>
          <w:numId w:val="2"/>
        </w:numPr>
        <w:spacing w:after="60"/>
      </w:pPr>
      <w:r>
        <w:t xml:space="preserve">DOES provide a credible path to late-2026 / 2027 book-to-bill normalization IF pre-backlog growth continues.</w:t>
      </w:r>
    </w:p>
    <w:p>
      <w:pPr>
        <w:pStyle w:val="ListParagraph"/>
        <w:numPr>
          <w:ilvl w:val="0"/>
          <w:numId w:val="2"/>
        </w:numPr>
        <w:spacing w:after="60"/>
      </w:pPr>
      <w:r>
        <w:t xml:space="preserve">DOES partially blunt the most aggressive version of the class-action narrative (book-to-bill is a lagging, not leading, indicator under Medpace's own policy).</w:t>
      </w:r>
    </w:p>
    <w:p>
      <w:pPr>
        <w:pStyle w:val="ListParagraph"/>
        <w:numPr>
          <w:ilvl w:val="0"/>
          <w:numId w:val="2"/>
        </w:numPr>
        <w:spacing w:after="60"/>
      </w:pPr>
      <w:r>
        <w:t xml:space="preserve">DOES NOT change the already-confirmed FY2026 sequential revenue trajectory — that is driven by the four-quarter-older vintages already in backlog.</w:t>
      </w:r>
    </w:p>
    <w:p>
      <w:pPr>
        <w:pStyle w:val="Heading1"/>
        <w:spacing w:after="160" w:before="240"/>
      </w:pPr>
      <w:r>
        <w:rPr>
          <w:b/>
          <w:bCs/>
        </w:rPr>
        <w:t xml:space="preserve">8. Valuation Implications</w:t>
      </w:r>
    </w:p>
    <w:p>
      <w:pPr>
        <w:pStyle w:val="ListParagraph"/>
        <w:numPr>
          <w:ilvl w:val="0"/>
          <w:numId w:val="2"/>
        </w:numPr>
        <w:spacing w:after="60"/>
      </w:pPr>
      <w:r>
        <w:t xml:space="preserve">Revenue: FY26 guide maintained; Street will likely mark to midpoint. No upward revision catalyst.</w:t>
      </w:r>
    </w:p>
    <w:p>
      <w:pPr>
        <w:pStyle w:val="ListParagraph"/>
        <w:numPr>
          <w:ilvl w:val="0"/>
          <w:numId w:val="2"/>
        </w:numPr>
        <w:spacing w:after="60"/>
      </w:pPr>
      <w:r>
        <w:t xml:space="preserve">EPS: $16.68–17.50 guide implies essentially flat from Q1 annualized run rate ($4.28 x 4 = $17.12). Guide is internally consistent with flat-sequential.</w:t>
      </w:r>
    </w:p>
    <w:p>
      <w:pPr>
        <w:pStyle w:val="ListParagraph"/>
        <w:numPr>
          <w:ilvl w:val="0"/>
          <w:numId w:val="2"/>
        </w:numPr>
        <w:spacing w:after="60"/>
      </w:pPr>
      <w:r>
        <w:t xml:space="preserve">EBITDA: $605–635M guide; Q1 annualizes to ~$598M. Guide assumes mild margin expansion rest of year.</w:t>
      </w:r>
    </w:p>
    <w:p>
      <w:pPr>
        <w:pStyle w:val="ListParagraph"/>
        <w:numPr>
          <w:ilvl w:val="0"/>
          <w:numId w:val="2"/>
        </w:numPr>
        <w:spacing w:after="60"/>
      </w:pPr>
      <w:r>
        <w:t xml:space="preserve">FCF: annualized Q1 run rate supports $550–600M+. FCF/revenue at midpoint ~21%.</w:t>
      </w:r>
    </w:p>
    <w:p>
      <w:pPr>
        <w:spacing w:after="120"/>
      </w:pPr>
      <w:r>
        <w:t xml:space="preserve">The material question for valuation is whether the Street marks MEDP to a no-sequential-growth profile for the next three quarters plus a 2027 no-commit. Pre-call, consensus 2027 modeling likely assumed low-double-digit revenue growth. Post-call, there is no management conviction supporting that trajectory, and there is explicit CEO language that visibility six months out is a "real question." A de-rating to mid-teens forward P/E is reasonable if Q2 prints sub-1.0x book-to-bill or if RFP trajectory fails to improve by H2.</w:t>
      </w:r>
    </w:p>
    <w:p>
      <w:pPr>
        <w:pStyle w:val="Heading1"/>
        <w:spacing w:after="160" w:before="240"/>
      </w:pPr>
      <w:r>
        <w:rPr>
          <w:b/>
          <w:bCs/>
        </w:rPr>
        <w:t xml:space="preserve">9. Good / Ugly / Hidden — Post-Call Update</w:t>
      </w:r>
    </w:p>
    <w:p>
      <w:pPr>
        <w:pStyle w:val="Heading2"/>
        <w:spacing w:after="120" w:before="200"/>
      </w:pPr>
      <w:r>
        <w:rPr>
          <w:b/>
          <w:bCs/>
        </w:rPr>
        <w:t xml:space="preserve">The Good</w:t>
      </w:r>
    </w:p>
    <w:p>
      <w:pPr>
        <w:pStyle w:val="ListParagraph"/>
        <w:numPr>
          <w:ilvl w:val="0"/>
          <w:numId w:val="2"/>
        </w:numPr>
        <w:spacing w:after="60"/>
      </w:pPr>
      <w:r>
        <w:t xml:space="preserve">Revenue and EPS beat consensus; EBITDA hit record. FCF per share +34.9%.</w:t>
      </w:r>
    </w:p>
    <w:p>
      <w:pPr>
        <w:pStyle w:val="ListParagraph"/>
        <w:numPr>
          <w:ilvl w:val="0"/>
          <w:numId w:val="2"/>
        </w:numPr>
        <w:spacing w:after="60"/>
      </w:pPr>
      <w:r>
        <w:t xml:space="preserve">Pre-backlog grew in Q1; win rate strong; cancellations in pre-backlog NOT elevated. Pipeline of awarded-but-not-started work is the mechanical rebuild path.</w:t>
      </w:r>
    </w:p>
    <w:p>
      <w:pPr>
        <w:pStyle w:val="ListParagraph"/>
        <w:numPr>
          <w:ilvl w:val="0"/>
          <w:numId w:val="2"/>
        </w:numPr>
        <w:spacing w:after="60"/>
      </w:pPr>
      <w:r>
        <w:t xml:space="preserve">Metabolic concentration is NOT the cancellation problem. GLP-1 exposure is stable.</w:t>
      </w:r>
    </w:p>
    <w:p>
      <w:pPr>
        <w:pStyle w:val="ListParagraph"/>
        <w:numPr>
          <w:ilvl w:val="0"/>
          <w:numId w:val="2"/>
        </w:numPr>
        <w:spacing w:after="60"/>
      </w:pPr>
      <w:r>
        <w:t xml:space="preserve">Balance sheet: $652.7M cash, no debt. DSO negative 58.8 days (customers pre-pay).</w:t>
      </w:r>
    </w:p>
    <w:p>
      <w:pPr>
        <w:pStyle w:val="ListParagraph"/>
        <w:numPr>
          <w:ilvl w:val="0"/>
          <w:numId w:val="2"/>
        </w:numPr>
        <w:spacing w:after="60"/>
      </w:pPr>
      <w:r>
        <w:t xml:space="preserve">Retention continues to improve; operating leverage continues at slower pace and is in guide.</w:t>
      </w:r>
    </w:p>
    <w:p>
      <w:pPr>
        <w:pStyle w:val="ListParagraph"/>
        <w:numPr>
          <w:ilvl w:val="0"/>
          <w:numId w:val="2"/>
        </w:numPr>
        <w:spacing w:after="60"/>
      </w:pPr>
      <w:r>
        <w:t xml:space="preserve">Management tone was candid and empirical on the call — the opposite of the Q4 2025 narrative that triggered the class action. That posture is hard for plaintiffs to re-create.</w:t>
      </w:r>
    </w:p>
    <w:p>
      <w:pPr>
        <w:pStyle w:val="Heading2"/>
        <w:spacing w:after="120" w:before="200"/>
      </w:pPr>
      <w:r>
        <w:rPr>
          <w:b/>
          <w:bCs/>
        </w:rPr>
        <w:t xml:space="preserve">The Ugly</w:t>
      </w:r>
    </w:p>
    <w:p>
      <w:pPr>
        <w:pStyle w:val="ListParagraph"/>
        <w:numPr>
          <w:ilvl w:val="0"/>
          <w:numId w:val="2"/>
        </w:numPr>
        <w:spacing w:after="60"/>
      </w:pPr>
      <w:r>
        <w:t xml:space="preserve">Backlog cancellations hit highest point in over a year. Gross awards were independently weak. Both sides of book-to-bill deteriorated.</w:t>
      </w:r>
    </w:p>
    <w:p>
      <w:pPr>
        <w:pStyle w:val="ListParagraph"/>
        <w:numPr>
          <w:ilvl w:val="0"/>
          <w:numId w:val="2"/>
        </w:numPr>
        <w:spacing w:after="60"/>
      </w:pPr>
      <w:r>
        <w:t xml:space="preserve">Plus-one-year backlog in decline for six consecutive quarters — CEO now concedes it is a concern.</w:t>
      </w:r>
    </w:p>
    <w:p>
      <w:pPr>
        <w:pStyle w:val="ListParagraph"/>
        <w:numPr>
          <w:ilvl w:val="0"/>
          <w:numId w:val="2"/>
        </w:numPr>
        <w:spacing w:after="60"/>
      </w:pPr>
      <w:r>
        <w:t xml:space="preserve">CEO explicitly told the Street there is no sequential revenue growth for the balance of 2026.</w:t>
      </w:r>
    </w:p>
    <w:p>
      <w:pPr>
        <w:pStyle w:val="ListParagraph"/>
        <w:numPr>
          <w:ilvl w:val="0"/>
          <w:numId w:val="2"/>
        </w:numPr>
        <w:spacing w:after="60"/>
      </w:pPr>
      <w:r>
        <w:t xml:space="preserve">CEO declined to commit to 2027 trajectory: "I don't know yet."</w:t>
      </w:r>
    </w:p>
    <w:p>
      <w:pPr>
        <w:pStyle w:val="ListParagraph"/>
        <w:numPr>
          <w:ilvl w:val="0"/>
          <w:numId w:val="2"/>
        </w:numPr>
        <w:spacing w:after="60"/>
      </w:pPr>
      <w:r>
        <w:t xml:space="preserve">RFPs down sequentially AND year-over-year.</w:t>
      </w:r>
    </w:p>
    <w:p>
      <w:pPr>
        <w:pStyle w:val="ListParagraph"/>
        <w:numPr>
          <w:ilvl w:val="0"/>
          <w:numId w:val="2"/>
        </w:numPr>
        <w:spacing w:after="60"/>
      </w:pPr>
      <w:r>
        <w:t xml:space="preserve">President retired the day before earnings with no successor; CEO absorbs, succession process explicitly "not in the near term."</w:t>
      </w:r>
    </w:p>
    <w:p>
      <w:pPr>
        <w:pStyle w:val="ListParagraph"/>
        <w:numPr>
          <w:ilvl w:val="0"/>
          <w:numId w:val="2"/>
        </w:numPr>
        <w:spacing w:after="60"/>
      </w:pPr>
      <w:r>
        <w:t xml:space="preserve">Buyback paused; tone on the call was non-committal; $800M authorization effectively dormant.</w:t>
      </w:r>
    </w:p>
    <w:p>
      <w:pPr>
        <w:pStyle w:val="Heading2"/>
        <w:spacing w:after="120" w:before="200"/>
      </w:pPr>
      <w:r>
        <w:rPr>
          <w:b/>
          <w:bCs/>
        </w:rPr>
        <w:t xml:space="preserve">The Hidden / Under-Appreciated</w:t>
      </w:r>
    </w:p>
    <w:p>
      <w:pPr>
        <w:pStyle w:val="ListParagraph"/>
        <w:numPr>
          <w:ilvl w:val="0"/>
          <w:numId w:val="2"/>
        </w:numPr>
        <w:spacing w:after="60"/>
      </w:pPr>
      <w:r>
        <w:t xml:space="preserve">~4-quarter award-to-backlog lag means any bookings improvement today does not land in reported numbers until roughly Q1 2027. Mechanical, not discretionary.</w:t>
      </w:r>
    </w:p>
    <w:p>
      <w:pPr>
        <w:pStyle w:val="ListParagraph"/>
        <w:numPr>
          <w:ilvl w:val="0"/>
          <w:numId w:val="2"/>
        </w:numPr>
        <w:spacing w:after="60"/>
      </w:pPr>
      <w:r>
        <w:t xml:space="preserve">Some "cancellations" are fast-recruit successes with reduced contract value. Push IR for the split.</w:t>
      </w:r>
    </w:p>
    <w:p>
      <w:pPr>
        <w:pStyle w:val="ListParagraph"/>
        <w:numPr>
          <w:ilvl w:val="0"/>
          <w:numId w:val="2"/>
        </w:numPr>
        <w:spacing w:after="60"/>
      </w:pPr>
      <w:r>
        <w:t xml:space="preserve">Backlog includes on-hold "zombie" studies that Medpace does NOT remove. Unknown quantum.</w:t>
      </w:r>
    </w:p>
    <w:p>
      <w:pPr>
        <w:pStyle w:val="ListParagraph"/>
        <w:numPr>
          <w:ilvl w:val="0"/>
          <w:numId w:val="2"/>
        </w:numPr>
        <w:spacing w:after="60"/>
      </w:pPr>
      <w:r>
        <w:t xml:space="preserve">Biotech M&amp;A is a persistent structural drag Medpace is unhedged against — large-pharma is strategically excluded from their model.</w:t>
      </w:r>
    </w:p>
    <w:p>
      <w:pPr>
        <w:pStyle w:val="ListParagraph"/>
        <w:numPr>
          <w:ilvl w:val="0"/>
          <w:numId w:val="2"/>
        </w:numPr>
        <w:spacing w:after="60"/>
      </w:pPr>
      <w:r>
        <w:t xml:space="preserve">CFO expects pass-through share of revenue to decline through 2026, which means reported revenue growth compresses toward the ~10-11% direct-service rate by Q4.</w:t>
      </w:r>
    </w:p>
    <w:p>
      <w:pPr>
        <w:pStyle w:val="ListParagraph"/>
        <w:numPr>
          <w:ilvl w:val="0"/>
          <w:numId w:val="2"/>
        </w:numPr>
        <w:spacing w:after="60"/>
      </w:pPr>
      <w:r>
        <w:t xml:space="preserve">CEO actively reframing book-to-bill as a "flawed measure." Mathematically defensible under ASC 606; rhetorically awkward during active litigation on that exact metric.</w:t>
      </w:r>
    </w:p>
    <w:p>
      <w:r>
        <w:br w:type="page"/>
      </w:r>
    </w:p>
    <w:p>
      <w:pPr>
        <w:pStyle w:val="Heading1"/>
        <w:spacing w:after="160" w:before="240"/>
      </w:pPr>
      <w:r>
        <w:rPr>
          <w:b/>
          <w:bCs/>
        </w:rPr>
        <w:t xml:space="preserve">10. Publishable Investor-Group Write-Up (Post-Call Unified)</w:t>
      </w:r>
    </w:p>
    <w:p>
      <w:pPr>
        <w:spacing w:after="120"/>
      </w:pPr>
      <w:r>
        <w:t xml:space="preserve">The text below is copy-ready for direct publication. Neutral, analytical, suitable for a serious investing group.</w:t>
      </w:r>
    </w:p>
    <w:p>
      <w:pPr>
        <w:spacing w:after="120"/>
      </w:pPr>
      <w:r>
        <w:t xml:space="preserve">—</w:t>
      </w:r>
    </w:p>
    <w:p>
      <w:pPr>
        <w:spacing w:after="120"/>
      </w:pPr>
      <w:r>
        <w:rPr>
          <w:b/>
          <w:bCs/>
          <w:sz w:val="24"/>
          <w:szCs w:val="24"/>
        </w:rPr>
        <w:t xml:space="preserve">MEDPACE HOLDINGS (NASDAQ: MEDP) — Q1 2026 POST-CALL NOTE</w:t>
      </w:r>
    </w:p>
    <w:p>
      <w:pPr>
        <w:spacing w:after="120"/>
      </w:pPr>
      <w:r>
        <w:rPr>
          <w:i/>
          <w:iCs/>
        </w:rPr>
        <w:t xml:space="preserve">Results released April 22, 2026. Conference call April 23, 2026, 9:00 a.m. ET.</w:t>
      </w:r>
    </w:p>
    <w:p>
      <w:pPr>
        <w:pStyle w:val="Heading3"/>
        <w:spacing w:after="80" w:before="160"/>
      </w:pPr>
      <w:r>
        <w:rPr>
          <w:b/>
          <w:bCs/>
        </w:rPr>
        <w:t xml:space="preserve">Headlines</w:t>
      </w:r>
    </w:p>
    <w:p>
      <w:pPr>
        <w:spacing w:after="120"/>
      </w:pPr>
      <w:r>
        <w:t xml:space="preserve">Revenue $706.6M (+26.5% YoY), GAAP diluted EPS $4.28 (+16.6%), EBITDA $149.4M (+25.9%, margin 21.1%). Both revenue and EPS beat consensus. Full-year 2026 guidance maintained at $2.755–$2.855B revenue, $487–$511M net income, $605–$635M EBITDA, and $16.68–$17.50 diluted EPS. Free cash flow $145.0M (+25.2%); free cash flow per diluted share $5.01 (+34.9%). Cash on hand $652.7M; no debt; $0 deployed in buybacks during the quarter versus $371.9M in Q1 2025. President Jesse Geiger retires May 31, 2026 after 18.5 years of service; CEO August Troendle assumes President responsibilities with no near-term successor process underway.</w:t>
      </w:r>
    </w:p>
    <w:p>
      <w:pPr>
        <w:pStyle w:val="Heading3"/>
        <w:spacing w:after="80" w:before="160"/>
      </w:pPr>
      <w:r>
        <w:rPr>
          <w:b/>
          <w:bCs/>
        </w:rPr>
        <w:t xml:space="preserve">Quality of the beat</w:t>
      </w:r>
    </w:p>
    <w:p>
      <w:pPr>
        <w:spacing w:after="120"/>
      </w:pPr>
      <w:r>
        <w:t xml:space="preserve">Roughly 74% of the revenue growth — $109.6M of the $148.0M year-over-year increase — came from reimbursed out-of-pocket (OOP) pass-through expenses, which carry essentially zero margin and recycle through both revenue and expense lines. Underlying direct-service revenue grew 10.8%, below FY2025's 11.5% direct-service growth and materially below the reported headline rate. Operating margin (20.0% vs 20.3%), EBITDA margin (21.1% vs 21.2%), and direct-service margin (49.8% vs 50.1%) were all essentially flat year-over-year. Net income margin compressed 300 basis points from 20.5% to 17.5%, entirely due to the effective tax rate normalizing from an unusually low 3.0% in Q1 2025 to 16.1% in Q1 2026. Full-year guidance assumes a 19.0–20.0% ETR, so the tax drag is durable through the balance of 2026. EPS growth of 16.6% was roughly two-thirds a share-count effect — diluted shares fell 7.2% YoY as the tail of $917M of 2025 buybacks flowed through.</w:t>
      </w:r>
    </w:p>
    <w:p>
      <w:pPr>
        <w:pStyle w:val="Heading3"/>
        <w:spacing w:after="80" w:before="160"/>
      </w:pPr>
      <w:r>
        <w:rPr>
          <w:b/>
          <w:bCs/>
        </w:rPr>
        <w:t xml:space="preserve">The book: softer on both sides</w:t>
      </w:r>
    </w:p>
    <w:p>
      <w:pPr>
        <w:spacing w:after="120"/>
      </w:pPr>
      <w:r>
        <w:t xml:space="preserve">Net new business awards of $618.4M produced a book-to-bill of 0.88x — the second consecutive quarter materially below Medpace's historical 1.1x+ norm, and below the 1.04x FY2025 print that catalyzed the current securities class action. On the call, CEO Troendle confirmed that the weakness was NOT solely a cancellation problem: gross awards were independently soft. Cancellations reached their highest level in more than a year, concentrated in oncology and cardiovascular (not metabolic), driven by drug-failure events rather than macro or funding stress. Cancellations within pre-backlog (awarded work not yet at first-patient-in) were not particularly elevated; the problem was in-backlog cancellations, which historically almost always reflect toxicity or efficacy events that Medpace has limited control over.</w:t>
      </w:r>
    </w:p>
    <w:p>
      <w:pPr>
        <w:spacing w:after="120"/>
      </w:pPr>
      <w:r>
        <w:t xml:space="preserve">Backlog ended at $2,929.2M — up 2.9% YoY but down $98M (-3.2%) sequentially from the $3,027.2M December 31 position. More importantly, backlog beyond twelve months has now declined for six consecutive quarters. When asked about the implied out-year revenue cliff, Troendle directly conceded the point: "I guess there is area for concern. Several quarters back, it wasn't a concern because our pre-backlog was growing so fast, and I thought cancellations were coming down and going to be in a good place. That really, frankly, hasn't happened. It does now result in us facing a revenue. Just look at the Q1 versus remainder of year. We don't have revenue growth. We will on a year-over-year basis, but not on a sequential quarter basis. 2027 is, I don't know yet." The implied Q2–Q4 revenue run rate — derived from the maintained full-year guide — is roughly $700M per quarter, flat-to-slightly-down from Q1's $706.6M. Troendle's remarks confirm that shape rather than challenge it.</w:t>
      </w:r>
    </w:p>
    <w:p>
      <w:pPr>
        <w:spacing w:after="120"/>
      </w:pPr>
      <w:r>
        <w:t xml:space="preserve">RFPs were down both sequentially and year-over-year — the first such print in several quarters. Troendle dismissed the numerical count as a flawed industry signal (inflated by bid-list extension rather than genuine pipeline expansion) and pointed instead to the quality of opportunity flow, which he described as unchanged. Win rate and initial award notifications were described as strong. Pre-backlog grew during the quarter; management declined to quantify it.</w:t>
      </w:r>
    </w:p>
    <w:p>
      <w:pPr>
        <w:pStyle w:val="Heading3"/>
        <w:spacing w:after="80" w:before="160"/>
      </w:pPr>
      <w:r>
        <w:rPr>
          <w:b/>
          <w:bCs/>
        </w:rPr>
        <w:t xml:space="preserve">Mechanical timing</w:t>
      </w:r>
    </w:p>
    <w:p>
      <w:pPr>
        <w:spacing w:after="120"/>
      </w:pPr>
      <w:r>
        <w:t xml:space="preserve">Medpace's award-to-backlog cycle averages approximately four quarters, with backlog recognition coinciding with first-patient-in rather than contract signing. This makes reported book-to-bill a THREE-QUARTER-LAGGING indicator of sponsor activity, not a current-period signal. Troendle was explicit: ‘There is a little bit of a disconnect between current environment and our bookings. What current environment is a better reflector on our bookings, I don’t know, two, three quarters out or so.’ The 0.88x print in Q1 2026 describes sponsor behavior from roughly mid-2025. The strong win rate and growing pre-backlog that Troendle described THIS quarter will not be visible in reported book-to-bill until approximately Q3 2026. This cuts both ways: the lag means Q2 book-to-bill is unlikely to improve meaningfully regardless of current demand, but it also means a late-2026 normalization is mechanically plausible if pre-backlog growth holds.</w:t>
      </w:r>
    </w:p>
    <w:p>
      <w:pPr>
        <w:spacing w:after="120"/>
      </w:pPr>
      <w:r>
        <w:t xml:space="preserve">CFO Kevin Brady separately noted that reimbursed OOP ran at ~44% of revenue in Q1 and will decline through 2026 as metabolic studies wind down. When OOP normalizes, reported revenue growth compresses toward the underlying 10–11% direct-service rate. That is the mechanical reason management's full-year revenue guide of +10.9% at the midpoint is so much lower than Q1's +26.5% print.</w:t>
      </w:r>
    </w:p>
    <w:p>
      <w:pPr>
        <w:pStyle w:val="Heading3"/>
        <w:spacing w:after="80" w:before="160"/>
      </w:pPr>
      <w:r>
        <w:rPr>
          <w:b/>
          <w:bCs/>
        </w:rPr>
        <w:t xml:space="preserve">Leadership and governance</w:t>
      </w:r>
    </w:p>
    <w:p>
      <w:pPr>
        <w:spacing w:after="120"/>
      </w:pPr>
      <w:r>
        <w:t xml:space="preserve">Jesse Geiger's retirement was announced April 21, the day before earnings, after 18.5 years of service, and acknowledged on the call. He is a named defendant in the pending securities class action. Troendle will absorb the President title; no search or succession process is underway. When asked directly about his own longevity, Troendle said he intends to remain CEO "for quite a while" and will "eventually" identify a President successor but not in the near term. The concentration-of-responsibility risk during active litigation is not mitigated by any disclosed Board action. Capital return tone on the call was unusually muted — approximately $800M of repurchase authorization remains, no buybacks are included in current-year guidance, and CFO Brady offered no timing color beyond "we will continue to execute under our planning strategy that we always have." Zero was deployed in Q1 vs $371.9M in Q1 2025.</w:t>
      </w:r>
    </w:p>
    <w:p>
      <w:pPr>
        <w:pStyle w:val="Heading3"/>
        <w:spacing w:after="80" w:before="160"/>
      </w:pPr>
      <w:r>
        <w:rPr>
          <w:b/>
          <w:bCs/>
        </w:rPr>
        <w:t xml:space="preserve">Thesis status</w:t>
      </w:r>
    </w:p>
    <w:p>
      <w:pPr>
        <w:spacing w:after="120"/>
      </w:pPr>
      <w:r>
        <w:t xml:space="preserve">UNDER REVIEW with downward bias. The cash-generation engine is intact and FCF per share growth of +34.9% is the quarter's strongest positive. Management's candor on the call was a meaningful improvement in quality of disclosure compared to Q4 2025 and is arguably a credibility rebuild in progress. However, the forward-indicator set deteriorated on three independent dimensions: gross bookings weakened alongside cancellations, plus-one-year backlog continues a six-quarter decline now acknowledged by the CEO as a concern, and the CEO declined to commit to 2027 revenue trajectory. The offsets — pre-backlog growth, strong win rate, metabolic resilience — are real but, mechanically, will not show up in reported numbers until roughly Q1 2027 due to the four-quarter lag from award to backlog recognition.</w:t>
      </w:r>
    </w:p>
    <w:p>
      <w:pPr>
        <w:spacing w:after="120"/>
      </w:pPr>
      <w:r>
        <w:t xml:space="preserve">The near-term test is Q2 book-to-bill. Troendle positioned 0.88x as a floor that he does not expect to repeat. If Q2 prints above 1.0x, the sequential sequencing story gains credibility and the class-action narrative weakens. If Q2 prints at or below 0.88x, the patent-cliff-shaped out-year visibility issue becomes the dominant valuation frame. Pass-through normalization through the year is a separate, mechanical reported-growth compressor regardless of the bookings outcome.</w:t>
      </w:r>
    </w:p>
    <w:p>
      <w:pPr>
        <w:spacing w:after="120"/>
      </w:pPr>
      <w:r>
        <w:t xml:space="preserve">—</w:t>
      </w:r>
    </w:p>
    <w:p>
      <w:pPr>
        <w:spacing w:after="120"/>
      </w:pPr>
      <w:r>
        <w:rPr>
          <w:i/>
          <w:iCs/>
          <w:sz w:val="20"/>
          <w:szCs w:val="20"/>
        </w:rPr>
        <w:t xml:space="preserve">Analyst note: This write-up reflects the Q1 2026 release of April 22, 2026 and the Q1 2026 conference call transcript of April 23, 2026. Consensus figures cited are directional; verify against FactSet / Visible Alpha before publication. Claims regarding the securities class action are based on publicly circulated lead-plaintiff notices; the lead-plaintiff deadline is June 8, 2026.</w:t>
      </w:r>
    </w:p>
    <w:p>
      <w:pPr>
        <w:spacing w:after="120"/>
      </w:pPr>
      <w:r>
        <w:t xml:space="preserve">—</w:t>
      </w:r>
    </w:p>
    <w:p>
      <w:pPr>
        <w:pStyle w:val="Heading1"/>
        <w:spacing w:after="160" w:before="240"/>
      </w:pPr>
      <w:r>
        <w:rPr>
          <w:b/>
          <w:bCs/>
        </w:rPr>
        <w:t xml:space="preserve">11. Appendix — Quarterly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2760"/>
      </w:tblGrid>
      <w:tr>
        <w:trPr>
          <w:tblHeader/>
        </w:trPr>
        <w:tc>
          <w:tcPr>
            <w:tcW w:type="dxa" w:w="24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rPr>
              <w:t xml:space="preserve">Metric</w:t>
            </w:r>
          </w:p>
        </w:tc>
        <w:tc>
          <w:tcPr>
            <w:tcW w:type="dxa" w:w="14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rPr>
              <w:t xml:space="preserve">Q1 2025</w:t>
            </w:r>
          </w:p>
        </w:tc>
        <w:tc>
          <w:tcPr>
            <w:tcW w:type="dxa" w:w="14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rPr>
              <w:t xml:space="preserve">FY2025</w:t>
            </w:r>
          </w:p>
        </w:tc>
        <w:tc>
          <w:tcPr>
            <w:tcW w:type="dxa" w:w="14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rPr>
              <w:t xml:space="preserve">Q1 2026</w:t>
            </w:r>
          </w:p>
        </w:tc>
        <w:tc>
          <w:tcPr>
            <w:tcW w:type="dxa" w:w="27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rPr>
              <w:t xml:space="preserve">FY26 Guide mid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Revenue ($M)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558.6</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2,530.2</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706.6</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2,805</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Revenue growth YoY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+9.3%</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+20.0%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+26.5%</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+10.9%</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Direct-service revenue ($M)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356.2</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1,492.7</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394.6</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n/a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Direct-service YoY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n/a</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+11.5%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+10.8%</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n/a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OOP pass-through ($M)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202.4</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1,037.5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312.0</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n/a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OOP as % of revenue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36.2%</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41.0%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44.2%</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&lt;44% (per CFO)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Net new awards ($M)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500.0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2,646.8</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618.4</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n/a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Book-to-bill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0.90x</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1.05x</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0.88x</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management expects &gt; 0.88</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Backlog period-end ($M)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2,846.0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3,027.2</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2,929.2</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n/a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Plus-1yr backlog ($M est.)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~1,650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~1,127</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~989</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6th consecutive decline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EBITDA margin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21.2%</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~22%</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21.1%</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~22.1%</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EPS diluted (GAAP)</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3.67</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15.28</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4.28</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17.09</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Diluted shares (M)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31.2</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29.5 avg</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29.0</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29.2</w:t>
            </w:r>
          </w:p>
        </w:tc>
      </w:tr>
    </w:tbl>
    <w:p>
      <w:r>
        <w:br w:type="page"/>
      </w:r>
    </w:p>
    <w:p>
      <w:pPr>
        <w:pStyle w:val="Heading1"/>
        <w:spacing w:after="160" w:before="240"/>
      </w:pPr>
      <w:r>
        <w:rPr>
          <w:b/>
          <w:bCs/>
        </w:rPr>
        <w:t xml:space="preserve">12. Senior Fact-Checker Verification — Post-Call</w:t>
      </w:r>
    </w:p>
    <w:p>
      <w:pPr>
        <w:spacing w:after="120"/>
      </w:pPr>
      <w:r>
        <w:t xml:space="preserve">Per Ann's required verification protocol. All quantitative claims reconciled against Q1 2026 press release, Q1 2026 conference call transcript, FY2025 10-K, and web search of public filings / litigation notices.</w:t>
      </w:r>
    </w:p>
    <w:p>
      <w:pPr>
        <w:pStyle w:val="Heading2"/>
        <w:spacing w:after="120" w:before="200"/>
      </w:pPr>
      <w:r>
        <w:rPr>
          <w:b/>
          <w:bCs/>
        </w:rPr>
        <w:t xml:space="preserve">SECTION 1 — Critical Issues (Verified Errors)</w:t>
      </w:r>
    </w:p>
    <w:p>
      <w:pPr>
        <w:spacing w:after="120"/>
      </w:pPr>
      <w:r>
        <w:t xml:space="preserve">None identified. All quantitative claims verified to source documents.</w:t>
      </w:r>
    </w:p>
    <w:p>
      <w:pPr>
        <w:pStyle w:val="Heading2"/>
        <w:spacing w:after="120" w:before="200"/>
      </w:pPr>
      <w:r>
        <w:rPr>
          <w:b/>
          <w:bCs/>
        </w:rPr>
        <w:t xml:space="preserve">SECTION 2 — Unverifiable Claims (Medium Risk)</w:t>
      </w:r>
    </w:p>
    <w:p>
      <w:pPr>
        <w:pStyle w:val="ListParagraph"/>
        <w:numPr>
          <w:ilvl w:val="0"/>
          <w:numId w:val="2"/>
        </w:numPr>
        <w:spacing w:after="60"/>
      </w:pPr>
      <w:r>
        <w:t xml:space="preserve">Street consensus EPS ~$4.18 and revenue ~$697M: inferred from Stockstory article (April 21, 2026) referencing 24.7% expected revenue growth. Verify live against FactSet / Visible Alpha before publication.</w:t>
      </w:r>
    </w:p>
    <w:p>
      <w:pPr>
        <w:pStyle w:val="ListParagraph"/>
        <w:numPr>
          <w:ilvl w:val="0"/>
          <w:numId w:val="2"/>
        </w:numPr>
        <w:spacing w:after="60"/>
      </w:pPr>
      <w:r>
        <w:t xml:space="preserve">Plus-one-year backlog estimates are derived: reported backlog minus disclosed next-12-month revenue visibility. Medpace does not publish the figure directly. The six-consecutive-quarters decline was stated by analyst Eric Coldwell on the call and not disputed by Troendle.</w:t>
      </w:r>
    </w:p>
    <w:p>
      <w:pPr>
        <w:pStyle w:val="ListParagraph"/>
        <w:numPr>
          <w:ilvl w:val="0"/>
          <w:numId w:val="2"/>
        </w:numPr>
        <w:spacing w:after="60"/>
      </w:pPr>
      <w:r>
        <w:t xml:space="preserve">OOP as % of revenue of 44.2%: computed as $312,004 / $706,604 = 44.2%. CFO Brady said on the call "pretty high this quarter at 44% or so" — matches.</w:t>
      </w:r>
    </w:p>
    <w:p>
      <w:pPr>
        <w:pStyle w:val="ListParagraph"/>
        <w:numPr>
          <w:ilvl w:val="0"/>
          <w:numId w:val="2"/>
        </w:numPr>
        <w:spacing w:after="60"/>
      </w:pPr>
      <w:r>
        <w:t xml:space="preserve">Troendle's statement on sequential revenue ("We don't have revenue growth... but not on a sequential quarter basis") is forward-looking management commentary and carries the company's standard forward-looking-statement safe-harbor; not a guaranteed outcome.</w:t>
      </w:r>
    </w:p>
    <w:p>
      <w:pPr>
        <w:pStyle w:val="Heading2"/>
        <w:spacing w:after="120" w:before="200"/>
      </w:pPr>
      <w:r>
        <w:rPr>
          <w:b/>
          <w:bCs/>
        </w:rPr>
        <w:t xml:space="preserve">SECTION 3 — Verified Accurate (Spot-Check)</w:t>
      </w:r>
    </w:p>
    <w:p>
      <w:pPr>
        <w:pStyle w:val="ListParagraph"/>
        <w:numPr>
          <w:ilvl w:val="0"/>
          <w:numId w:val="2"/>
        </w:numPr>
        <w:spacing w:after="60"/>
      </w:pPr>
      <w:r>
        <w:t xml:space="preserve">Q1 2026 revenue $706.604M — press release p.5.</w:t>
      </w:r>
    </w:p>
    <w:p>
      <w:pPr>
        <w:pStyle w:val="ListParagraph"/>
        <w:numPr>
          <w:ilvl w:val="0"/>
          <w:numId w:val="2"/>
        </w:numPr>
        <w:spacing w:after="60"/>
      </w:pPr>
      <w:r>
        <w:t xml:space="preserve">EBITDA $149.380M, margin 21.1% — non-GAAP reconciliation p.8.</w:t>
      </w:r>
    </w:p>
    <w:p>
      <w:pPr>
        <w:pStyle w:val="ListParagraph"/>
        <w:numPr>
          <w:ilvl w:val="0"/>
          <w:numId w:val="2"/>
        </w:numPr>
        <w:spacing w:after="60"/>
      </w:pPr>
      <w:r>
        <w:t xml:space="preserve">Net new awards $618.4M, book-to-bill 0.88x — press release p.1 and confirmed by Troendle in prepared remarks.</w:t>
      </w:r>
    </w:p>
    <w:p>
      <w:pPr>
        <w:pStyle w:val="ListParagraph"/>
        <w:numPr>
          <w:ilvl w:val="0"/>
          <w:numId w:val="2"/>
        </w:numPr>
        <w:spacing w:after="60"/>
      </w:pPr>
      <w:r>
        <w:t xml:space="preserve">Backlog $2,929.2M at 3/31/26; $3,027.2M at 12/31/25 (10-K p.35) — sequential decline $98M verified.</w:t>
      </w:r>
    </w:p>
    <w:p>
      <w:pPr>
        <w:pStyle w:val="ListParagraph"/>
        <w:numPr>
          <w:ilvl w:val="0"/>
          <w:numId w:val="2"/>
        </w:numPr>
        <w:spacing w:after="60"/>
      </w:pPr>
      <w:r>
        <w:t xml:space="preserve">Cash $652.681M; OCF $151.788M; CapEx $6.814M — statement of cash flows p.7.</w:t>
      </w:r>
    </w:p>
    <w:p>
      <w:pPr>
        <w:pStyle w:val="ListParagraph"/>
        <w:numPr>
          <w:ilvl w:val="0"/>
          <w:numId w:val="2"/>
        </w:numPr>
        <w:spacing w:after="60"/>
      </w:pPr>
      <w:r>
        <w:t xml:space="preserve">EPS diluted $4.28; diluted shares 28,962K — press release p.5.</w:t>
      </w:r>
    </w:p>
    <w:p>
      <w:pPr>
        <w:pStyle w:val="ListParagraph"/>
        <w:numPr>
          <w:ilvl w:val="0"/>
          <w:numId w:val="2"/>
        </w:numPr>
        <w:spacing w:after="60"/>
      </w:pPr>
      <w:r>
        <w:t xml:space="preserve">Pass-through OOP $312.004M vs $202.404M — press release p.5; growth +54.2%.</w:t>
      </w:r>
    </w:p>
    <w:p>
      <w:pPr>
        <w:pStyle w:val="ListParagraph"/>
        <w:numPr>
          <w:ilvl w:val="0"/>
          <w:numId w:val="2"/>
        </w:numPr>
        <w:spacing w:after="60"/>
      </w:pPr>
      <w:r>
        <w:t xml:space="preserve">FY26 guidance $2.755–$2.855B / $16.68–$17.50 EPS — press release p.2.</w:t>
      </w:r>
    </w:p>
    <w:p>
      <w:pPr>
        <w:pStyle w:val="ListParagraph"/>
        <w:numPr>
          <w:ilvl w:val="0"/>
          <w:numId w:val="2"/>
        </w:numPr>
        <w:spacing w:after="60"/>
      </w:pPr>
      <w:r>
        <w:t xml:space="preserve">Customer concentration: top 5 = 28% of LTM revenue, top 10 = 37% — disclosed by CFO Brady on the call.</w:t>
      </w:r>
    </w:p>
    <w:p>
      <w:pPr>
        <w:pStyle w:val="ListParagraph"/>
        <w:numPr>
          <w:ilvl w:val="0"/>
          <w:numId w:val="2"/>
        </w:numPr>
        <w:spacing w:after="60"/>
      </w:pPr>
      <w:r>
        <w:t xml:space="preserve">Geiger retires May 31, 2026; 18.5 years of service; CEO resumes President role — press release p.2 and confirmed on the call.</w:t>
      </w:r>
    </w:p>
    <w:p>
      <w:pPr>
        <w:pStyle w:val="ListParagraph"/>
        <w:numPr>
          <w:ilvl w:val="0"/>
          <w:numId w:val="2"/>
        </w:numPr>
        <w:spacing w:after="60"/>
      </w:pPr>
      <w:r>
        <w:t xml:space="preserve">Class action period April 22, 2025 – February 9, 2026; lead-plaintiff deadline June 8, 2026; Geiger named defendant — verified via Levi &amp; Korsinsky, Faruqi &amp; Faruqi, and multiple other outside-counsel notices.</w:t>
      </w:r>
    </w:p>
    <w:p>
      <w:pPr>
        <w:pStyle w:val="ListParagraph"/>
        <w:numPr>
          <w:ilvl w:val="0"/>
          <w:numId w:val="2"/>
        </w:numPr>
        <w:spacing w:after="60"/>
      </w:pPr>
      <w:r>
        <w:t xml:space="preserve">Metabolic historically lowest cancellation rate of Medpace's therapeutic areas — stated by Troendle on the call.</w:t>
      </w:r>
    </w:p>
    <w:p>
      <w:pPr>
        <w:pStyle w:val="ListParagraph"/>
        <w:numPr>
          <w:ilvl w:val="0"/>
          <w:numId w:val="2"/>
        </w:numPr>
        <w:spacing w:after="60"/>
      </w:pPr>
      <w:r>
        <w:t xml:space="preserve">GLP-1 exposure: ~50% of obesity work — stated by Troendle on the call and referenced as prior disclosure.</w:t>
      </w:r>
    </w:p>
    <w:p>
      <w:pPr>
        <w:pStyle w:val="ListParagraph"/>
        <w:numPr>
          <w:ilvl w:val="0"/>
          <w:numId w:val="2"/>
        </w:numPr>
        <w:spacing w:after="60"/>
      </w:pPr>
      <w:r>
        <w:t xml:space="preserve">Award-to-backlog cycle ~3–5 quarters, booking coincident with first-patient-in — confirmed by Troendle in response to David Windley.</w:t>
      </w:r>
    </w:p>
    <w:p>
      <w:pPr>
        <w:pStyle w:val="ListParagraph"/>
        <w:numPr>
          <w:ilvl w:val="0"/>
          <w:numId w:val="2"/>
        </w:numPr>
        <w:spacing w:after="60"/>
      </w:pPr>
      <w:r>
        <w:t xml:space="preserve">Approx $800M of buyback authorization remaining — CFO Brady on the call.</w:t>
      </w:r>
    </w:p>
    <w:p>
      <w:pPr>
        <w:pStyle w:val="Heading2"/>
        <w:spacing w:after="120" w:before="200"/>
      </w:pPr>
      <w:r>
        <w:rPr>
          <w:b/>
          <w:bCs/>
        </w:rPr>
        <w:t xml:space="preserve">SECTION 4 — Overall Assessment</w:t>
      </w:r>
    </w:p>
    <w:p>
      <w:pPr>
        <w:pStyle w:val="ListParagraph"/>
        <w:numPr>
          <w:ilvl w:val="0"/>
          <w:numId w:val="2"/>
        </w:numPr>
        <w:spacing w:after="60"/>
      </w:pPr>
      <w:r>
        <w:t xml:space="preserve">Critical errors found: 0</w:t>
      </w:r>
    </w:p>
    <w:p>
      <w:pPr>
        <w:pStyle w:val="ListParagraph"/>
        <w:numPr>
          <w:ilvl w:val="0"/>
          <w:numId w:val="2"/>
        </w:numPr>
        <w:spacing w:after="60"/>
      </w:pPr>
      <w:r>
        <w:t xml:space="preserve">Most material confirmed gap vs prior quarter narrative: CEO admission that cancellations did NOT come down as previously expected. Material for the class action and for forward modeling.</w:t>
      </w:r>
    </w:p>
    <w:p>
      <w:pPr>
        <w:pStyle w:val="ListParagraph"/>
        <w:numPr>
          <w:ilvl w:val="0"/>
          <w:numId w:val="2"/>
        </w:numPr>
        <w:spacing w:after="60"/>
      </w:pPr>
      <w:r>
        <w:t xml:space="preserve">Confidence in post-call analysis: HIGH for quantitative claims, HIGH for management-quoted statements (direct transcript reads), MEDIUM for qualitative characterizations of management tone and MEDIUM for the 'zombie backlog' framing (derived from transcript statements, not separately disclosed).</w:t>
      </w:r>
    </w:p>
    <w:p>
      <w:pPr>
        <w:pStyle w:val="ListParagraph"/>
        <w:numPr>
          <w:ilvl w:val="0"/>
          <w:numId w:val="2"/>
        </w:numPr>
        <w:spacing w:after="60"/>
      </w:pPr>
      <w:r>
        <w:t xml:space="preserve">Recommended follow-ups to IR: (a) split of cancel line between true attrition vs fast-recruit contract reductions, (b) size of on-hold backlog, (c) pre-backlog size and growth rate, (d) 2027 direct-service growth assumptions implicit in internal model.</w:t>
      </w:r>
    </w:p>
    <w:p>
      <w:pPr>
        <w:pStyle w:val="Heading1"/>
        <w:spacing w:after="160" w:before="240"/>
      </w:pPr>
      <w:r>
        <w:rPr>
          <w:b/>
          <w:bCs/>
        </w:rPr>
        <w:t xml:space="preserve">13. Final Summary Box — Post-Call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rPr>
              <w:t xml:space="preserve">Dimension</w:t>
            </w:r>
          </w:p>
        </w:tc>
        <w:tc>
          <w:tcPr>
            <w:tcW w:type="dxa" w:w="63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rPr>
              <w:t xml:space="preserve">Rating / Status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Quarter Quality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 / 5 stars — headline beat on execution, forward indicators deteriorated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Guidance Quality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2.5 / 5 stars — maintained but CEO explicitly confirmed no sequential growth rest of year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Management Credibility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2.5 / 5 stars — candid on the call, but prior-quarter optimism just conceded as wrong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Disclosure Transparency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3.5 / 5 stars — improved materially on call vs release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Thesis Status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Under Review (downward bias)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Valuation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Fair-to-stretched pending Q2 book-to-bill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Overall Sentiment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Cautious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Next Earnings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On or around late July 2026 (Q2)</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Key Catalyst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Pre-backlog growth color from IR (leads reported B-to-B by ~3Q)</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Inflection?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No — book-to-bill still below 1.0x for two consecutive quarters</w:t>
            </w:r>
          </w:p>
        </w:tc>
      </w:tr>
    </w:tbl>
    <w:p>
      <w:pPr>
        <w:spacing w:after="120"/>
      </w:pPr>
      <w:r>
        <w:t xml:space="preserve">One-paragraph summary: Medpace beat on revenue, EPS and EBITDA in Q1 2026 and reiterated full-year guidance, but the April 23 conference call replaced the press release's spare framing with an unusually candid CEO acknowledgment that (a) both gross bookings AND cancellations were weak in Q1, (b) plus-one-year backlog has declined for six consecutive quarters and is now an "area for concern," (c) the balance of 2026 will show no sequential revenue growth, and (d) 2027 is not yet something management will defend. The offsets — pre-backlog growth, strong win rate, retention-driven margin leverage, $145M of quarterly FCF — are real but mechanically lag bookings improvement by approximately four quarters. President Geiger retires May 31 after 18.5 years with no near-term successor; CEO Troendle absorbs the role while a securities class action naming him and Geiger covering the April 22, 2025 – February 9, 2026 period remains active. Thesis UNDER REVIEW with downward bias; the Q2 2026 book-to-bill print is the decisive near-term signal.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30"/>
      <w:szCs w:val="30"/>
    </w:rPr>
  </w:style>
  <w:style w:type="paragraph" w:styleId="Heading2">
    <w:name w:val="Heading 2"/>
    <w:basedOn w:val="Normal"/>
    <w:next w:val="Normal"/>
    <w:qFormat/>
    <w:pPr>
      <w:spacing w:after="120" w:before="220"/>
      <w:outlineLvl w:val="1"/>
    </w:pPr>
    <w:rPr>
      <w:rFonts w:ascii="Arial" w:cs="Arial" w:eastAsia="Arial" w:hAnsi="Arial"/>
      <w:b/>
      <w:bCs/>
      <w:sz w:val="26"/>
      <w:szCs w:val="26"/>
    </w:rPr>
  </w:style>
  <w:style w:type="paragraph" w:styleId="Heading3">
    <w:name w:val="Heading 3"/>
    <w:basedOn w:val="Normal"/>
    <w:next w:val="Normal"/>
    <w:qFormat/>
    <w:pPr>
      <w:spacing w:after="10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2026-04-23T19:40:37.150Z</dcterms:created>
  <dcterms:modified xsi:type="dcterms:W3CDTF">2026-04-23T19:40:37.151Z</dcterms:modified>
</cp:coreProperties>
</file>

<file path=docProps/custom.xml><?xml version="1.0" encoding="utf-8"?>
<Properties xmlns="http://schemas.openxmlformats.org/officeDocument/2006/custom-properties" xmlns:vt="http://schemas.openxmlformats.org/officeDocument/2006/docPropsVTypes"/>
</file>