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56"/>
          <w:szCs w:val="56"/>
        </w:rPr>
        <w:t xml:space="preserve">🧬 BIOTECH SCUTTLEBUTT SCANNER</w:t>
      </w:r>
    </w:p>
    <w:p>
      <w:pPr>
        <w:spacing w:after="60" w:before="0"/>
        <w:jc w:val="center"/>
      </w:pPr>
      <w:r>
        <w:rPr>
          <w:rFonts w:ascii="Arial" w:cs="Arial" w:eastAsia="Arial" w:hAnsi="Arial"/>
          <w:color w:val="2E5090"/>
          <w:sz w:val="28"/>
          <w:szCs w:val="28"/>
        </w:rPr>
        <w:t xml:space="preserve">Daily Intelligence Report  |  April 1, 2026</w:t>
      </w:r>
    </w:p>
    <w:p>
      <w:pPr>
        <w:pBdr>
          <w:bottom w:val="single" w:color="1F3864" w:sz="6" w:space="6"/>
        </w:pBdr>
        <w:spacing w:after="240" w:before="0"/>
        <w:jc w:val="center"/>
      </w:pPr>
      <w:r>
        <w:rPr>
          <w:rFonts w:ascii="Arial" w:cs="Arial" w:eastAsia="Arial" w:hAnsi="Arial"/>
          <w:i/>
          <w:iCs/>
          <w:color w:val="555555"/>
          <w:sz w:val="20"/>
          <w:szCs w:val="20"/>
        </w:rPr>
        <w:t xml:space="preserve">Small-Cap &amp; Micro-Cap Biotech Market Intelligence for Retail Investors</w:t>
      </w:r>
    </w:p>
    <w:p>
      <w:pPr>
        <w:pStyle w:val="Heading1"/>
        <w:spacing w:after="120" w:before="240"/>
      </w:pPr>
      <w:r>
        <w:rPr>
          <w:rFonts w:ascii="Arial" w:cs="Arial" w:eastAsia="Arial" w:hAnsi="Arial"/>
          <w:b/>
          <w:bCs/>
          <w:color w:val="1F3864"/>
          <w:sz w:val="28"/>
          <w:szCs w:val="28"/>
        </w:rPr>
        <w:t xml:space="preserve">EXECUTIVE SUMMARY</w:t>
      </w:r>
    </w:p>
    <w:p>
      <w:pPr>
        <w:spacing w:after="80" w:before="80"/>
      </w:pPr>
      <w:r>
        <w:rPr>
          <w:rFonts w:ascii="Arial" w:cs="Arial" w:eastAsia="Arial" w:hAnsi="Arial"/>
          <w:sz w:val="20"/>
          <w:szCs w:val="20"/>
        </w:rPr>
        <w:t xml:space="preserve">As Q2 2026 kicks off today (April 1, 2026), the biotech sector opens with significant catalysts across multiple fronts. This scanner identified 12 actionable signals across 6 intelligence categories. Two stocks logged HIGH-SIGNAL moves with volume confirmation: CYCN (Cyclerion Therapeutics, +160-252%) on a reverse-merger announcement with Korsana Biosciences, and ORIC (Oric Pharmaceuticals, -27-29%) on disappointing Phase 1b clinical data. The AACR Annual Meeting (April 17-22, San Diego) represents the most important near-term conference catalyst, with GLSI (Greenwich LifeSciences) presenting landmark FLAMINGO-01 Phase III breast cancer data. BioXcel Therapeutics (BTAI) received FDA sNDA acceptance TODAY with a PDUFA date of November 14, 2026. Additionally, activist investors have accumulated a combined ~30% stake in micro-cap Edesa Biotech (EDSA). Markets are broadly positive today: NASDAQ +1.33%, Russell 2000 +1.48%.</w:t>
      </w:r>
    </w:p>
    <w:p>
      <w:pPr>
        <w:spacing w:after="60" w:before="120"/>
      </w:pPr>
      <w:r>
        <w:rPr>
          <w:rFonts w:ascii="Arial" w:cs="Arial" w:eastAsia="Arial" w:hAnsi="Arial"/>
          <w:b/>
          <w:bCs/>
          <w:sz w:val="20"/>
          <w:szCs w:val="20"/>
        </w:rPr>
        <w:t xml:space="preserve">Signal Summary:</w:t>
      </w:r>
    </w:p>
    <w:p>
      <w:pPr>
        <w:pStyle w:val="ListParagraph"/>
        <w:numPr>
          <w:ilvl w:val="0"/>
          <w:numId w:val="2"/>
        </w:numPr>
        <w:spacing w:after="40" w:before="40"/>
      </w:pPr>
      <w:r>
        <w:rPr>
          <w:rFonts w:ascii="Arial" w:cs="Arial" w:eastAsia="Arial" w:hAnsi="Arial"/>
          <w:sz w:val="20"/>
          <w:szCs w:val="20"/>
        </w:rPr>
        <w:t xml:space="preserve">HIGH Signal Alerts: 2 stocks (CYCN, ORIC)</w:t>
      </w:r>
    </w:p>
    <w:p>
      <w:pPr>
        <w:pStyle w:val="ListParagraph"/>
        <w:numPr>
          <w:ilvl w:val="0"/>
          <w:numId w:val="2"/>
        </w:numPr>
        <w:spacing w:after="40" w:before="40"/>
      </w:pPr>
      <w:r>
        <w:rPr>
          <w:rFonts w:ascii="Arial" w:cs="Arial" w:eastAsia="Arial" w:hAnsi="Arial"/>
          <w:sz w:val="20"/>
          <w:szCs w:val="20"/>
        </w:rPr>
        <w:t xml:space="preserve">MEDIUM Signal Watchlist: 5 stocks (BTAI, GLSI, SNGX, LQDA, EYPT)</w:t>
      </w:r>
    </w:p>
    <w:p>
      <w:pPr>
        <w:pStyle w:val="ListParagraph"/>
        <w:numPr>
          <w:ilvl w:val="0"/>
          <w:numId w:val="2"/>
        </w:numPr>
        <w:spacing w:after="40" w:before="40"/>
      </w:pPr>
      <w:r>
        <w:rPr>
          <w:rFonts w:ascii="Arial" w:cs="Arial" w:eastAsia="Arial" w:hAnsi="Arial"/>
          <w:sz w:val="20"/>
          <w:szCs w:val="20"/>
        </w:rPr>
        <w:t xml:space="preserve">SEC Filing Alerts: 5 filings (2x 8-K catalyst, 1x 8-K merger, 1x 13D/A activist, 1x press release)</w:t>
      </w:r>
    </w:p>
    <w:p>
      <w:pPr>
        <w:pStyle w:val="ListParagraph"/>
        <w:numPr>
          <w:ilvl w:val="0"/>
          <w:numId w:val="2"/>
        </w:numPr>
        <w:spacing w:after="40" w:before="40"/>
      </w:pPr>
      <w:r>
        <w:rPr>
          <w:rFonts w:ascii="Arial" w:cs="Arial" w:eastAsia="Arial" w:hAnsi="Arial"/>
          <w:sz w:val="20"/>
          <w:szCs w:val="20"/>
        </w:rPr>
        <w:t xml:space="preserve">FDA Catalysts: 5 upcoming (1 PDUFA Nov 2026, 1 PDUFA Sep 2026, 2 Phase 3 readouts, 1 AACR presentation)</w:t>
      </w:r>
    </w:p>
    <w:p>
      <w:pPr>
        <w:pStyle w:val="ListParagraph"/>
        <w:numPr>
          <w:ilvl w:val="0"/>
          <w:numId w:val="2"/>
        </w:numPr>
        <w:spacing w:after="40" w:before="40"/>
      </w:pPr>
      <w:r>
        <w:rPr>
          <w:rFonts w:ascii="Arial" w:cs="Arial" w:eastAsia="Arial" w:hAnsi="Arial"/>
          <w:sz w:val="20"/>
          <w:szCs w:val="20"/>
        </w:rPr>
        <w:t xml:space="preserve">Social Buzz: 5 stocks trending (CYCN bullish, GLSI bullish, EYPT bullish, TNGX bullish, ORIC bearish)</w:t>
      </w:r>
    </w:p>
    <w:p>
      <w:pPr>
        <w:pStyle w:val="ListParagraph"/>
        <w:numPr>
          <w:ilvl w:val="0"/>
          <w:numId w:val="2"/>
        </w:numPr>
        <w:spacing w:after="120" w:before="40"/>
      </w:pPr>
      <w:r>
        <w:rPr>
          <w:rFonts w:ascii="Arial" w:cs="Arial" w:eastAsia="Arial" w:hAnsi="Arial"/>
          <w:sz w:val="20"/>
          <w:szCs w:val="20"/>
        </w:rPr>
        <w:t xml:space="preserve">Conferences: 4 events in April-June (AACR Apr 17-22 most important; ASCO Jun 22-25 upcoming)</w:t>
      </w:r>
    </w:p>
    <w:p>
      <w:r>
        <w:br w:type="page"/>
      </w:r>
    </w:p>
    <w:p>
      <w:pPr>
        <w:pStyle w:val="Heading1"/>
        <w:spacing w:after="120" w:before="240"/>
      </w:pPr>
      <w:r>
        <w:rPr>
          <w:rFonts w:ascii="Arial" w:cs="Arial" w:eastAsia="Arial" w:hAnsi="Arial"/>
          <w:b/>
          <w:bCs/>
          <w:color w:val="C00000"/>
          <w:sz w:val="28"/>
          <w:szCs w:val="28"/>
        </w:rPr>
        <w:t xml:space="preserve">SECTION 1: HIGH SIGNAL ALERTS</w:t>
      </w:r>
    </w:p>
    <w:p>
      <w:pPr>
        <w:spacing w:after="120" w:before="60"/>
      </w:pPr>
      <w:r>
        <w:rPr>
          <w:rFonts w:ascii="Arial" w:cs="Arial" w:eastAsia="Arial" w:hAnsi="Arial"/>
          <w:i/>
          <w:iCs/>
          <w:sz w:val="20"/>
          <w:szCs w:val="20"/>
        </w:rPr>
        <w:t xml:space="preserve">Stocks with volume &gt;3x average OR price move &gt;20% today. Requires immediate monitoring. These represent the highest-conviction opportunities (long or short) for today's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100"/>
        <w:gridCol w:w="1100"/>
        <w:gridCol w:w="31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 CHNG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 SIGNAL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CATALYST / NOTE</w:t>
            </w:r>
          </w:p>
        </w:tc>
      </w:tr>
      <w:tr>
        <w:tc>
          <w:tcPr>
            <w:tcBorders>
              <w:top w:val="single" w:color="AAAAAA" w:sz="1"/>
              <w:left w:val="single" w:color="AAAAAA" w:sz="1"/>
              <w:bottom w:val="single" w:color="AAAAAA" w:sz="1"/>
              <w:right w:val="single" w:color="AAAAAA"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CYCN</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Cyclerion Therapeutics</w:t>
            </w:r>
          </w:p>
        </w:tc>
        <w:tc>
          <w:tcPr>
            <w:tcBorders>
              <w:top w:val="single" w:color="AAAAAA" w:sz="1"/>
              <w:left w:val="single" w:color="AAAAAA" w:sz="1"/>
              <w:bottom w:val="single" w:color="AAAAAA" w:sz="1"/>
              <w:right w:val="single" w:color="AAAAAA" w:sz="1"/>
            </w:tcBorders>
            <w:shd w:fill="FDECEA" w:val="clear"/>
            <w:tcMar>
              <w:top w:type="dxa" w:w="60"/>
              <w:left w:type="dxa" w:w="120"/>
              <w:bottom w:type="dxa" w:w="60"/>
              <w:right w:type="dxa" w:w="120"/>
            </w:tcMar>
            <w:vAlign w:val="center"/>
          </w:tcPr>
          <w:p>
            <w:pPr>
              <w:jc w:val="left"/>
            </w:pPr>
            <w:r>
              <w:rPr>
                <w:rFonts w:ascii="Arial" w:cs="Arial" w:eastAsia="Arial" w:hAnsi="Arial"/>
                <w:b/>
                <w:bCs/>
                <w:color w:val="C00000"/>
                <w:sz w:val="18"/>
                <w:szCs w:val="18"/>
              </w:rPr>
              <w:t xml:space="preserve">+160-252% TODAY</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Massive vol spike</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Merger agreement with Korsana Biosciences (private); Cyclerion shareholders retain only 1.5% of merged entity; to relist as KRSA</w:t>
            </w:r>
          </w:p>
        </w:tc>
      </w:tr>
      <w:tr>
        <w:tc>
          <w:tcPr>
            <w:tcBorders>
              <w:top w:val="single" w:color="AAAAAA" w:sz="1"/>
              <w:left w:val="single" w:color="AAAAAA" w:sz="1"/>
              <w:bottom w:val="single" w:color="AAAAAA" w:sz="1"/>
              <w:right w:val="single" w:color="AAAAAA"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 ↓</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ORIC</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Oric Pharmaceuticals</w:t>
            </w:r>
          </w:p>
        </w:tc>
        <w:tc>
          <w:tcPr>
            <w:tcBorders>
              <w:top w:val="single" w:color="AAAAAA" w:sz="1"/>
              <w:left w:val="single" w:color="AAAAAA" w:sz="1"/>
              <w:bottom w:val="single" w:color="AAAAAA" w:sz="1"/>
              <w:right w:val="single" w:color="AAAAAA" w:sz="1"/>
            </w:tcBorders>
            <w:shd w:fill="FDECEA" w:val="clear"/>
            <w:tcMar>
              <w:top w:type="dxa" w:w="60"/>
              <w:left w:type="dxa" w:w="120"/>
              <w:bottom w:type="dxa" w:w="60"/>
              <w:right w:type="dxa" w:w="120"/>
            </w:tcMar>
            <w:vAlign w:val="center"/>
          </w:tcPr>
          <w:p>
            <w:pPr>
              <w:jc w:val="left"/>
            </w:pPr>
            <w:r>
              <w:rPr>
                <w:rFonts w:ascii="Arial" w:cs="Arial" w:eastAsia="Arial" w:hAnsi="Arial"/>
                <w:b/>
                <w:bCs/>
                <w:color w:val="C00000"/>
                <w:sz w:val="18"/>
                <w:szCs w:val="18"/>
              </w:rPr>
              <w:t xml:space="preserve">-27-29% TODAY</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High vol selloff</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Phase 1b rinzimetostat (ORIC-944) data disappointed; 400mg dose selected for Phase 3 Himalayas-1 mCRPC trial; Wedbush cut PT $20→$17, keeps Outperform</w:t>
            </w:r>
          </w:p>
        </w:tc>
      </w:tr>
    </w:tbl>
    <w:p>
      <w:pPr>
        <w:spacing w:after="60" w:before="200"/>
      </w:pPr>
      <w:r>
        <w:rPr>
          <w:rFonts w:ascii="Arial" w:cs="Arial" w:eastAsia="Arial" w:hAnsi="Arial"/>
          <w:b/>
          <w:bCs/>
          <w:sz w:val="20"/>
          <w:szCs w:val="20"/>
        </w:rPr>
        <w:t xml:space="preserve">Key Context:</w:t>
      </w:r>
    </w:p>
    <w:p>
      <w:pPr>
        <w:pStyle w:val="ListParagraph"/>
        <w:numPr>
          <w:ilvl w:val="0"/>
          <w:numId w:val="2"/>
        </w:numPr>
        <w:spacing w:after="40" w:before="40"/>
      </w:pPr>
      <w:r>
        <w:rPr>
          <w:rFonts w:ascii="Arial" w:cs="Arial" w:eastAsia="Arial" w:hAnsi="Arial"/>
          <w:sz w:val="20"/>
          <w:szCs w:val="20"/>
        </w:rPr>
        <w:t xml:space="preserve">CYCN: Despite the +160%+ price pop, this is effectively a near-total dilution event (98.5% of the merged company goes to Korsana shareholders). The speculative pop is likely driven by momentum/FOMO traders. The merged entity will trade as KRSA. Existing CYCN shareholders should evaluate whether the Korsana pipeline justifies the valuation.</w:t>
      </w:r>
    </w:p>
    <w:p>
      <w:pPr>
        <w:pStyle w:val="ListParagraph"/>
        <w:numPr>
          <w:ilvl w:val="0"/>
          <w:numId w:val="2"/>
        </w:numPr>
        <w:spacing w:after="80" w:before="40"/>
      </w:pPr>
      <w:r>
        <w:rPr>
          <w:rFonts w:ascii="Arial" w:cs="Arial" w:eastAsia="Arial" w:hAnsi="Arial"/>
          <w:sz w:val="20"/>
          <w:szCs w:val="20"/>
        </w:rPr>
        <w:t xml:space="preserve">ORIC: Wedbush maintained Outperform despite cutting PT to $17. The Phase 1b data showed 84% radiographic PFS, which may still support a viable Phase 3 path. The -27% move may present a re-entry opportunity for longer-term investors who believe in the mCRPC market opportunity with Himalayas-1.</w:t>
      </w:r>
    </w:p>
    <w:p>
      <w:pPr>
        <w:pStyle w:val="Heading1"/>
        <w:spacing w:after="120" w:before="300"/>
      </w:pPr>
      <w:r>
        <w:rPr>
          <w:rFonts w:ascii="Arial" w:cs="Arial" w:eastAsia="Arial" w:hAnsi="Arial"/>
          <w:b/>
          <w:bCs/>
          <w:color w:val="E26B0A"/>
          <w:sz w:val="28"/>
          <w:szCs w:val="28"/>
        </w:rPr>
        <w:t xml:space="preserve">SECTION 2: MEDIUM SIGNAL WATCHLIST</w:t>
      </w:r>
    </w:p>
    <w:p>
      <w:pPr>
        <w:spacing w:after="120" w:before="60"/>
      </w:pPr>
      <w:r>
        <w:rPr>
          <w:rFonts w:ascii="Arial" w:cs="Arial" w:eastAsia="Arial" w:hAnsi="Arial"/>
          <w:i/>
          <w:iCs/>
          <w:sz w:val="20"/>
          <w:szCs w:val="20"/>
        </w:rPr>
        <w:t xml:space="preserve">Stocks with volume &gt;2x average OR price move &gt;10%, or those with upcoming near-term catalysts (30-90 days). Monitor for entry points and escalation to HIGH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1200"/>
        <w:gridCol w:w="1300"/>
        <w:gridCol w:w="2560"/>
      </w:tblGrid>
      <w:tr>
        <w:trPr>
          <w:tblHeader/>
        </w:trPr>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 CHNG</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CATALYST TYPE</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b/>
                <w:bCs/>
                <w:color w:val="7B4B00"/>
                <w:sz w:val="18"/>
                <w:szCs w:val="18"/>
              </w:rPr>
              <w:t xml:space="preserve">MED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BTAI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BioXcel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Monitoring</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8-K + FDA Catalyst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FDA accepted IGALMI at-home sNDA TODAY; PDUFA Nov 14, 2026; up to 86M agitation episodes/yr market</w:t>
            </w:r>
          </w:p>
        </w:tc>
      </w:tr>
      <w:tr>
        <w:tc>
          <w:tcPr>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b/>
                <w:bCs/>
                <w:color w:val="7B4B00"/>
                <w:sz w:val="18"/>
                <w:szCs w:val="18"/>
              </w:rPr>
              <w:t xml:space="preserve">MED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GLSI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Greenwich LifeSciences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~$30 (mkt cap ~$416M)</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AACR Catalyst x2</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Two abstracts at AACR Apr 17-22; FLAMINGO-01 Phase III breast cancer; 80% reduction in recurrence rate preliminary; 52-wk high approaching</w:t>
            </w:r>
          </w:p>
        </w:tc>
      </w:tr>
      <w:tr>
        <w:tc>
          <w:tcPr>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b/>
                <w:bCs/>
                <w:color w:val="7B4B00"/>
                <w:sz w:val="18"/>
                <w:szCs w:val="18"/>
              </w:rPr>
              <w:t xml:space="preserve">MED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SNGX</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Soligenix</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Recent vol spike</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Spiked 330% on Phase 2a results for SGX945 (Behcet's Disease); only 3M float; potential next leg over $5 if momentum holds</w:t>
            </w:r>
          </w:p>
        </w:tc>
      </w:tr>
      <w:tr>
        <w:tc>
          <w:tcPr>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b/>
                <w:bCs/>
                <w:color w:val="7B4B00"/>
                <w:sz w:val="18"/>
                <w:szCs w:val="18"/>
              </w:rPr>
              <w:t xml:space="preserve">MED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LQDA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Liquidia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Zacks #1 Buy</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Momentum</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Up 40.3% past 6 months; Phase III L606 (treprostinil liposomal) for PAH/PH-ILD</w:t>
            </w:r>
          </w:p>
        </w:tc>
      </w:tr>
      <w:tr>
        <w:tc>
          <w:tcPr>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b/>
                <w:bCs/>
                <w:color w:val="7B4B00"/>
                <w:sz w:val="18"/>
                <w:szCs w:val="18"/>
              </w:rPr>
              <w:t xml:space="preserve">MED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EYPT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EyePoint Pharmaceuticals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+140.5% in 2025</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Social buzz + pipeline</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Late-stage data readout expected mid-2026; high retail investor attention on WSB/StockTwits</w:t>
            </w:r>
          </w:p>
        </w:tc>
      </w:tr>
    </w:tbl>
    <w:p>
      <w:r>
        <w:br w:type="page"/>
      </w:r>
    </w:p>
    <w:p>
      <w:pPr>
        <w:pStyle w:val="Heading1"/>
        <w:spacing w:after="120" w:before="240"/>
      </w:pPr>
      <w:r>
        <w:rPr>
          <w:rFonts w:ascii="Arial" w:cs="Arial" w:eastAsia="Arial" w:hAnsi="Arial"/>
          <w:b/>
          <w:bCs/>
          <w:color w:val="1F3864"/>
          <w:sz w:val="28"/>
          <w:szCs w:val="28"/>
        </w:rPr>
        <w:t xml:space="preserve">SECTION 3: SEC FILING ALERTS</w:t>
      </w:r>
    </w:p>
    <w:p>
      <w:pPr>
        <w:spacing w:after="120" w:before="60"/>
      </w:pPr>
      <w:r>
        <w:rPr>
          <w:rFonts w:ascii="Arial" w:cs="Arial" w:eastAsia="Arial" w:hAnsi="Arial"/>
          <w:i/>
          <w:iCs/>
          <w:sz w:val="20"/>
          <w:szCs w:val="20"/>
        </w:rPr>
        <w:t xml:space="preserve">Recent 8-K, Form 4, Schedule 13D, and other material SEC filings from the past 7 days. Insider buying and activist accumulation often precede price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200"/>
        <w:gridCol w:w="45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FILING TYPE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CYCN</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Cyclerion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8-K (Merger)</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1,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Definitive all-stock merger agreement with Korsana Biosciences; CYCN shareholders to retain 1.5%; new ticker KRSA on Nasdaq</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BTAI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BioXcel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8-K (sNDA Accept)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1,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FDA accepted supplemental NDA for IGALMI at-home use; PDUFA date Nov 14, 2026; Phase 3 SERENITY At-Home met primary endpoint</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ORIC</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Oric Pharmaceuticals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8-K (Clinical Data)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1,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Phase 1b rinzimetostat + darolutamide mCRPC data; 84% rPFS at 5mo follow-up; 400mg QD dose selected for Phase 3 (Himalayas-1)</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EDSA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Edesa Biotech</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13D/A (Activist)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Recent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Nijhawan group holds 19.99% (2.04M shares); Velan Capital holds ~9.99% (834,700 shares); combined ~30% activist stake in micro-cap</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GLSI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Greenwich LifeSciences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Press Release (8-K)</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Feb-Mar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AACR 2026 abstract acceptance; FLAMINGO-01 Steering Committee co-authored abstract; presenting Apr 20-21 at AACR San Diego</w:t>
            </w:r>
          </w:p>
        </w:tc>
      </w:tr>
    </w:tbl>
    <w:p>
      <w:pPr>
        <w:spacing w:after="60" w:before="200"/>
      </w:pPr>
      <w:r>
        <w:rPr>
          <w:rFonts w:ascii="Arial" w:cs="Arial" w:eastAsia="Arial" w:hAnsi="Arial"/>
          <w:b/>
          <w:bCs/>
          <w:sz w:val="20"/>
          <w:szCs w:val="20"/>
        </w:rPr>
        <w:t xml:space="preserve">Insider Buying Note:</w:t>
      </w:r>
    </w:p>
    <w:p>
      <w:pPr>
        <w:spacing w:after="80" w:before="60"/>
      </w:pPr>
      <w:r>
        <w:rPr>
          <w:rFonts w:ascii="Arial" w:cs="Arial" w:eastAsia="Arial" w:hAnsi="Arial"/>
          <w:sz w:val="20"/>
          <w:szCs w:val="20"/>
        </w:rPr>
        <w:t xml:space="preserve">Specific cluster Form 4 insider buying data for this week was not available from public sources at time of scan. For live Form 4 data, check OpenInsider.com (filter: Biotech, Cluster Buys, past 7 days) or InsiderFinance.io. The EDSA activist stake accumulation (~30% combined) is notable for a micro-cap and warrants close monitoring for potential tender offer or strategic transaction.</w:t>
      </w:r>
    </w:p>
    <w:p>
      <w:pPr>
        <w:pStyle w:val="Heading1"/>
        <w:spacing w:after="120" w:before="300"/>
      </w:pPr>
      <w:r>
        <w:rPr>
          <w:rFonts w:ascii="Arial" w:cs="Arial" w:eastAsia="Arial" w:hAnsi="Arial"/>
          <w:b/>
          <w:bCs/>
          <w:color w:val="1F3864"/>
          <w:sz w:val="28"/>
          <w:szCs w:val="28"/>
        </w:rPr>
        <w:t xml:space="preserve">SECTION 4: FDA &amp; CLINICAL CATALYSTS</w:t>
      </w:r>
    </w:p>
    <w:p>
      <w:pPr>
        <w:spacing w:after="120" w:before="60"/>
      </w:pPr>
      <w:r>
        <w:rPr>
          <w:rFonts w:ascii="Arial" w:cs="Arial" w:eastAsia="Arial" w:hAnsi="Arial"/>
          <w:i/>
          <w:iCs/>
          <w:sz w:val="20"/>
          <w:szCs w:val="20"/>
        </w:rPr>
        <w:t xml:space="preserve">Upcoming PDUFA dates, FDA advisory committee meetings, and Phase 3 clinical trial readouts expected within 6 months. FDA decisions typically move stocks 20-200%+ in either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200"/>
        <w:gridCol w:w="1100"/>
        <w:gridCol w:w="26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DRUG / PROGRAM</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CATALYST DATE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INDICATION</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BTAI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BioXcel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IGALMI (dexmedetomidine)</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Nov 14,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PDUFA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Acute agitation (bipolar disorder/schizophrenia) - at-home setting; FDA accepted sNDA Apr 1, 2026</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GLSI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Greenwich LifeSciences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GLSI-100 (GP2)</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20-21,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AACR Abstract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Phase III FLAMINGO-01 breast cancer recurrence prevention; Fast Track designated; ~80% recurrence rate reduction</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NUVL</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Nuvalent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Zidesamtinib</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Sep 18,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PDUFA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TKI pre-treated ROS1-positive NSCLC; NDA accepted; also planning neladalkib NDA in H1 2026 for ALK+ NSCLC</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NTLA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Intellia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CRISPR therapy (HAE)</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H1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Ph3 Readout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Hereditary angioedema; Phase 3 results expected; note: company near record lows after prior trial participant death</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ABVX</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Abivax</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Obefazimod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Q2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Ph3 Readout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ABTECT maintenance trial (44-week) for IBD/ulcerative colitis; key catalyst for 2026</w:t>
            </w:r>
          </w:p>
        </w:tc>
      </w:tr>
    </w:tbl>
    <w:p>
      <w:pPr>
        <w:spacing w:after="60" w:before="200"/>
      </w:pPr>
      <w:r>
        <w:rPr>
          <w:rFonts w:ascii="Arial" w:cs="Arial" w:eastAsia="Arial" w:hAnsi="Arial"/>
          <w:b/>
          <w:bCs/>
          <w:sz w:val="20"/>
          <w:szCs w:val="20"/>
        </w:rPr>
        <w:t xml:space="preserve">Near-Term Priority Catalysts (Next 30 Days):</w:t>
      </w:r>
    </w:p>
    <w:p>
      <w:pPr>
        <w:pStyle w:val="ListParagraph"/>
        <w:numPr>
          <w:ilvl w:val="0"/>
          <w:numId w:val="2"/>
        </w:numPr>
        <w:spacing w:after="40" w:before="40"/>
      </w:pPr>
      <w:r>
        <w:rPr>
          <w:rFonts w:ascii="Arial" w:cs="Arial" w:eastAsia="Arial" w:hAnsi="Arial"/>
          <w:b/>
          <w:bCs/>
          <w:color w:val="C00000"/>
          <w:sz w:val="20"/>
          <w:szCs w:val="20"/>
        </w:rPr>
        <w:t xml:space="preserve">GLSI — AACR FLAMINGO-01 Phase III presentation: April 20-21, 2026</w:t>
      </w:r>
      <w:r>
        <w:rPr>
          <w:rFonts w:ascii="Arial" w:cs="Arial" w:eastAsia="Arial" w:hAnsi="Arial"/>
          <w:sz w:val="20"/>
          <w:szCs w:val="20"/>
        </w:rPr>
        <w:t xml:space="preserve"> | Abstract CT138 (Apr 20, 2-5pm) covers DTH immune response data. Abstract CT227 (Apr 21, 9am-12pm) covers Phase III study design update. Preliminary data shows ~80% recurrence rate reduction in non-HLA-A*02 arm (250 patients enrolled). Market cap ~$416M; relatively small for a Phase III oncology play.</w:t>
      </w:r>
    </w:p>
    <w:p>
      <w:pPr>
        <w:pStyle w:val="ListParagraph"/>
        <w:numPr>
          <w:ilvl w:val="0"/>
          <w:numId w:val="2"/>
        </w:numPr>
        <w:spacing w:after="80" w:before="40"/>
      </w:pPr>
      <w:r>
        <w:rPr>
          <w:rFonts w:ascii="Arial" w:cs="Arial" w:eastAsia="Arial" w:hAnsi="Arial"/>
          <w:b/>
          <w:bCs/>
          <w:color w:val="2E5090"/>
          <w:sz w:val="20"/>
          <w:szCs w:val="20"/>
        </w:rPr>
        <w:t xml:space="preserve">AACR abstracts published April 3, 2026: </w:t>
      </w:r>
      <w:r>
        <w:rPr>
          <w:rFonts w:ascii="Arial" w:cs="Arial" w:eastAsia="Arial" w:hAnsi="Arial"/>
          <w:sz w:val="20"/>
          <w:szCs w:val="20"/>
        </w:rPr>
        <w:t xml:space="preserve">Regular abstracts go live in 2 days. Watch for small-cap oncology biotechs with abstract acceptances — these often produce 10-50% price moves on data presentation day.</w:t>
      </w:r>
    </w:p>
    <w:p>
      <w:r>
        <w:br w:type="page"/>
      </w:r>
    </w:p>
    <w:p>
      <w:pPr>
        <w:pStyle w:val="Heading1"/>
        <w:spacing w:after="120" w:before="240"/>
      </w:pPr>
      <w:r>
        <w:rPr>
          <w:rFonts w:ascii="Arial" w:cs="Arial" w:eastAsia="Arial" w:hAnsi="Arial"/>
          <w:b/>
          <w:bCs/>
          <w:color w:val="1F3864"/>
          <w:sz w:val="28"/>
          <w:szCs w:val="28"/>
        </w:rPr>
        <w:t xml:space="preserve">SECTION 5: SOCIAL SENTIMENT &amp; BUZZ</w:t>
      </w:r>
    </w:p>
    <w:p>
      <w:pPr>
        <w:spacing w:after="120" w:before="60"/>
      </w:pPr>
      <w:r>
        <w:rPr>
          <w:rFonts w:ascii="Arial" w:cs="Arial" w:eastAsia="Arial" w:hAnsi="Arial"/>
          <w:i/>
          <w:iCs/>
          <w:sz w:val="20"/>
          <w:szCs w:val="20"/>
        </w:rPr>
        <w:t xml:space="preserve">Trending biotech stocks on Reddit (r/WallStreetBets, r/investing, r/stocks), StockTwits, and Twitter/X. High social attention can amplify moves — but also introduces volatility and pump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200"/>
        <w:gridCol w:w="4560"/>
      </w:tblGrid>
      <w:tr>
        <w:trPr>
          <w:tblHeader/>
        </w:trPr>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PLATFORM</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SENTIMENT</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CYCN</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Cyclerion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StockTwits / X</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BULLISH 🔥</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Extreme volume and social mentions today on merger news; retail traders chasing +160-252% move; caution: 98.5% dilution for existing shareholders</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EYPT</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EyePoint Pharmaceuticals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Reddit / WSB</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BULLISH</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Shares up 140.5% in 2025; Reddit community tracking mid-2026 late-stage data readout; ongoing retail momentum</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TNGX</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Tango Therapeutics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Reddit / Twitter</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BULLISH</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Positive Phase I/II data for vopimetostat in MTAP-deleted cancers (Oct 2025); clinical activity across multiple cancer types; retail buzz building</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GLSI</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Greenwich LifeSciences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StockTwits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BULLISH</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AACR abstract presentations imminent (Apr 20-21); 159% gain past year; approaching 52-week high of $34.10; FLAMINGO-01 preliminary 80% recurrence reduction</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ORIC</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Oric Pharmaceuticals</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Twitter / Benzinga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BEARISH</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Retail and institutional selling after Phase 1b data; Seeking Alpha article titled 'updates did not bode well for this valuation'; Wedbush maintained Outperform but cut PT</w:t>
            </w:r>
          </w:p>
        </w:tc>
      </w:tr>
    </w:tbl>
    <w:p>
      <w:pPr>
        <w:pStyle w:val="Heading1"/>
        <w:spacing w:after="120" w:before="300"/>
      </w:pPr>
      <w:r>
        <w:rPr>
          <w:rFonts w:ascii="Arial" w:cs="Arial" w:eastAsia="Arial" w:hAnsi="Arial"/>
          <w:b/>
          <w:bCs/>
          <w:color w:val="1F3864"/>
          <w:sz w:val="28"/>
          <w:szCs w:val="28"/>
        </w:rPr>
        <w:t xml:space="preserve">SECTION 6: UPCOMING CONFERENCE CALENDAR</w:t>
      </w:r>
    </w:p>
    <w:p>
      <w:pPr>
        <w:spacing w:after="120" w:before="60"/>
      </w:pPr>
      <w:r>
        <w:rPr>
          <w:rFonts w:ascii="Arial" w:cs="Arial" w:eastAsia="Arial" w:hAnsi="Arial"/>
          <w:i/>
          <w:iCs/>
          <w:sz w:val="20"/>
          <w:szCs w:val="20"/>
        </w:rPr>
        <w:t xml:space="preserve">Major biotech and medical conferences in the next 90 days. Companies presenting clinical data at conferences often see trading volume spikes 1-2 weeks in advance as investors position. Look for abstract announcements from small-cap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CONFERENCE</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DATES</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c>
          <w:tcPr>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FOCUS / NOTABLE COMPANIES</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AACR Oncology Industry Partnering</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16-17,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San Diego, CA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Pre-AACR partnering event; up to 800 attendees; dealmaking focus for oncology</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AACR Annual Meeting 2026 ★</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17-22,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San Diego, CA</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MAJOR: 40,000+ attendees; abstracts published Apr 3 &amp; 17; GLSI presenting FLAMINGO-01 data Apr 20-21; cancer research focus; late-breakers Apr 17</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ChinaBio Partnering Forum</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 28-29 &amp; May 6-7,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Global / Virtual</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China-US biotech partnering; novel technologies, licensing deals, international drug development</w:t>
            </w:r>
          </w:p>
        </w:tc>
      </w:tr>
      <w:tr>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ASCO Annual Meeting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Jun 22-25, 2026</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TBD</w:t>
            </w:r>
          </w:p>
        </w:tc>
        <w:tc>
          <w:tcPr>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Premier oncology conference; abstract submission deadlines upcoming; major stock-moving potential for oncology biotechs</w:t>
            </w:r>
          </w:p>
        </w:tc>
      </w:tr>
    </w:tbl>
    <w:p>
      <w:pPr>
        <w:spacing w:after="60" w:before="200"/>
      </w:pPr>
      <w:r>
        <w:rPr>
          <w:rFonts w:ascii="Arial" w:cs="Arial" w:eastAsia="Arial" w:hAnsi="Arial"/>
          <w:b/>
          <w:bCs/>
          <w:sz w:val="20"/>
          <w:szCs w:val="20"/>
        </w:rPr>
        <w:t xml:space="preserve">ASCO Pre-Conference Opportunity:</w:t>
      </w:r>
    </w:p>
    <w:p>
      <w:pPr>
        <w:spacing w:after="80" w:before="60"/>
      </w:pPr>
      <w:r>
        <w:rPr>
          <w:rFonts w:ascii="Arial" w:cs="Arial" w:eastAsia="Arial" w:hAnsi="Arial"/>
          <w:sz w:val="20"/>
          <w:szCs w:val="20"/>
        </w:rPr>
        <w:t xml:space="preserve">The ASCO Annual Meeting (June 22-25, 2026) is approximately 12 weeks away. Abstract submission deadlines are typically 3-4 months prior. Watch for ASCO abstract acceptance announcements from small-cap oncology biotechs in April-May — these often trigger 20-100% moves. AACR (Apr 17-22) is the most immediate catalyst — position monitoring of GLSI and any other oncology small-caps with AACR abstracts should begin NOW.</w:t>
      </w:r>
    </w:p>
    <w:p>
      <w:r>
        <w:br w:type="page"/>
      </w:r>
    </w:p>
    <w:p>
      <w:pPr>
        <w:pStyle w:val="Heading1"/>
        <w:spacing w:after="120" w:before="240"/>
      </w:pPr>
      <w:r>
        <w:rPr>
          <w:rFonts w:ascii="Arial" w:cs="Arial" w:eastAsia="Arial" w:hAnsi="Arial"/>
          <w:b/>
          <w:bCs/>
          <w:color w:val="1F3864"/>
          <w:sz w:val="28"/>
          <w:szCs w:val="28"/>
        </w:rPr>
        <w:t xml:space="preserve">MULTI-SIGNAL CROSSOVER ANALYSIS</w:t>
      </w:r>
    </w:p>
    <w:p>
      <w:pPr>
        <w:spacing w:after="80" w:before="60"/>
      </w:pPr>
      <w:r>
        <w:rPr>
          <w:rFonts w:ascii="Arial" w:cs="Arial" w:eastAsia="Arial" w:hAnsi="Arial"/>
          <w:i/>
          <w:iCs/>
          <w:sz w:val="20"/>
          <w:szCs w:val="20"/>
        </w:rPr>
        <w:t xml:space="preserve">Stocks appearing in multiple categories carry higher conviction. Prioritize these for deeper due diligence:</w:t>
      </w:r>
    </w:p>
    <w:p>
      <w:pPr>
        <w:pStyle w:val="ListParagraph"/>
        <w:numPr>
          <w:ilvl w:val="0"/>
          <w:numId w:val="2"/>
        </w:numPr>
        <w:spacing w:after="40" w:before="60"/>
      </w:pPr>
      <w:r>
        <w:rPr>
          <w:rFonts w:ascii="Arial" w:cs="Arial" w:eastAsia="Arial" w:hAnsi="Arial"/>
          <w:b/>
          <w:bCs/>
          <w:sz w:val="20"/>
          <w:szCs w:val="20"/>
        </w:rPr>
        <w:t xml:space="preserve">CYCN (3 signals): </w:t>
      </w:r>
      <w:r>
        <w:rPr>
          <w:rFonts w:ascii="Arial" w:cs="Arial" w:eastAsia="Arial" w:hAnsi="Arial"/>
          <w:sz w:val="20"/>
          <w:szCs w:val="20"/>
        </w:rPr>
        <w:t xml:space="preserve">Volume/Price (Step 1) + SEC 8-K Merger Filing (Step 2) + Social Buzz (Step 5). Today's top mover. CAUTION: extreme dilution event.</w:t>
      </w:r>
    </w:p>
    <w:p>
      <w:pPr>
        <w:pStyle w:val="ListParagraph"/>
        <w:numPr>
          <w:ilvl w:val="0"/>
          <w:numId w:val="2"/>
        </w:numPr>
        <w:spacing w:after="40" w:before="40"/>
      </w:pPr>
      <w:r>
        <w:rPr>
          <w:rFonts w:ascii="Arial" w:cs="Arial" w:eastAsia="Arial" w:hAnsi="Arial"/>
          <w:b/>
          <w:bCs/>
          <w:sz w:val="20"/>
          <w:szCs w:val="20"/>
        </w:rPr>
        <w:t xml:space="preserve">GLSI (3 signals): </w:t>
      </w:r>
      <w:r>
        <w:rPr>
          <w:rFonts w:ascii="Arial" w:cs="Arial" w:eastAsia="Arial" w:hAnsi="Arial"/>
          <w:sz w:val="20"/>
          <w:szCs w:val="20"/>
        </w:rPr>
        <w:t xml:space="preserve">FDA/Clinical Catalyst (Step 3) + Social Buzz (Step 4) + Conference Calendar (Step 5). HIGHEST QUALITY multi-signal — fundamental catalyst (AACR Apr 20-21) with momentum and social interest. Phase III data imminent.</w:t>
      </w:r>
    </w:p>
    <w:p>
      <w:pPr>
        <w:pStyle w:val="ListParagraph"/>
        <w:numPr>
          <w:ilvl w:val="0"/>
          <w:numId w:val="2"/>
        </w:numPr>
        <w:spacing w:after="40" w:before="40"/>
      </w:pPr>
      <w:r>
        <w:rPr>
          <w:rFonts w:ascii="Arial" w:cs="Arial" w:eastAsia="Arial" w:hAnsi="Arial"/>
          <w:b/>
          <w:bCs/>
          <w:sz w:val="20"/>
          <w:szCs w:val="20"/>
        </w:rPr>
        <w:t xml:space="preserve">BTAI (2 signals): </w:t>
      </w:r>
      <w:r>
        <w:rPr>
          <w:rFonts w:ascii="Arial" w:cs="Arial" w:eastAsia="Arial" w:hAnsi="Arial"/>
          <w:sz w:val="20"/>
          <w:szCs w:val="20"/>
        </w:rPr>
        <w:t xml:space="preserve">SEC 8-K Filing (Step 2) + FDA Catalyst (Step 3). FDA sNDA acceptance today is a positive milestone. PDUFA Nov 14, 2026 is the major binary event. Monitor for potential run-up.</w:t>
      </w:r>
    </w:p>
    <w:p>
      <w:pPr>
        <w:pStyle w:val="ListParagraph"/>
        <w:numPr>
          <w:ilvl w:val="0"/>
          <w:numId w:val="2"/>
        </w:numPr>
        <w:spacing w:after="80" w:before="40"/>
      </w:pPr>
      <w:r>
        <w:rPr>
          <w:rFonts w:ascii="Arial" w:cs="Arial" w:eastAsia="Arial" w:hAnsi="Arial"/>
          <w:b/>
          <w:bCs/>
          <w:sz w:val="20"/>
          <w:szCs w:val="20"/>
        </w:rPr>
        <w:t xml:space="preserve">ORIC (2 signals): </w:t>
      </w:r>
      <w:r>
        <w:rPr>
          <w:rFonts w:ascii="Arial" w:cs="Arial" w:eastAsia="Arial" w:hAnsi="Arial"/>
          <w:sz w:val="20"/>
          <w:szCs w:val="20"/>
        </w:rPr>
        <w:t xml:space="preserve">Volume/Price (Step 1) + SEC 8-K Filing (Step 2). Bearish multi-signal — significant downward move with volume on clinical data disappointment. Wedbush maintained Outperform at $17 PT. Potential bounce candidate after oversell, but fundamentally the data was mixed.</w:t>
      </w:r>
    </w:p>
    <w:p>
      <w:r>
        <w:br w:type="page"/>
      </w:r>
    </w:p>
    <w:p>
      <w:pPr>
        <w:pBdr>
          <w:top w:val="single" w:color="AAAAAA" w:sz="6" w:space="6"/>
        </w:pBdr>
        <w:spacing w:after="120" w:before="240"/>
      </w:pPr>
      <w:r>
        <w:rPr>
          <w:rFonts w:ascii="Arial" w:cs="Arial" w:eastAsia="Arial" w:hAnsi="Arial"/>
          <w:b/>
          <w:bCs/>
          <w:color w:val="666666"/>
          <w:sz w:val="20"/>
          <w:szCs w:val="20"/>
        </w:rPr>
        <w:t xml:space="preserve">DISCLAIMER</w:t>
      </w:r>
    </w:p>
    <w:p>
      <w:pPr>
        <w:spacing w:after="60" w:before="60"/>
      </w:pPr>
      <w:r>
        <w:rPr>
          <w:rFonts w:ascii="Arial" w:cs="Arial" w:eastAsia="Arial" w:hAnsi="Arial"/>
          <w:i/>
          <w:iCs/>
          <w:color w:val="888888"/>
          <w:sz w:val="16"/>
          <w:szCs w:val="16"/>
        </w:rPr>
        <w:t xml:space="preserve">This report is for informational purposes only. It does not constitute investment advice, a solicitation, or a recommendation to buy or sell any security. All data was sourced from publicly available information including SEC filings, company press releases, financial news outlets, and analyst reports. Information may be incomplete or contain errors. Biotech investing involves substantial risk, including the possible loss of the entire investment. Small-cap and micro-cap stocks are particularly volatile and illiquid. Past performance does not guarantee future results. Always conduct your own due diligence and consult a qualified financial advisor before making investment decisions.</w:t>
      </w:r>
    </w:p>
    <w:p>
      <w:pPr>
        <w:spacing w:after="60" w:before="60"/>
      </w:pPr>
      <w:r>
        <w:rPr>
          <w:rFonts w:ascii="Arial" w:cs="Arial" w:eastAsia="Arial" w:hAnsi="Arial"/>
          <w:color w:val="AAAAAA"/>
          <w:sz w:val="16"/>
          <w:szCs w:val="16"/>
        </w:rPr>
        <w:t xml:space="preserve">Sources: StockMarketWatch.com, Blockonomi.com, Benzinga.com, Investing.com, GlobeNewswire.com, StockTitan.net, TipRanks.com, BiopharmaDive.com, AACR (aacrmeeting.com), OpenInsider.com, MarketBeat.com, Barchart.com, Yahoo Finance, Zacks.com, Biopharmawatch.com</w:t>
      </w:r>
    </w:p>
    <w:p>
      <w:pPr>
        <w:spacing w:after="60" w:before="60"/>
      </w:pPr>
      <w:r>
        <w:rPr>
          <w:rFonts w:ascii="Arial" w:cs="Arial" w:eastAsia="Arial" w:hAnsi="Arial"/>
          <w:color w:val="AAAAAA"/>
          <w:sz w:val="16"/>
          <w:szCs w:val="16"/>
        </w:rPr>
        <w:t xml:space="preserve">Generated: April 1, 2026 | Biotech Scuttlebutt Scanner | Prepared for Ann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This report is for informational purposes only. Not investment advice. Past performance does not guarantee future results. Always do your own due diligence before investing.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BIOTECH SCUTTLEBUTT SCANNER  |  April 1, 2026  |  CONFIDENTIAL —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2026-04-01T19:32:05.072Z</dcterms:created>
  <dcterms:modified xsi:type="dcterms:W3CDTF">2026-04-01T19:32:05.072Z</dcterms:modified>
</cp:coreProperties>
</file>

<file path=docProps/custom.xml><?xml version="1.0" encoding="utf-8"?>
<Properties xmlns="http://schemas.openxmlformats.org/officeDocument/2006/custom-properties" xmlns:vt="http://schemas.openxmlformats.org/officeDocument/2006/docPropsVTypes"/>
</file>