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00"/>
        <w:jc w:val="center"/>
      </w:pPr>
      <w:r>
        <w:rPr>
          <w:rFonts w:ascii="Arial" w:cs="Arial" w:eastAsia="Arial" w:hAnsi="Arial"/>
          <w:b/>
          <w:bCs/>
          <w:color w:val="2E75B6"/>
          <w:sz w:val="28"/>
          <w:szCs w:val="28"/>
        </w:rPr>
        <w:t xml:space="preserve">INFRASTRUCTURE SERVICES COMPOUNDER ASSESSMENT</w:t>
      </w:r>
    </w:p>
    <w:p>
      <w:pPr>
        <w:spacing w:after="60"/>
        <w:jc w:val="center"/>
      </w:pPr>
      <w:r>
        <w:rPr>
          <w:rFonts w:ascii="Arial" w:cs="Arial" w:eastAsia="Arial" w:hAnsi="Arial"/>
          <w:color w:val="1B3A5C"/>
          <w:sz w:val="22"/>
          <w:szCs w:val="22"/>
        </w:rPr>
        <w:t xml:space="preserve">EVA × ROIC × ROIIC Value Creation Framework</w:t>
      </w:r>
    </w:p>
    <w:p>
      <w:pPr>
        <w:spacing w:after="400"/>
        <w:jc w:val="center"/>
      </w:pPr>
      <w:r>
        <w:rPr>
          <w:rFonts w:ascii="Arial" w:cs="Arial" w:eastAsia="Arial" w:hAnsi="Arial"/>
          <w:color w:val="666666"/>
          <w:sz w:val="20"/>
          <w:szCs w:val="20"/>
        </w:rPr>
        <w:t xml:space="preserve">Framework v1.0 — March 2026</w:t>
      </w:r>
    </w:p>
    <w:p>
      <w:pPr>
        <w:spacing w:after="60"/>
        <w:jc w:val="center"/>
      </w:pPr>
      <w:r>
        <w:rPr>
          <w:rFonts w:ascii="Arial" w:cs="Arial" w:eastAsia="Arial" w:hAnsi="Arial"/>
          <w:b/>
          <w:bCs/>
          <w:color w:val="1B3A5C"/>
          <w:sz w:val="48"/>
          <w:szCs w:val="48"/>
        </w:rPr>
        <w:t xml:space="preserve">EMCOR GROUP, INC.</w:t>
      </w:r>
    </w:p>
    <w:p>
      <w:pPr>
        <w:spacing w:after="200"/>
        <w:jc w:val="center"/>
      </w:pPr>
      <w:r>
        <w:rPr>
          <w:rFonts w:ascii="Arial" w:cs="Arial" w:eastAsia="Arial" w:hAnsi="Arial"/>
          <w:color w:val="2E75B6"/>
          <w:sz w:val="28"/>
          <w:szCs w:val="28"/>
        </w:rPr>
        <w:t xml:space="preserve">NYSE: EME</w:t>
      </w:r>
    </w:p>
    <w:p>
      <w:pPr>
        <w:spacing w:after="600"/>
        <w:jc w:val="center"/>
      </w:pPr>
      <w:r>
        <w:rPr>
          <w:rFonts w:ascii="Arial" w:cs="Arial" w:eastAsia="Arial" w:hAnsi="Arial"/>
          <w:color w:val="666666"/>
          <w:sz w:val="22"/>
          <w:szCs w:val="22"/>
        </w:rPr>
        <w:t xml:space="preserve">March 19, 2026</w:t>
      </w: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5400"/>
      </w:tblGrid>
      <w:tr>
        <w:tc>
          <w:tcPr>
            <w:tcW w:type="dxa" w:w="5400"/>
            <w:tcBorders>
              <w:top w:val="single" w:color="548235" w:sz="3"/>
              <w:left w:val="single" w:color="548235" w:sz="3"/>
              <w:bottom w:val="single" w:color="548235" w:sz="3"/>
              <w:right w:val="single" w:color="548235" w:sz="3"/>
            </w:tcBorders>
            <w:shd w:fill="E8F5E9" w:val="clear"/>
            <w:tcMar>
              <w:top w:type="dxa" w:w="200"/>
              <w:left w:type="dxa" w:w="300"/>
              <w:bottom w:type="dxa" w:w="200"/>
              <w:right w:type="dxa" w:w="300"/>
            </w:tcMar>
          </w:tcPr>
          <w:p>
            <w:pPr>
              <w:spacing w:after="60"/>
              <w:jc w:val="center"/>
            </w:pPr>
            <w:r>
              <w:rPr>
                <w:rFonts w:ascii="Arial" w:cs="Arial" w:eastAsia="Arial" w:hAnsi="Arial"/>
                <w:color w:val="548235"/>
                <w:sz w:val="20"/>
                <w:szCs w:val="20"/>
              </w:rPr>
              <w:t xml:space="preserve">FINAL CLASSIFICATION</w:t>
            </w:r>
          </w:p>
          <w:p>
            <w:pPr>
              <w:spacing w:after="60"/>
              <w:jc w:val="center"/>
            </w:pPr>
            <w:r>
              <w:rPr>
                <w:rFonts w:ascii="Arial" w:cs="Arial" w:eastAsia="Arial" w:hAnsi="Arial"/>
                <w:b/>
                <w:bCs/>
                <w:color w:val="548235"/>
                <w:sz w:val="36"/>
                <w:szCs w:val="36"/>
              </w:rPr>
              <w:t xml:space="preserve">INFRASTRUCTURE COMPOUNDER</w:t>
            </w:r>
          </w:p>
          <w:p>
            <w:pPr>
              <w:jc w:val="center"/>
            </w:pPr>
            <w:r>
              <w:rPr>
                <w:rFonts w:ascii="Arial" w:cs="Arial" w:eastAsia="Arial" w:hAnsi="Arial"/>
                <w:color w:val="1B3A5C"/>
                <w:sz w:val="20"/>
                <w:szCs w:val="20"/>
              </w:rPr>
              <w:t xml:space="preserve">Final Composite: 8.55 / 10.0  |  LMI Pre-Screen: 6/7 (FORTRESS)  |  ROIC-WACC: +10.6%</w:t>
            </w:r>
          </w:p>
        </w:tc>
      </w:tr>
    </w:tbl>
    <w:p>
      <w:pPr>
        <w:spacing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Revenue (FY2025)</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ROIC / WACC</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RPO (Backlog)</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FCF / CapEx</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Employees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$17.0B (+17%)</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22.3% / 11.7%</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$13.25B (+31%)</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~$1.3B / $75M</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~44,000</w:t>
            </w:r>
          </w:p>
        </w:tc>
      </w:tr>
    </w:tbl>
    <w:p>
      <w:r>
        <w:br w:type="page"/>
      </w:r>
    </w:p>
    <w:p>
      <w:pPr>
        <w:pStyle w:val="Heading1"/>
        <w:spacing w:after="150" w:before="300"/>
      </w:pPr>
      <w:r>
        <w:rPr>
          <w:rFonts w:ascii="Arial" w:cs="Arial" w:eastAsia="Arial" w:hAnsi="Arial"/>
        </w:rPr>
        <w:t xml:space="preserve">FRAMEWORK OVERVIEW: INFRASTRUCTURE SERVICES COMPOUNDER v1.0</w:t>
      </w:r>
    </w:p>
    <w:p>
      <w:pPr>
        <w:spacing w:after="120"/>
      </w:pPr>
      <w:r>
        <w:rPr>
          <w:rFonts w:ascii="Arial" w:cs="Arial" w:eastAsia="Arial" w:hAnsi="Arial"/>
          <w:b w:val="false"/>
          <w:bCs w:val="false"/>
          <w:i w:val="false"/>
          <w:iCs w:val="false"/>
          <w:color w:val="000000"/>
          <w:sz w:val="22"/>
          <w:szCs w:val="22"/>
        </w:rPr>
        <w:t xml:space="preserve">This framework is purpose-built for labor-intensive infrastructure services companies — businesses where the “installed base” is the skilled workforce, the “recurring revenue” is repeat customer relationships, and the “switching cost” is the risk of hiring an unproven contractor for mission-critical infrastructure. Traditional SaaS and device frameworks fail these companies because their moats are built on licensed labor, physical execution capability, and project complexity — not data flywheels or subscription economics.</w:t>
      </w:r>
    </w:p>
    <w:p>
      <w:pPr>
        <w:spacing w:after="120"/>
      </w:pPr>
      <w:r>
        <w:rPr>
          <w:rFonts w:ascii="Arial" w:cs="Arial" w:eastAsia="Arial" w:hAnsi="Arial"/>
          <w:b w:val="false"/>
          <w:bCs w:val="false"/>
          <w:i w:val="false"/>
          <w:iCs w:val="false"/>
          <w:color w:val="000000"/>
          <w:sz w:val="22"/>
          <w:szCs w:val="22"/>
        </w:rPr>
        <w:t xml:space="preserve">The framework’s intellectual foundation is Economic Value Added (EVA) and the value creation identity: Value Creation = Reinvestment Rate × ROIIC, where ROIIC is the Return on Incremental Invested Capital. A true infrastructure compounder earns returns well above its cost of capital (ROIC &gt;&gt; WACC), reinvests at high incremental returns (ROIIC), and compounds intrinsic value per share over time. The framework tests whether the company’s moat is durable enough to sustain this value creation engine.</w:t>
      </w:r>
    </w:p>
    <w:p>
      <w:pPr>
        <w:spacing w:after="120"/>
      </w:pPr>
      <w:r>
        <w:rPr>
          <w:rFonts w:ascii="Arial" w:cs="Arial" w:eastAsia="Arial" w:hAnsi="Arial"/>
          <w:b w:val="false"/>
          <w:bCs w:val="false"/>
          <w:i w:val="false"/>
          <w:iCs w:val="false"/>
          <w:color w:val="000000"/>
          <w:sz w:val="22"/>
          <w:szCs w:val="22"/>
        </w:rPr>
        <w:t xml:space="preserve"/>
      </w:r>
    </w:p>
    <w:p>
      <w:pPr>
        <w:spacing w:after="120"/>
      </w:pPr>
      <w:r>
        <w:rPr>
          <w:rFonts w:ascii="Arial" w:cs="Arial" w:eastAsia="Arial" w:hAnsi="Arial"/>
          <w:b/>
          <w:bCs/>
          <w:sz w:val="22"/>
          <w:szCs w:val="22"/>
        </w:rPr>
        <w:t xml:space="preserve">Core Thesis: </w:t>
      </w:r>
      <w:r>
        <w:rPr>
          <w:rFonts w:ascii="Arial" w:cs="Arial" w:eastAsia="Arial" w:hAnsi="Arial"/>
          <w:sz w:val="22"/>
          <w:szCs w:val="22"/>
        </w:rPr>
        <w:t xml:space="preserve">An infrastructure services company is antifragile when demand for its services INCREASES as the world becomes more complex (AI data centers, electrification, energy transition, reshoring) AND the supply of its key input (skilled labor) becomes MORE constrained. This creates a structural pricing power and margin expansion dynamic that compounds over time.</w:t>
      </w:r>
    </w:p>
    <w:p>
      <w:pPr>
        <w:spacing w:after="120"/>
      </w:pPr>
      <w:r>
        <w:rPr>
          <w:rFonts w:ascii="Arial" w:cs="Arial" w:eastAsia="Arial" w:hAnsi="Arial"/>
          <w:b w:val="false"/>
          <w:bCs w:val="false"/>
          <w:i w:val="false"/>
          <w:iCs w:val="false"/>
          <w:color w:val="000000"/>
          <w:sz w:val="22"/>
          <w:szCs w:val="22"/>
        </w:rPr>
        <w:t xml:space="preserve"/>
      </w:r>
    </w:p>
    <w:p>
      <w:pPr>
        <w:pStyle w:val="Heading2"/>
        <w:spacing w:after="150" w:before="300"/>
      </w:pPr>
      <w:r>
        <w:rPr>
          <w:rFonts w:ascii="Arial" w:cs="Arial" w:eastAsia="Arial" w:hAnsi="Arial"/>
        </w:rPr>
        <w:t xml:space="preserve">Classification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2200"/>
        <w:gridCol w:w="316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Classification</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Raw Score</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ROIC-WACC Req.</w:t>
            </w:r>
          </w:p>
        </w:tc>
        <w:tc>
          <w:tcPr>
            <w:tcW w:type="dxa" w:w="3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548235"/>
                <w:sz w:val="20"/>
                <w:szCs w:val="20"/>
              </w:rPr>
              <w:t xml:space="preserve">Infrastructure Compounder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 7.5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&gt; 10%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Durable moat, high reinvestment quality, secular tailwinds. Size 4–5%.</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2E75B6"/>
                <w:sz w:val="20"/>
                <w:szCs w:val="20"/>
              </w:rPr>
              <w:t xml:space="preserve">Growth Contractor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5.0–7.49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&gt; 5%</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Good economics but moat less durable or demand less secular. Size 2–3%.</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BF8F00"/>
                <w:sz w:val="20"/>
                <w:szCs w:val="20"/>
              </w:rPr>
              <w:t xml:space="preserve">Cyclical Contractor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3.0–4.99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&gt; 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Positive EVA but exposed to cyclical demand. Trade, don’t compound. Size 1–2%.</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C00000"/>
                <w:sz w:val="20"/>
                <w:szCs w:val="20"/>
              </w:rPr>
              <w:t xml:space="preserve">Value Trap</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&lt; 3.0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 0%</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Negative EVA, destroying capital. Avoid.</w:t>
            </w:r>
          </w:p>
        </w:tc>
      </w:tr>
    </w:tbl>
    <w:p>
      <w:r>
        <w:br w:type="page"/>
      </w:r>
    </w:p>
    <w:p>
      <w:pPr>
        <w:pStyle w:val="Heading1"/>
        <w:spacing w:after="150" w:before="300"/>
      </w:pPr>
      <w:r>
        <w:rPr>
          <w:rFonts w:ascii="Arial" w:cs="Arial" w:eastAsia="Arial" w:hAnsi="Arial"/>
        </w:rPr>
        <w:t xml:space="preserve">STAGE 1: LABOR MOAT INDEX (LMI) PRE-SCREEN</w:t>
      </w:r>
    </w:p>
    <w:p>
      <w:pPr>
        <w:spacing w:after="120"/>
      </w:pPr>
      <w:r>
        <w:rPr>
          <w:rFonts w:ascii="Arial" w:cs="Arial" w:eastAsia="Arial" w:hAnsi="Arial"/>
          <w:b w:val="false"/>
          <w:bCs w:val="false"/>
          <w:i w:val="false"/>
          <w:iCs w:val="false"/>
          <w:color w:val="000000"/>
          <w:sz w:val="22"/>
          <w:szCs w:val="22"/>
        </w:rPr>
        <w:t xml:space="preserve">The Labor Moat Index assesses the durability and depth of the company’s competitive advantage rooted in its workforce, licensing, and execution capability. In infrastructure services, the moat IS the workforce — you cannot build a data center, wire a hospital, or maintain a refinery without licensed, experienced tradespeople. The LMI tests whether the company has structural advantages in attracting, training, deploying, and retaining this scarce resource.</w:t>
      </w:r>
    </w:p>
    <w:p>
      <w:pPr>
        <w:pStyle w:val="Heading2"/>
        <w:spacing w:after="150" w:before="300"/>
      </w:pPr>
      <w:r>
        <w:rPr>
          <w:rFonts w:ascii="Arial" w:cs="Arial" w:eastAsia="Arial" w:hAnsi="Arial"/>
        </w:rPr>
        <w:t xml:space="preserve">7-Moat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Moat</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c>
          <w:tcPr>
            <w:tcW w:type="dxa" w:w="5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Evidence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1. Licensing &amp; Certification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548235"/>
                <w:sz w:val="20"/>
                <w:szCs w:val="20"/>
              </w:rPr>
              <w:t xml:space="preserve">Strong</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Electrical and mechanical contractors must hold state-specific licenses; master electricians require 8–10 years of apprenticeship + journeyman experience + state exam. EMCOR subsidiaries hold hundreds of state/local contractor licenses across 50 states. NFPA certifications for fire protection, ASME certifications for pressure vessels/piping. License portability between states is limited, creating geographic barriers.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2. Apprenticeship Pipeline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548235"/>
                <w:sz w:val="20"/>
                <w:szCs w:val="20"/>
              </w:rPr>
              <w:t xml:space="preserve">Strong</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EMCOR operates formal trade apprenticeship programs across all subsidiaries, typically 4–5 year programs combining classroom instruction with on-the-job training. EMCOR University provides supplemental training. Many EMCOR executives started as apprentices — institutional knowledge compounds over decades. The 4–5 year pipeline creates a structural delay for competitors trying to scale workforce.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3. Self-Perform Capability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548235"/>
                <w:sz w:val="20"/>
                <w:szCs w:val="20"/>
              </w:rPr>
              <w:t xml:space="preserve">Strong</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EMCOR self-performs approximately 80–85% of its construction work with its own ~44,000 employees, versus subcontracting. This is among the highest self-perform ratios in specialty construction. Self-performance provides quality control, schedule reliability, and margin advantage (no subcontractor markup). It also means the workforce IS the moat — competitors cannot quickly replicate 44,000 trained tradespeople.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4. Skilled Trade Scarcity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548235"/>
                <w:sz w:val="20"/>
                <w:szCs w:val="20"/>
              </w:rPr>
              <w:t xml:space="preserve">Strong</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The U.S. faces a structural shortage of 500,000+ skilled construction workers (ABC estimate). Average age of electricians is 43; retirements outpace new apprentice starts. Immigration policy uncertainty constrains labor supply. EMCOR’s scale, training programs, benefits, and career path visibility give it preferential access to the shrinking pool of new entrants. Labor scarcity is a tailwind: it raises barriers for competitors and supports pricing power.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5. Geographic Density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548235"/>
                <w:sz w:val="20"/>
                <w:szCs w:val="20"/>
              </w:rPr>
              <w:t xml:space="preserve">Strong</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EMCOR operates through 100+ subsidiaries spanning all 50 states but with concentration in high-growth metros (Dallas, Phoenix, Northern Virginia, Atlanta — major data center corridors). Geographic density enables efficient deployment of crews, relationship depth with local general contractors and building owners, and knowledge of local codes/permitting. The Miller Electric acquisition ($865M, 2025) strengthened presence in Southeast data center markets.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6. Safety &amp; Bonding Capacity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548235"/>
                <w:sz w:val="20"/>
                <w:szCs w:val="20"/>
              </w:rPr>
              <w:t xml:space="preserve">Strong</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EMCOR’s safety record (EMR well below industry average) and financial strength (investment-grade credit, $1.1B cash) enable surety bonding for the largest, most complex projects. Many competitors cannot qualify for $500M+ project bonds. Safety record directly affects insurance costs and project qualification — a poor EMR can disqualify a contractor from bidding on major work. This creates a self-reinforcing advantage.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7. Security Clearance / Specialized Access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BF8F00"/>
                <w:sz w:val="20"/>
                <w:szCs w:val="20"/>
              </w:rPr>
              <w:t xml:space="preserve">Moderate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EMCOR performs some government/defense work requiring security clearances, but this is not a dominant portion of revenue. Federal/government work is approximately 5–10% of revenues. The company’s primary specialized access advantage is in data center construction, where relationships with hyperscaler customers (Google, Meta, Microsoft, Amazon) create repeat-business barriers — hyperscalers prefer proven contractors for mission-critical builds.</w:t>
            </w:r>
          </w:p>
        </w:tc>
      </w:tr>
    </w:tbl>
    <w:p>
      <w:pPr>
        <w:spacing w:after="120"/>
      </w:pPr>
      <w:r>
        <w:rPr>
          <w:rFonts w:ascii="Arial" w:cs="Arial" w:eastAsia="Arial" w:hAnsi="Arial"/>
          <w:b w:val="false"/>
          <w:bCs w:val="false"/>
          <w:i w:val="false"/>
          <w:iCs w:val="false"/>
          <w:color w:val="000000"/>
          <w:sz w:val="22"/>
          <w:szCs w:val="22"/>
        </w:rPr>
        <w:t xml:space="preserve"/>
      </w:r>
    </w:p>
    <w:p>
      <w:pPr>
        <w:pStyle w:val="Heading2"/>
        <w:spacing w:after="150" w:before="300"/>
      </w:pPr>
      <w:r>
        <w:rPr>
          <w:rFonts w:ascii="Arial" w:cs="Arial" w:eastAsia="Arial" w:hAnsi="Arial"/>
        </w:rPr>
        <w:t xml:space="preserve">LMI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LMI Score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548235"/>
                <w:sz w:val="20"/>
                <w:szCs w:val="20"/>
              </w:rPr>
              <w:t xml:space="preserve">6 / 7 Strong (1 Moderate) → FORTRESS-class labor moat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Moat Type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Licensed labor + self-perform scale + geographic density + bonding capacity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Moat Trajectory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STRENGTHENING — Skilled labor scarcity is a secular trend (demographic, immigration, declining trade school enrollment). As supply tightens, the value of EMCOR’s 44,000-person workforce INCREASES. Data center complexity is rising (liquid cooling, high-density power, AI-specific infrastructure), further favoring experienced contractors.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Key Vulnerability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Unionized labor (~60% of construction workforce is union) creates wage inflation pressure. If project pricing doesn’t keep pace with labor cost increases, margins compress. However, EMCOR’s pricing discipline has been exceptional — operating margins expanded from ~5.5% (2020) to ~9.7% (Q4 2025) through this cycle.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Compounder Signal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The labor moat is self-reinforcing: EMCOR’s scale attracts the best apprentices → better execution → more repeat business → more scale → attracts more apprentices. This is the infrastructure services equivalent of a data flywheel. The moat widens as long as EMCOR executes well.</w:t>
            </w:r>
          </w:p>
        </w:tc>
      </w:tr>
    </w:tbl>
    <w:p>
      <w:r>
        <w:br w:type="page"/>
      </w:r>
    </w:p>
    <w:p>
      <w:pPr>
        <w:pStyle w:val="Heading1"/>
        <w:spacing w:after="150" w:before="300"/>
      </w:pPr>
      <w:r>
        <w:rPr>
          <w:rFonts w:ascii="Arial" w:cs="Arial" w:eastAsia="Arial" w:hAnsi="Arial"/>
        </w:rPr>
        <w:t xml:space="preserve">STAGE 2: VALUE CREATION ENGINE (VCE) — FOUR-DIMENSION SCORING</w:t>
      </w:r>
    </w:p>
    <w:p>
      <w:pPr>
        <w:spacing w:after="120"/>
      </w:pPr>
      <w:r>
        <w:rPr>
          <w:rFonts w:ascii="Arial" w:cs="Arial" w:eastAsia="Arial" w:hAnsi="Arial"/>
          <w:b/>
          <w:bCs/>
          <w:sz w:val="22"/>
          <w:szCs w:val="22"/>
        </w:rPr>
        <w:t xml:space="preserve">Stage 2 Starting Posture: </w:t>
      </w:r>
      <w:r>
        <w:rPr>
          <w:rFonts w:ascii="Arial" w:cs="Arial" w:eastAsia="Arial" w:hAnsi="Arial"/>
          <w:sz w:val="22"/>
          <w:szCs w:val="22"/>
        </w:rPr>
        <w:t xml:space="preserve">FORTRESS-class labor moat from pre-screen. Approach scoring with high confidence. The LMI indicates a company with structural competitive advantages that are WIDENING. Now test whether these advantages translate into durable economic value creation.</w:t>
      </w:r>
    </w:p>
    <w:p>
      <w:pPr>
        <w:pStyle w:val="Heading2"/>
        <w:spacing w:after="150" w:before="300"/>
      </w:pPr>
      <w:r>
        <w:rPr>
          <w:rFonts w:ascii="Arial" w:cs="Arial" w:eastAsia="Arial" w:hAnsi="Arial"/>
        </w:rPr>
        <w:t xml:space="preserve">DIMENSION 1: CAPITAL EFFICIENCY (25% Weight) — Score: 9/10</w:t>
      </w:r>
    </w:p>
    <w:p>
      <w:pPr>
        <w:spacing w:after="120"/>
      </w:pPr>
      <w:r>
        <w:rPr>
          <w:rFonts w:ascii="Arial" w:cs="Arial" w:eastAsia="Arial" w:hAnsi="Arial"/>
          <w:b w:val="false"/>
          <w:bCs w:val="false"/>
          <w:i w:val="false"/>
          <w:iCs w:val="false"/>
          <w:color w:val="000000"/>
          <w:sz w:val="22"/>
          <w:szCs w:val="22"/>
        </w:rPr>
        <w:t xml:space="preserve">This is EMCOR’s crown jewel dimension and the primary evidence of a true compounder. EMCOR generates extraordinary returns on capital for an infrastructure services business, with minimal capital intensity.</w:t>
      </w:r>
    </w:p>
    <w:p>
      <w:pPr>
        <w:spacing w:after="120"/>
      </w:pPr>
      <w:r>
        <w:rPr>
          <w:rFonts w:ascii="Arial" w:cs="Arial" w:eastAsia="Arial" w:hAnsi="Arial"/>
          <w:b/>
          <w:bCs/>
          <w:sz w:val="22"/>
          <w:szCs w:val="22"/>
        </w:rPr>
        <w:t xml:space="preserve">ROIC (TTM): </w:t>
      </w:r>
      <w:r>
        <w:rPr>
          <w:rFonts w:ascii="Arial" w:cs="Arial" w:eastAsia="Arial" w:hAnsi="Arial"/>
          <w:sz w:val="22"/>
          <w:szCs w:val="22"/>
        </w:rPr>
        <w:t xml:space="preserve">22.3% (GuruFocus, NOPAT-based) — Some sources report 37.9% (ROE-based), reflecting low equity base from buybacks. The 22.3% NOPAT-based figure is the more conservative and appropriate measure.</w:t>
      </w:r>
    </w:p>
    <w:p>
      <w:pPr>
        <w:spacing w:after="120"/>
      </w:pPr>
      <w:r>
        <w:rPr>
          <w:rFonts w:ascii="Arial" w:cs="Arial" w:eastAsia="Arial" w:hAnsi="Arial"/>
          <w:b/>
          <w:bCs/>
          <w:sz w:val="22"/>
          <w:szCs w:val="22"/>
        </w:rPr>
        <w:t xml:space="preserve">WACC: </w:t>
      </w:r>
      <w:r>
        <w:rPr>
          <w:rFonts w:ascii="Arial" w:cs="Arial" w:eastAsia="Arial" w:hAnsi="Arial"/>
          <w:sz w:val="22"/>
          <w:szCs w:val="22"/>
        </w:rPr>
        <w:t xml:space="preserve">~11.7% (GuruFocus estimate)</w:t>
      </w:r>
    </w:p>
    <w:p>
      <w:pPr>
        <w:spacing w:after="120"/>
      </w:pPr>
      <w:r>
        <w:rPr>
          <w:rFonts w:ascii="Arial" w:cs="Arial" w:eastAsia="Arial" w:hAnsi="Arial"/>
          <w:b/>
          <w:bCs/>
          <w:sz w:val="22"/>
          <w:szCs w:val="22"/>
        </w:rPr>
        <w:t xml:space="preserve">ROIC – WACC Spread: </w:t>
      </w:r>
      <w:r>
        <w:rPr>
          <w:rFonts w:ascii="Arial" w:cs="Arial" w:eastAsia="Arial" w:hAnsi="Arial"/>
          <w:sz w:val="22"/>
          <w:szCs w:val="22"/>
        </w:rPr>
        <w:t xml:space="preserve">+10.6 percentage points — This is an exceptional spread for ANY company, and extraordinary for a construction services business. It means every dollar EMCOR invests in the business generates 10.6 cents of economic profit above the cost of capital. This is the mathematical definition of value creation.</w:t>
      </w:r>
    </w:p>
    <w:p>
      <w:pPr>
        <w:spacing w:after="120"/>
      </w:pPr>
      <w:r>
        <w:rPr>
          <w:rFonts w:ascii="Arial" w:cs="Arial" w:eastAsia="Arial" w:hAnsi="Arial"/>
          <w:b/>
          <w:bCs/>
          <w:sz w:val="22"/>
          <w:szCs w:val="22"/>
        </w:rPr>
        <w:t xml:space="preserve">EVA (Economic Value Added): </w:t>
      </w:r>
      <w:r>
        <w:rPr>
          <w:rFonts w:ascii="Arial" w:cs="Arial" w:eastAsia="Arial" w:hAnsi="Arial"/>
          <w:sz w:val="22"/>
          <w:szCs w:val="22"/>
        </w:rPr>
        <w:t xml:space="preserve">Positive and expanding. With ~$5.7B invested capital and 10.6% excess return, EMCOR generates approximately $600M+ in annual economic value added — real wealth creation above and beyond the cost of capital.</w:t>
      </w:r>
    </w:p>
    <w:p>
      <w:pPr>
        <w:spacing w:after="120"/>
      </w:pPr>
      <w:r>
        <w:rPr>
          <w:rFonts w:ascii="Arial" w:cs="Arial" w:eastAsia="Arial" w:hAnsi="Arial"/>
          <w:b w:val="false"/>
          <w:bCs w:val="false"/>
          <w:i w:val="false"/>
          <w:iCs w:val="false"/>
          <w:color w:val="000000"/>
          <w:sz w:val="22"/>
          <w:szCs w:val="22"/>
        </w:rPr>
        <w:t xml:space="preserve"/>
      </w:r>
    </w:p>
    <w:p>
      <w:pPr>
        <w:spacing w:after="120"/>
      </w:pPr>
      <w:r>
        <w:rPr>
          <w:rFonts w:ascii="Arial" w:cs="Arial" w:eastAsia="Arial" w:hAnsi="Arial"/>
          <w:b/>
          <w:bCs/>
          <w:sz w:val="22"/>
          <w:szCs w:val="22"/>
        </w:rPr>
        <w:t xml:space="preserve">Capital Intensity: </w:t>
      </w:r>
      <w:r>
        <w:rPr>
          <w:rFonts w:ascii="Arial" w:cs="Arial" w:eastAsia="Arial" w:hAnsi="Arial"/>
          <w:sz w:val="22"/>
          <w:szCs w:val="22"/>
        </w:rPr>
        <w:t xml:space="preserve">Exceptionally low. CapEx was ~$75M in FY2024 on $14.6B revenue (0.5% of revenue). The business is fundamentally asset-light — the “assets” are people, not factories or equipment. This means almost all operating cash flow converts to free cash flow. FY2024 FCF was ~$1.34B on $1.4B operating cash flow — a 96% conversion rate.</w:t>
      </w:r>
    </w:p>
    <w:p>
      <w:pPr>
        <w:spacing w:after="120"/>
      </w:pPr>
      <w:r>
        <w:rPr>
          <w:rFonts w:ascii="Arial" w:cs="Arial" w:eastAsia="Arial" w:hAnsi="Arial"/>
          <w:b/>
          <w:bCs/>
          <w:sz w:val="22"/>
          <w:szCs w:val="22"/>
        </w:rPr>
        <w:t xml:space="preserve">Capital Turnover: </w:t>
      </w:r>
      <w:r>
        <w:rPr>
          <w:rFonts w:ascii="Arial" w:cs="Arial" w:eastAsia="Arial" w:hAnsi="Arial"/>
          <w:sz w:val="22"/>
          <w:szCs w:val="22"/>
        </w:rPr>
        <w:t xml:space="preserve">Revenue / Invested Capital = $17.0B / ~$5.7B = ~3.0x. This is remarkably high, meaning EMCOR generates $3 of revenue for every $1 of invested capital. Combined with 7.5%+ NOPAT margins, this drives the 22%+ ROIC.</w:t>
      </w:r>
    </w:p>
    <w:p>
      <w:pPr>
        <w:spacing w:after="120"/>
      </w:pPr>
      <w:r>
        <w:rPr>
          <w:rFonts w:ascii="Arial" w:cs="Arial" w:eastAsia="Arial" w:hAnsi="Arial"/>
          <w:b/>
          <w:bCs/>
          <w:sz w:val="22"/>
          <w:szCs w:val="22"/>
        </w:rPr>
        <w:t xml:space="preserve">Working Capital: </w:t>
      </w:r>
      <w:r>
        <w:rPr>
          <w:rFonts w:ascii="Arial" w:cs="Arial" w:eastAsia="Arial" w:hAnsi="Arial"/>
          <w:sz w:val="22"/>
          <w:szCs w:val="22"/>
        </w:rPr>
        <w:t xml:space="preserve">Net negative working capital is common in the industry (customers pay progress billings; suppliers and labor are paid after work is performed). EMCOR’s working capital efficiency is a competitive advantage: the business generates cash as it grows.</w:t>
      </w:r>
    </w:p>
    <w:p>
      <w:pPr>
        <w:spacing w:after="120"/>
      </w:pPr>
      <w:r>
        <w:rPr>
          <w:rFonts w:ascii="Arial" w:cs="Arial" w:eastAsia="Arial" w:hAnsi="Arial"/>
          <w:b/>
          <w:bCs/>
          <w:sz w:val="22"/>
          <w:szCs w:val="22"/>
        </w:rPr>
        <w:t xml:space="preserve">D1 Score: </w:t>
      </w:r>
      <w:r>
        <w:rPr>
          <w:rFonts w:ascii="Arial" w:cs="Arial" w:eastAsia="Arial" w:hAnsi="Arial"/>
          <w:sz w:val="22"/>
          <w:szCs w:val="22"/>
        </w:rPr>
        <w:t xml:space="preserve">9 / 10 — The 22.3% ROIC with 10.6% excess spread, 0.5% CapEx intensity, 3.0x capital turnover, and 96% FCF conversion rate represent best-in-class capital efficiency. Score is 9 rather than 10 because ROIC has benefited from favorable project mix (high-margin data center work) that may moderate as competition for data center contracts increases.</w:t>
      </w:r>
    </w:p>
    <w:p>
      <w:pPr>
        <w:pStyle w:val="Heading2"/>
        <w:spacing w:after="150" w:before="300"/>
      </w:pPr>
      <w:r>
        <w:rPr>
          <w:rFonts w:ascii="Arial" w:cs="Arial" w:eastAsia="Arial" w:hAnsi="Arial"/>
        </w:rPr>
        <w:t xml:space="preserve">DIMENSION 2: REINVESTMENT QUALITY (30% Weight) — Score: 8/10</w:t>
      </w:r>
    </w:p>
    <w:p>
      <w:pPr>
        <w:spacing w:after="120"/>
      </w:pPr>
      <w:r>
        <w:rPr>
          <w:rFonts w:ascii="Arial" w:cs="Arial" w:eastAsia="Arial" w:hAnsi="Arial"/>
          <w:b w:val="false"/>
          <w:bCs w:val="false"/>
          <w:i w:val="false"/>
          <w:iCs w:val="false"/>
          <w:color w:val="000000"/>
          <w:sz w:val="22"/>
          <w:szCs w:val="22"/>
        </w:rPr>
        <w:t xml:space="preserve">Reinvestment quality — the ROIIC — is the engine of compounding. A company with high ROIC but no reinvestment opportunities is a cash cow, not a compounder. A company with high ROIC AND high-return reinvestment opportunities is a compounding machine. EMCOR passes this test convincingly.</w:t>
      </w:r>
    </w:p>
    <w:p>
      <w:pPr>
        <w:spacing w:after="120"/>
      </w:pPr>
      <w:r>
        <w:rPr>
          <w:rFonts w:ascii="Arial" w:cs="Arial" w:eastAsia="Arial" w:hAnsi="Arial"/>
          <w:b/>
          <w:bCs/>
          <w:sz w:val="22"/>
          <w:szCs w:val="22"/>
        </w:rPr>
        <w:t xml:space="preserve">ROIIC (3-Year): </w:t>
      </w:r>
      <w:r>
        <w:rPr>
          <w:rFonts w:ascii="Arial" w:cs="Arial" w:eastAsia="Arial" w:hAnsi="Arial"/>
          <w:sz w:val="22"/>
          <w:szCs w:val="22"/>
        </w:rPr>
        <w:t xml:space="preserve">From FY2022 to FY2025, EMCOR grew NOPAT from approximately $530M to approximately $1.27B (+$740M). Incremental invested capital over the same period was approximately $1.8B (including acquisitions). ROIIC = $740M / $1.8B = ~41%. This is exceptional. It means every incremental dollar EMCOR invested over the past 3 years generated 41 cents of incremental operating profit. This is the hallmark of a true compounder.</w:t>
      </w:r>
    </w:p>
    <w:p>
      <w:pPr>
        <w:spacing w:after="120"/>
      </w:pPr>
      <w:r>
        <w:rPr>
          <w:rFonts w:ascii="Arial" w:cs="Arial" w:eastAsia="Arial" w:hAnsi="Arial"/>
          <w:b w:val="false"/>
          <w:bCs w:val="false"/>
          <w:i w:val="false"/>
          <w:iCs w:val="false"/>
          <w:color w:val="000000"/>
          <w:sz w:val="22"/>
          <w:szCs w:val="22"/>
        </w:rPr>
        <w:t xml:space="preserve"/>
      </w:r>
    </w:p>
    <w:p>
      <w:pPr>
        <w:pStyle w:val="Heading3"/>
        <w:spacing w:after="150" w:before="300"/>
      </w:pPr>
      <w:r>
        <w:rPr>
          <w:rFonts w:ascii="Arial" w:cs="Arial" w:eastAsia="Arial" w:hAnsi="Arial"/>
        </w:rPr>
        <w:t xml:space="preserve">M&amp;A Discipline</w:t>
      </w:r>
    </w:p>
    <w:p>
      <w:pPr>
        <w:spacing w:after="120"/>
      </w:pPr>
      <w:r>
        <w:rPr>
          <w:rFonts w:ascii="Arial" w:cs="Arial" w:eastAsia="Arial" w:hAnsi="Arial"/>
          <w:b w:val="false"/>
          <w:bCs w:val="false"/>
          <w:i w:val="false"/>
          <w:iCs w:val="false"/>
          <w:color w:val="000000"/>
          <w:sz w:val="22"/>
          <w:szCs w:val="22"/>
        </w:rPr>
        <w:t xml:space="preserve">EMCOR’s acquisition strategy is the textbook bolt-on compounder playbook: acquire regional specialty contractors at 8–10x EBITDA, integrate them into the EMCOR platform (safety systems, bonding capacity, cross-sell relationships), and improve their margins through scale and process discipline. Key recent deals:</w:t>
      </w:r>
    </w:p>
    <w:p>
      <w:pPr>
        <w:spacing w:after="120"/>
      </w:pPr>
      <w:r>
        <w:rPr>
          <w:rFonts w:ascii="Arial" w:cs="Arial" w:eastAsia="Arial" w:hAnsi="Arial"/>
          <w:b/>
          <w:bCs/>
          <w:sz w:val="22"/>
          <w:szCs w:val="22"/>
        </w:rPr>
        <w:t xml:space="preserve">Miller Electric (2025, ~$865M): </w:t>
      </w:r>
      <w:r>
        <w:rPr>
          <w:rFonts w:ascii="Arial" w:cs="Arial" w:eastAsia="Arial" w:hAnsi="Arial"/>
          <w:sz w:val="22"/>
          <w:szCs w:val="22"/>
        </w:rPr>
        <w:t xml:space="preserve">Expected $805M revenue, ~$80M EBITDA (10.8x). Southeastern electrical contractor with strong data center capabilities. Accretive to EMCOR’s data center corridor presence (Jacksonville, Southeast).</w:t>
      </w:r>
    </w:p>
    <w:p>
      <w:pPr>
        <w:spacing w:after="120"/>
      </w:pPr>
      <w:r>
        <w:rPr>
          <w:rFonts w:ascii="Arial" w:cs="Arial" w:eastAsia="Arial" w:hAnsi="Arial"/>
          <w:b/>
          <w:bCs/>
          <w:sz w:val="22"/>
          <w:szCs w:val="22"/>
        </w:rPr>
        <w:t xml:space="preserve">John W. Danforth (2025): </w:t>
      </w:r>
      <w:r>
        <w:rPr>
          <w:rFonts w:ascii="Arial" w:cs="Arial" w:eastAsia="Arial" w:hAnsi="Arial"/>
          <w:sz w:val="22"/>
          <w:szCs w:val="22"/>
        </w:rPr>
        <w:t xml:space="preserve">Mechanical/HVAC contractor in the Northeast, expanding geographic density in a high-demand market.</w:t>
      </w:r>
    </w:p>
    <w:p>
      <w:pPr>
        <w:spacing w:after="120"/>
      </w:pPr>
      <w:r>
        <w:rPr>
          <w:rFonts w:ascii="Arial" w:cs="Arial" w:eastAsia="Arial" w:hAnsi="Arial"/>
          <w:b/>
          <w:bCs/>
          <w:sz w:val="22"/>
          <w:szCs w:val="22"/>
        </w:rPr>
        <w:t xml:space="preserve">ECM Holding (2023, ~$60M revenue): </w:t>
      </w:r>
      <w:r>
        <w:rPr>
          <w:rFonts w:ascii="Arial" w:cs="Arial" w:eastAsia="Arial" w:hAnsi="Arial"/>
          <w:sz w:val="22"/>
          <w:szCs w:val="22"/>
        </w:rPr>
        <w:t xml:space="preserve">Energy efficiency specialty services. Adds capability in building energy performance — a growing regulatory-driven market.</w:t>
      </w:r>
    </w:p>
    <w:p>
      <w:pPr>
        <w:spacing w:after="120"/>
      </w:pPr>
      <w:r>
        <w:rPr>
          <w:rFonts w:ascii="Arial" w:cs="Arial" w:eastAsia="Arial" w:hAnsi="Arial"/>
          <w:b w:val="false"/>
          <w:bCs w:val="false"/>
          <w:i w:val="false"/>
          <w:iCs w:val="false"/>
          <w:color w:val="000000"/>
          <w:sz w:val="22"/>
          <w:szCs w:val="22"/>
        </w:rPr>
        <w:t xml:space="preserve">The M&amp;A track record over the past decade shows disciplined pricing (8–12x EBITDA), rapid integration, and consistent margin improvement post-acquisition. Management has resisted the temptation to overpay for “transformative” deals, preferring a steady stream of bolt-ons that extend geographic reach and technical capability.</w:t>
      </w:r>
    </w:p>
    <w:p>
      <w:pPr>
        <w:spacing w:after="120"/>
      </w:pPr>
      <w:r>
        <w:rPr>
          <w:rFonts w:ascii="Arial" w:cs="Arial" w:eastAsia="Arial" w:hAnsi="Arial"/>
          <w:b w:val="false"/>
          <w:bCs w:val="false"/>
          <w:i w:val="false"/>
          <w:iCs w:val="false"/>
          <w:color w:val="000000"/>
          <w:sz w:val="22"/>
          <w:szCs w:val="22"/>
        </w:rPr>
        <w:t xml:space="preserve"/>
      </w:r>
    </w:p>
    <w:p>
      <w:pPr>
        <w:pStyle w:val="Heading3"/>
        <w:spacing w:after="150" w:before="300"/>
      </w:pPr>
      <w:r>
        <w:rPr>
          <w:rFonts w:ascii="Arial" w:cs="Arial" w:eastAsia="Arial" w:hAnsi="Arial"/>
        </w:rPr>
        <w:t xml:space="preserve">Organic Reinvestment</w:t>
      </w:r>
    </w:p>
    <w:p>
      <w:pPr>
        <w:spacing w:after="120"/>
      </w:pPr>
      <w:r>
        <w:rPr>
          <w:rFonts w:ascii="Arial" w:cs="Arial" w:eastAsia="Arial" w:hAnsi="Arial"/>
          <w:b w:val="false"/>
          <w:bCs w:val="false"/>
          <w:i w:val="false"/>
          <w:iCs w:val="false"/>
          <w:color w:val="000000"/>
          <w:sz w:val="22"/>
          <w:szCs w:val="22"/>
        </w:rPr>
        <w:t xml:space="preserve">Beyond M&amp;A, EMCOR reinvests organically through: (1) apprenticeship programs that build the workforce pipeline; (2) technology investments in BIM (Building Information Modeling), prefabrication, and modular construction that improve productivity; (3) expanding into adjacent services (building automation, energy efficiency, EV charging infrastructure); (4) geographic expansion into high-growth data center corridors.</w:t>
      </w:r>
    </w:p>
    <w:p>
      <w:pPr>
        <w:spacing w:after="120"/>
      </w:pPr>
      <w:r>
        <w:rPr>
          <w:rFonts w:ascii="Arial" w:cs="Arial" w:eastAsia="Arial" w:hAnsi="Arial"/>
          <w:b/>
          <w:bCs/>
          <w:sz w:val="22"/>
          <w:szCs w:val="22"/>
        </w:rPr>
        <w:t xml:space="preserve">Organic Revenue Growth (FY2025): </w:t>
      </w:r>
      <w:r>
        <w:rPr>
          <w:rFonts w:ascii="Arial" w:cs="Arial" w:eastAsia="Arial" w:hAnsi="Arial"/>
          <w:sz w:val="22"/>
          <w:szCs w:val="22"/>
        </w:rPr>
        <w:t xml:space="preserve">~12–14% (excluding acquisitions, on base of ~$14.6B). Strong organic growth demonstrates that reinvestment is generating real revenue expansion, not just M&amp;A-driven.</w:t>
      </w:r>
    </w:p>
    <w:p>
      <w:pPr>
        <w:spacing w:after="120"/>
      </w:pPr>
      <w:r>
        <w:rPr>
          <w:rFonts w:ascii="Arial" w:cs="Arial" w:eastAsia="Arial" w:hAnsi="Arial"/>
          <w:b w:val="false"/>
          <w:bCs w:val="false"/>
          <w:i w:val="false"/>
          <w:iCs w:val="false"/>
          <w:color w:val="000000"/>
          <w:sz w:val="22"/>
          <w:szCs w:val="22"/>
        </w:rPr>
        <w:t xml:space="preserve"/>
      </w:r>
    </w:p>
    <w:p>
      <w:pPr>
        <w:pStyle w:val="Heading3"/>
        <w:spacing w:after="150" w:before="300"/>
      </w:pPr>
      <w:r>
        <w:rPr>
          <w:rFonts w:ascii="Arial" w:cs="Arial" w:eastAsia="Arial" w:hAnsi="Arial"/>
        </w:rPr>
        <w:t xml:space="preserve">Capital Return</w:t>
      </w:r>
    </w:p>
    <w:p>
      <w:pPr>
        <w:spacing w:after="120"/>
      </w:pPr>
      <w:r>
        <w:rPr>
          <w:rFonts w:ascii="Arial" w:cs="Arial" w:eastAsia="Arial" w:hAnsi="Arial"/>
          <w:b/>
          <w:bCs/>
          <w:sz w:val="22"/>
          <w:szCs w:val="22"/>
        </w:rPr>
        <w:t xml:space="preserve">Share Buybacks (FY2024): </w:t>
      </w:r>
      <w:r>
        <w:rPr>
          <w:rFonts w:ascii="Arial" w:cs="Arial" w:eastAsia="Arial" w:hAnsi="Arial"/>
          <w:sz w:val="22"/>
          <w:szCs w:val="22"/>
        </w:rPr>
        <w:t xml:space="preserve">$490M (283% increase YoY). Share count declining steadily — management is buying back stock at high ROIC, effectively reinvesting in the business at 22%+ returns when the stock trades at levels where buybacks are accretive.</w:t>
      </w:r>
    </w:p>
    <w:p>
      <w:pPr>
        <w:spacing w:after="120"/>
      </w:pPr>
      <w:r>
        <w:rPr>
          <w:rFonts w:ascii="Arial" w:cs="Arial" w:eastAsia="Arial" w:hAnsi="Arial"/>
          <w:b/>
          <w:bCs/>
          <w:sz w:val="22"/>
          <w:szCs w:val="22"/>
        </w:rPr>
        <w:t xml:space="preserve">Dividends: </w:t>
      </w:r>
      <w:r>
        <w:rPr>
          <w:rFonts w:ascii="Arial" w:cs="Arial" w:eastAsia="Arial" w:hAnsi="Arial"/>
          <w:sz w:val="22"/>
          <w:szCs w:val="22"/>
        </w:rPr>
        <w:t xml:space="preserve">$0.40/quarter ($1.60 annual), recently increased 60%. Low payout ratio (~6% of earnings) — management retains the vast majority of earnings for reinvestment and buybacks.</w:t>
      </w:r>
    </w:p>
    <w:p>
      <w:pPr>
        <w:spacing w:after="120"/>
      </w:pPr>
      <w:r>
        <w:rPr>
          <w:rFonts w:ascii="Arial" w:cs="Arial" w:eastAsia="Arial" w:hAnsi="Arial"/>
          <w:b/>
          <w:bCs/>
          <w:sz w:val="22"/>
          <w:szCs w:val="22"/>
        </w:rPr>
        <w:t xml:space="preserve">D2 Score: </w:t>
      </w:r>
      <w:r>
        <w:rPr>
          <w:rFonts w:ascii="Arial" w:cs="Arial" w:eastAsia="Arial" w:hAnsi="Arial"/>
          <w:sz w:val="22"/>
          <w:szCs w:val="22"/>
        </w:rPr>
        <w:t xml:space="preserve">8 / 10 — The 41% 3-year ROIIC is exceptional. M&amp;A is disciplined and accretive. Organic growth is strong. Capital return is shareholder-friendly. Score is 8 rather than 9–10 because: (a) the Miller Electric acquisition at 10.8x EBITDA is at the higher end of historical range, suggesting deal pricing may be getting competitive in the data center space; (b) the 3-year ROIIC benefited from favorable data center margins that may moderate.</w:t>
      </w:r>
    </w:p>
    <w:p>
      <w:r>
        <w:br w:type="page"/>
      </w:r>
    </w:p>
    <w:p>
      <w:pPr>
        <w:pStyle w:val="Heading2"/>
        <w:spacing w:after="150" w:before="300"/>
      </w:pPr>
      <w:r>
        <w:rPr>
          <w:rFonts w:ascii="Arial" w:cs="Arial" w:eastAsia="Arial" w:hAnsi="Arial"/>
        </w:rPr>
        <w:t xml:space="preserve">DIMENSION 3: REVENUE DURABILITY (20% Weight) — Score: 7/10</w:t>
      </w:r>
    </w:p>
    <w:p>
      <w:pPr>
        <w:spacing w:after="120"/>
      </w:pPr>
      <w:r>
        <w:rPr>
          <w:rFonts w:ascii="Arial" w:cs="Arial" w:eastAsia="Arial" w:hAnsi="Arial"/>
          <w:b w:val="false"/>
          <w:bCs w:val="false"/>
          <w:i w:val="false"/>
          <w:iCs w:val="false"/>
          <w:color w:val="000000"/>
          <w:sz w:val="22"/>
          <w:szCs w:val="22"/>
        </w:rPr>
        <w:t xml:space="preserve">Revenue durability is the Achilles’ heel of construction services companies — project-based revenue is inherently less predictable than SaaS subscriptions or device consumables. The framework tests whether the company has structural mechanisms that create revenue visibility and repeat business, mitigating the cyclicality of pure project work.</w:t>
      </w:r>
    </w:p>
    <w:p>
      <w:pPr>
        <w:spacing w:after="120"/>
      </w:pPr>
      <w:r>
        <w:rPr>
          <w:rFonts w:ascii="Arial" w:cs="Arial" w:eastAsia="Arial" w:hAnsi="Arial"/>
          <w:b/>
          <w:bCs/>
          <w:sz w:val="22"/>
          <w:szCs w:val="22"/>
        </w:rPr>
        <w:t xml:space="preserve">Remaining Performance Obligations (RPO): </w:t>
      </w:r>
      <w:r>
        <w:rPr>
          <w:rFonts w:ascii="Arial" w:cs="Arial" w:eastAsia="Arial" w:hAnsi="Arial"/>
          <w:sz w:val="22"/>
          <w:szCs w:val="22"/>
        </w:rPr>
        <w:t xml:space="preserve">$13.25B (+31% YoY) as of Q4 2025. This is a record, providing approximately 9–10 months of revenue visibility at current run rates. RPO growth of 31% vs. revenue growth of 17% indicates accelerating bookings and lengthening visibility.</w:t>
      </w:r>
    </w:p>
    <w:p>
      <w:pPr>
        <w:spacing w:after="120"/>
      </w:pPr>
      <w:r>
        <w:rPr>
          <w:rFonts w:ascii="Arial" w:cs="Arial" w:eastAsia="Arial" w:hAnsi="Arial"/>
          <w:b/>
          <w:bCs/>
          <w:sz w:val="22"/>
          <w:szCs w:val="22"/>
        </w:rPr>
        <w:t xml:space="preserve">Data Center RPO Concentration: </w:t>
      </w:r>
      <w:r>
        <w:rPr>
          <w:rFonts w:ascii="Arial" w:cs="Arial" w:eastAsia="Arial" w:hAnsi="Arial"/>
          <w:sz w:val="22"/>
          <w:szCs w:val="22"/>
        </w:rPr>
        <w:t xml:space="preserve">~85% of the $11.75B RPO figure (as of mid-2025) was tied to data center-related projects. Network and Communications RPOs reached $4.3B in Q3 2025, nearly doubling YoY. This provides multi-year visibility into the highest-growth, highest-margin segment.</w:t>
      </w:r>
    </w:p>
    <w:p>
      <w:pPr>
        <w:spacing w:after="120"/>
      </w:pPr>
      <w:r>
        <w:rPr>
          <w:rFonts w:ascii="Arial" w:cs="Arial" w:eastAsia="Arial" w:hAnsi="Arial"/>
          <w:b/>
          <w:bCs/>
          <w:sz w:val="22"/>
          <w:szCs w:val="22"/>
        </w:rPr>
        <w:t xml:space="preserve">Revenue Mix — Construction vs. Services: </w:t>
      </w:r>
      <w:r>
        <w:rPr>
          <w:rFonts w:ascii="Arial" w:cs="Arial" w:eastAsia="Arial" w:hAnsi="Arial"/>
          <w:sz w:val="22"/>
          <w:szCs w:val="22"/>
        </w:rPr>
        <w:t xml:space="preserve">Building Services and Facilities Services segments provide recurring maintenance revenue (~25–30% of total revenue), creating a stable base beneath the project-driven construction segments. This recurring base includes HVAC maintenance, energy management, janitorial, and facilities operations.</w:t>
      </w:r>
    </w:p>
    <w:p>
      <w:pPr>
        <w:spacing w:after="120"/>
      </w:pPr>
      <w:r>
        <w:rPr>
          <w:rFonts w:ascii="Arial" w:cs="Arial" w:eastAsia="Arial" w:hAnsi="Arial"/>
          <w:b/>
          <w:bCs/>
          <w:sz w:val="22"/>
          <w:szCs w:val="22"/>
        </w:rPr>
        <w:t xml:space="preserve">Customer Repeat Rate: </w:t>
      </w:r>
      <w:r>
        <w:rPr>
          <w:rFonts w:ascii="Arial" w:cs="Arial" w:eastAsia="Arial" w:hAnsi="Arial"/>
          <w:sz w:val="22"/>
          <w:szCs w:val="22"/>
        </w:rPr>
        <w:t xml:space="preserve">EMCOR does not disclose a specific repeat customer rate, but management consistently references “long-standing customer relationships” and “repeat business with blue-chip clients” as growth drivers. The hyperscaler data center business is particularly sticky — once an electrical contractor proves it can build mission-critical infrastructure on time and on budget, the hyperscaler keeps coming back.</w:t>
      </w:r>
    </w:p>
    <w:p>
      <w:pPr>
        <w:spacing w:after="120"/>
      </w:pPr>
      <w:r>
        <w:rPr>
          <w:rFonts w:ascii="Arial" w:cs="Arial" w:eastAsia="Arial" w:hAnsi="Arial"/>
          <w:b/>
          <w:bCs/>
          <w:sz w:val="22"/>
          <w:szCs w:val="22"/>
        </w:rPr>
        <w:t xml:space="preserve">End Market Diversification: </w:t>
      </w:r>
      <w:r>
        <w:rPr>
          <w:rFonts w:ascii="Arial" w:cs="Arial" w:eastAsia="Arial" w:hAnsi="Arial"/>
          <w:sz w:val="22"/>
          <w:szCs w:val="22"/>
        </w:rPr>
        <w:t xml:space="preserve">While data centers are 33% of revenue, EMCOR serves healthcare (~15%), commercial/institutional (~20%), industrial (~10%), and government (~5–10%). The Electrical Construction segment’s Q4 2025 growth was notable: roughly HALF of the 45.8% growth came from non-data-center verticals (healthcare, hospitality, institutional), demonstrating breadth.</w:t>
      </w:r>
    </w:p>
    <w:p>
      <w:pPr>
        <w:spacing w:after="120"/>
      </w:pPr>
      <w:r>
        <w:rPr>
          <w:rFonts w:ascii="Arial" w:cs="Arial" w:eastAsia="Arial" w:hAnsi="Arial"/>
          <w:b/>
          <w:bCs/>
          <w:sz w:val="22"/>
          <w:szCs w:val="22"/>
        </w:rPr>
        <w:t xml:space="preserve">Contract Types: </w:t>
      </w:r>
      <w:r>
        <w:rPr>
          <w:rFonts w:ascii="Arial" w:cs="Arial" w:eastAsia="Arial" w:hAnsi="Arial"/>
          <w:sz w:val="22"/>
          <w:szCs w:val="22"/>
        </w:rPr>
        <w:t xml:space="preserve">Mix of fixed-price, guaranteed-maximum-price, cost-plus, and unit-price contracts. Fixed-price creates margin risk in inflationary environments but also creates margin expansion opportunity when execution is disciplined (as it has been).</w:t>
      </w:r>
    </w:p>
    <w:p>
      <w:pPr>
        <w:spacing w:after="120"/>
      </w:pPr>
      <w:r>
        <w:rPr>
          <w:rFonts w:ascii="Arial" w:cs="Arial" w:eastAsia="Arial" w:hAnsi="Arial"/>
          <w:b/>
          <w:bCs/>
          <w:sz w:val="22"/>
          <w:szCs w:val="22"/>
        </w:rPr>
        <w:t xml:space="preserve">D3 Score: </w:t>
      </w:r>
      <w:r>
        <w:rPr>
          <w:rFonts w:ascii="Arial" w:cs="Arial" w:eastAsia="Arial" w:hAnsi="Arial"/>
          <w:sz w:val="22"/>
          <w:szCs w:val="22"/>
        </w:rPr>
        <w:t xml:space="preserve">7 / 10 — RPO of $13.25B provides strong visibility, and the building services recurring base provides stability. Score is 7 rather than 8–10 because: (a) construction revenue is inherently project-based and lumpy; (b) 33% data center concentration creates end-market risk if hyperscaler capex slows; (c) no formal “NRR” equivalent exists for project-based businesses — repeat relationships are real but less contractually locked-in than subscriptions.</w:t>
      </w:r>
    </w:p>
    <w:p>
      <w:r>
        <w:br w:type="page"/>
      </w:r>
    </w:p>
    <w:p>
      <w:pPr>
        <w:pStyle w:val="Heading2"/>
        <w:spacing w:after="150" w:before="300"/>
      </w:pPr>
      <w:r>
        <w:rPr>
          <w:rFonts w:ascii="Arial" w:cs="Arial" w:eastAsia="Arial" w:hAnsi="Arial"/>
        </w:rPr>
        <w:t xml:space="preserve">DIMENSION 4: SECULAR DEMAND TAILWINDS (25% Weight) — Score: 9/10</w:t>
      </w:r>
    </w:p>
    <w:p>
      <w:pPr>
        <w:spacing w:after="120"/>
      </w:pPr>
      <w:r>
        <w:rPr>
          <w:rFonts w:ascii="Arial" w:cs="Arial" w:eastAsia="Arial" w:hAnsi="Arial"/>
          <w:b w:val="false"/>
          <w:bCs w:val="false"/>
          <w:i w:val="false"/>
          <w:iCs w:val="false"/>
          <w:color w:val="000000"/>
          <w:sz w:val="22"/>
          <w:szCs w:val="22"/>
        </w:rPr>
        <w:t xml:space="preserve">This is the dimension that separates infrastructure services compounders from cyclical contractors. A compounder rides secular demand waves that persist for 10–20 years regardless of economic cycles. EMCOR sits at the intersection of multiple, independent secular megatrends — the kind of structural demand environment that creates multi-decade compounding.</w:t>
      </w:r>
    </w:p>
    <w:p>
      <w:pPr>
        <w:spacing w:after="120"/>
      </w:pPr>
      <w:r>
        <w:rPr>
          <w:rFonts w:ascii="Arial" w:cs="Arial" w:eastAsia="Arial" w:hAnsi="Arial"/>
          <w:b w:val="false"/>
          <w:bCs w:val="false"/>
          <w:i w:val="false"/>
          <w:iCs w:val="false"/>
          <w:color w:val="000000"/>
          <w:sz w:val="22"/>
          <w:szCs w:val="22"/>
        </w:rPr>
        <w:t xml:space="preserve"/>
      </w:r>
    </w:p>
    <w:p>
      <w:pPr>
        <w:pStyle w:val="Heading3"/>
        <w:spacing w:after="150" w:before="300"/>
      </w:pPr>
      <w:r>
        <w:rPr>
          <w:rFonts w:ascii="Arial" w:cs="Arial" w:eastAsia="Arial" w:hAnsi="Arial"/>
        </w:rPr>
        <w:t xml:space="preserve">Secular Demand Drivers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Demand Driver</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Duration</w:t>
            </w:r>
          </w:p>
        </w:tc>
        <w:tc>
          <w:tcPr>
            <w:tcW w:type="dxa" w:w="5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Mechanism &amp; Evidence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AI / Data Center Buildout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548235"/>
                <w:sz w:val="20"/>
                <w:szCs w:val="20"/>
              </w:rPr>
              <w:t xml:space="preserve">10–20 yrs</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Hyperscaler capex $200B+ annually and accelerating. Every AI training cluster needs electrical distribution (medium/high voltage), cooling (liquid cooling systems), fire protection, and mechanical infrastructure. EMCOR is one of a handful of contractors qualified for this work. Data center construction CAGR estimated at 12.4%. 33% of EMCOR revenue already here.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Grid Modernization / Electrification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548235"/>
                <w:sz w:val="20"/>
                <w:szCs w:val="20"/>
              </w:rPr>
              <w:t xml:space="preserve">15–25 yrs</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$1.2T needed for U.S. grid upgrades (DOE estimate). EV charging infrastructure buildout. Building electrification mandates (all-electric new construction in CA, NY, WA). Every electrification project needs licensed electricians. EMCOR’s Electrical Construction segment grew 51.8% in FY2025.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Healthcare Modernization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548235"/>
                <w:sz w:val="20"/>
                <w:szCs w:val="20"/>
              </w:rPr>
              <w:t xml:space="preserve">10–15 yrs</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$200B+ in deferred healthcare facility maintenance and modernization nationally. Aging hospital infrastructure requires MEP upgrades. Ambulatory surgery center and medical office building construction accelerating. Healthcare is EMCOR’s second-largest vertical after data centers.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Industrial Reshoring / CHIPS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548235"/>
                <w:sz w:val="20"/>
                <w:szCs w:val="20"/>
              </w:rPr>
              <w:t xml:space="preserve">10–15 yrs</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CHIPS and Science Act ($52B) driving semiconductor fab construction in the U.S. IRA incentives driving EV battery plant and renewable energy manufacturing. Each fab requires $5–10B in construction, heavy on electrical and mechanical work.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Energy Transition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548235"/>
                <w:sz w:val="20"/>
                <w:szCs w:val="20"/>
              </w:rPr>
              <w:t xml:space="preserve">10–20 yrs</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IRA tax credits driving renewable energy construction (solar, wind, battery storage). Grid interconnection queues are 5+ years long, requiring massive transmission and substation construction. EMCOR’s energy infrastructure capabilities are directly applicable.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Building Code Complexity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548235"/>
                <w:sz w:val="20"/>
                <w:szCs w:val="20"/>
              </w:rPr>
              <w:t xml:space="preserve">Permanent</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Energy codes (ASHRAE 90.1, Title 24), fire codes (NFPA), accessibility (ADA), and seismic requirements grow more complex with each cycle. Complexity favors experienced contractors with engineering capability. This is a permanent tailwind for scaled, compliant contractors.</w:t>
            </w:r>
          </w:p>
        </w:tc>
      </w:tr>
    </w:tbl>
    <w:p>
      <w:pPr>
        <w:spacing w:after="120"/>
      </w:pPr>
      <w:r>
        <w:rPr>
          <w:rFonts w:ascii="Arial" w:cs="Arial" w:eastAsia="Arial" w:hAnsi="Arial"/>
          <w:b w:val="false"/>
          <w:bCs w:val="false"/>
          <w:i w:val="false"/>
          <w:iCs w:val="false"/>
          <w:color w:val="000000"/>
          <w:sz w:val="22"/>
          <w:szCs w:val="22"/>
        </w:rPr>
        <w:t xml:space="preserve"/>
      </w:r>
    </w:p>
    <w:p>
      <w:pPr>
        <w:spacing w:after="120"/>
      </w:pPr>
      <w:r>
        <w:rPr>
          <w:rFonts w:ascii="Arial" w:cs="Arial" w:eastAsia="Arial" w:hAnsi="Arial"/>
          <w:b/>
          <w:bCs/>
          <w:sz w:val="22"/>
          <w:szCs w:val="22"/>
        </w:rPr>
        <w:t xml:space="preserve">Demand Independence: </w:t>
      </w:r>
      <w:r>
        <w:rPr>
          <w:rFonts w:ascii="Arial" w:cs="Arial" w:eastAsia="Arial" w:hAnsi="Arial"/>
          <w:sz w:val="22"/>
          <w:szCs w:val="22"/>
        </w:rPr>
        <w:t xml:space="preserve">Critically, these 6 secular drivers are largely INDEPENDENT of each other. A slowdown in data center construction would not eliminate demand from healthcare modernization, grid electrification, or industrial reshoring. This multi-driver demand structure provides resilience against any single end-market downturn.</w:t>
      </w:r>
    </w:p>
    <w:p>
      <w:pPr>
        <w:spacing w:after="120"/>
      </w:pPr>
      <w:r>
        <w:rPr>
          <w:rFonts w:ascii="Arial" w:cs="Arial" w:eastAsia="Arial" w:hAnsi="Arial"/>
          <w:b/>
          <w:bCs/>
          <w:sz w:val="22"/>
          <w:szCs w:val="22"/>
        </w:rPr>
        <w:t xml:space="preserve">Antifragility Signal: </w:t>
      </w:r>
      <w:r>
        <w:rPr>
          <w:rFonts w:ascii="Arial" w:cs="Arial" w:eastAsia="Arial" w:hAnsi="Arial"/>
          <w:sz w:val="22"/>
          <w:szCs w:val="22"/>
        </w:rPr>
        <w:t xml:space="preserve">The demand environment is genuinely antifragile: AI proliferation creates MORE data center demand. Climate change creates MORE electrification and energy transition demand. Aging infrastructure creates MORE modernization demand. Reshoring creates MORE industrial construction demand. The macro forces driving EMCOR’s growth are structural and self-reinforcing.</w:t>
      </w:r>
    </w:p>
    <w:p>
      <w:pPr>
        <w:spacing w:after="120"/>
      </w:pPr>
      <w:r>
        <w:rPr>
          <w:rFonts w:ascii="Arial" w:cs="Arial" w:eastAsia="Arial" w:hAnsi="Arial"/>
          <w:b/>
          <w:bCs/>
          <w:sz w:val="22"/>
          <w:szCs w:val="22"/>
        </w:rPr>
        <w:t xml:space="preserve">D4 Score: </w:t>
      </w:r>
      <w:r>
        <w:rPr>
          <w:rFonts w:ascii="Arial" w:cs="Arial" w:eastAsia="Arial" w:hAnsi="Arial"/>
          <w:sz w:val="22"/>
          <w:szCs w:val="22"/>
        </w:rPr>
        <w:t xml:space="preserve">9 / 10 — Six independent secular tailwinds spanning 10–25 years each, with a permanent complexity driver beneath all of them. Score is 9 rather than 10 because: (a) a severe recession could temporarily slow project starts across multiple verticals simultaneously; (b) data center concentration risk — if hyperscaler capex pauses (as it briefly did in 2023), EMCOR’s highest-margin segment would feel it.</w:t>
      </w:r>
    </w:p>
    <w:p>
      <w:r>
        <w:br w:type="page"/>
      </w:r>
    </w:p>
    <w:p>
      <w:pPr>
        <w:pStyle w:val="Heading1"/>
        <w:spacing w:after="150" w:before="300"/>
      </w:pPr>
      <w:r>
        <w:rPr>
          <w:rFonts w:ascii="Arial" w:cs="Arial" w:eastAsia="Arial" w:hAnsi="Arial"/>
        </w:rPr>
        <w:t xml:space="preserve">STEP 3: RAW COMPOSITE 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1200"/>
        <w:gridCol w:w="1200"/>
        <w:gridCol w:w="25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Dimension</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Weight</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Score</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Weighted</w:t>
            </w:r>
          </w:p>
        </w:tc>
        <w:tc>
          <w:tcPr>
            <w:tcW w:type="dxa" w:w="2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Driver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D1: Capital Efficiency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548235"/>
                <w:sz w:val="20"/>
                <w:szCs w:val="20"/>
              </w:rPr>
              <w:t xml:space="preserve">9/10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2.25</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ROIC 22.3%, spread +10.6%</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D2: Reinvestment Quality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30%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548235"/>
                <w:sz w:val="20"/>
                <w:szCs w:val="20"/>
              </w:rPr>
              <w:t xml:space="preserve">8/10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2.40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ROIIC ~41%, disciplined M&amp;A</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D3: Revenue Durability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548235"/>
                <w:sz w:val="20"/>
                <w:szCs w:val="20"/>
              </w:rPr>
              <w:t xml:space="preserve">7/10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1.40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$13.25B RPO, but project-based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D4: Secular Demand Tailwinds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548235"/>
                <w:sz w:val="20"/>
                <w:szCs w:val="20"/>
              </w:rPr>
              <w:t xml:space="preserve">9/10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2.25</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6 independent secular drivers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RAW COMPOSITE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100%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548235"/>
                <w:sz w:val="20"/>
                <w:szCs w:val="20"/>
              </w:rPr>
              <w:t xml:space="preserve">8.30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548235"/>
                <w:sz w:val="20"/>
                <w:szCs w:val="20"/>
              </w:rPr>
              <w:t xml:space="preserve">INFRASTRUCTURE COMPOUNDER (≥ 7.5)</w:t>
            </w:r>
          </w:p>
        </w:tc>
      </w:tr>
    </w:tbl>
    <w:p>
      <w:pPr>
        <w:spacing w:after="120"/>
      </w:pPr>
      <w:r>
        <w:rPr>
          <w:rFonts w:ascii="Arial" w:cs="Arial" w:eastAsia="Arial" w:hAnsi="Arial"/>
          <w:b w:val="false"/>
          <w:bCs w:val="false"/>
          <w:i w:val="false"/>
          <w:iCs w:val="false"/>
          <w:color w:val="000000"/>
          <w:sz w:val="22"/>
          <w:szCs w:val="22"/>
        </w:rPr>
        <w:t xml:space="preserve"/>
      </w:r>
    </w:p>
    <w:p>
      <w:pPr>
        <w:spacing w:after="120"/>
      </w:pPr>
      <w:r>
        <w:rPr>
          <w:rFonts w:ascii="Arial" w:cs="Arial" w:eastAsia="Arial" w:hAnsi="Arial"/>
          <w:b/>
          <w:bCs/>
          <w:sz w:val="22"/>
          <w:szCs w:val="22"/>
        </w:rPr>
        <w:t xml:space="preserve">EVA Gate (required): </w:t>
      </w:r>
      <w:r>
        <w:rPr>
          <w:rFonts w:ascii="Arial" w:cs="Arial" w:eastAsia="Arial" w:hAnsi="Arial"/>
          <w:sz w:val="22"/>
          <w:szCs w:val="22"/>
        </w:rPr>
        <w:t xml:space="preserve">ROIC (22.3%) &gt; WACC (11.7%) = POSITIVE EVA. Gate PASSES. EMCOR creates genuine economic value above its cost of capital.</w:t>
      </w:r>
    </w:p>
    <w:p>
      <w:pPr>
        <w:spacing w:after="120"/>
      </w:pPr>
      <w:r>
        <w:rPr>
          <w:rFonts w:ascii="Arial" w:cs="Arial" w:eastAsia="Arial" w:hAnsi="Arial"/>
          <w:b/>
          <w:bCs/>
          <w:sz w:val="22"/>
          <w:szCs w:val="22"/>
        </w:rPr>
        <w:t xml:space="preserve">Pre-Screen Consistency: </w:t>
      </w:r>
      <w:r>
        <w:rPr>
          <w:rFonts w:ascii="Arial" w:cs="Arial" w:eastAsia="Arial" w:hAnsi="Arial"/>
          <w:sz w:val="22"/>
          <w:szCs w:val="22"/>
        </w:rPr>
        <w:t xml:space="preserve">LMI returned FORTRESS (6/7 Strong). Raw composite is 8.30 (Infrastructure Compounder). These are fully consistent — a company with a fortress-class labor moat, 22%+ ROIC, 41% ROIIC, and 6 independent secular demand tailwinds should score at the top of this framework.</w:t>
      </w:r>
    </w:p>
    <w:p>
      <w:r>
        <w:br w:type="page"/>
      </w:r>
    </w:p>
    <w:p>
      <w:pPr>
        <w:pStyle w:val="Heading1"/>
        <w:spacing w:after="150" w:before="300"/>
      </w:pPr>
      <w:r>
        <w:rPr>
          <w:rFonts w:ascii="Arial" w:cs="Arial" w:eastAsia="Arial" w:hAnsi="Arial"/>
        </w:rPr>
        <w:t xml:space="preserve">STEP 4: ANTIFRAGILITY MODIFIER (AFM)</w:t>
      </w:r>
    </w:p>
    <w:p>
      <w:pPr>
        <w:spacing w:after="120"/>
      </w:pPr>
      <w:r>
        <w:rPr>
          <w:rFonts w:ascii="Arial" w:cs="Arial" w:eastAsia="Arial" w:hAnsi="Arial"/>
          <w:b w:val="false"/>
          <w:bCs w:val="false"/>
          <w:i w:val="false"/>
          <w:iCs w:val="false"/>
          <w:color w:val="000000"/>
          <w:sz w:val="22"/>
          <w:szCs w:val="22"/>
        </w:rPr>
        <w:t xml:space="preserve">The Antifragility Modifier tests whether the company’s competitive position actually STRENGTHENS under stress — the Taleb criterion. For infrastructure services, antifragility manifests differently than for SaaS: it’s about whether demand and pricing power INCREASE as the macro environment becomes more complex, volatile, or constrained.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1000"/>
        <w:gridCol w:w="3360"/>
      </w:tblGrid>
      <w:tr>
        <w:tc>
          <w:tcPr>
            <w:tcW w:type="dxa" w:w="5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Antifragility Test</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Result</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Evidence</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 Does demand INCREASE as the world becomes more complex?</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548235"/>
                <w:sz w:val="20"/>
                <w:szCs w:val="20"/>
              </w:rPr>
              <w:t xml:space="preserve">YES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AI proliferation → more data centers. Climate change → more electrification. Cyber threats → more hardened facilities. Each layer of complexity creates more MEP construction and maintenance demand.</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2. Does labor scarcity INCREASE barriers to entry over time?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548235"/>
                <w:sz w:val="20"/>
                <w:szCs w:val="20"/>
              </w:rPr>
              <w:t xml:space="preserve">YES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500K+ worker shortage growing as Baby Boomers retire. Trade school enrollment flat. Immigration policy uncertain. Each year, the structural labor gap widens, making EMCOR’s existing workforce more valuable.</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3. Does project complexity INCREASE with technological change?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548235"/>
                <w:sz w:val="20"/>
                <w:szCs w:val="20"/>
              </w:rPr>
              <w:t xml:space="preserve">YES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AI data centers require liquid cooling, high-density power (100kW+ per rack), custom electrical distribution. Healthcare facilities require advanced air handling, clean rooms, medical gas systems. Building codes grow more complex. Each wave of technology raises the execution bar.</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4. Does regulatory burden INCREASE the moat?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548235"/>
                <w:sz w:val="20"/>
                <w:szCs w:val="20"/>
              </w:rPr>
              <w:t xml:space="preserve">YES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Energy codes (ASHRAE 90.1 updates), fire codes (NFPA revisions), seismic requirements, and accessibility mandates grow more stringent. Compliance requires engineering expertise and training investment that smaller competitors lack.</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5. Does a recession create ACQUISITION opportunities?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548235"/>
                <w:sz w:val="20"/>
                <w:szCs w:val="20"/>
              </w:rPr>
              <w:t xml:space="preserve">YES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During downturns, smaller regional contractors lose bonding capacity, key employees, and customer relationships. EMCOR’s financial strength ($1.1B cash, investment-grade credit) enables counter-cyclical M&amp;A — buying distressed competitors at discounted valuations.</w:t>
            </w:r>
          </w:p>
        </w:tc>
      </w:tr>
    </w:tbl>
    <w:p>
      <w:pPr>
        <w:spacing w:after="120"/>
      </w:pPr>
      <w:r>
        <w:rPr>
          <w:rFonts w:ascii="Arial" w:cs="Arial" w:eastAsia="Arial" w:hAnsi="Arial"/>
          <w:b w:val="false"/>
          <w:bCs w:val="false"/>
          <w:i w:val="false"/>
          <w:iCs w:val="false"/>
          <w:color w:val="000000"/>
          <w:sz w:val="22"/>
          <w:szCs w:val="22"/>
        </w:rPr>
        <w:t xml:space="preserve"/>
      </w:r>
    </w:p>
    <w:p>
      <w:pPr>
        <w:spacing w:after="120"/>
      </w:pPr>
      <w:r>
        <w:rPr>
          <w:rFonts w:ascii="Arial" w:cs="Arial" w:eastAsia="Arial" w:hAnsi="Arial"/>
          <w:b/>
          <w:bCs/>
          <w:sz w:val="22"/>
          <w:szCs w:val="22"/>
        </w:rPr>
        <w:t xml:space="preserve">AFM Score: </w:t>
      </w:r>
      <w:r>
        <w:rPr>
          <w:rFonts w:ascii="Arial" w:cs="Arial" w:eastAsia="Arial" w:hAnsi="Arial"/>
          <w:sz w:val="22"/>
          <w:szCs w:val="22"/>
        </w:rPr>
        <w:t xml:space="preserve">5 / 5 → +0.25 modifier</w:t>
      </w:r>
    </w:p>
    <w:p>
      <w:pPr>
        <w:spacing w:after="120"/>
      </w:pPr>
      <w:r>
        <w:rPr>
          <w:rFonts w:ascii="Arial" w:cs="Arial" w:eastAsia="Arial" w:hAnsi="Arial"/>
          <w:b w:val="false"/>
          <w:bCs w:val="false"/>
          <w:i w:val="false"/>
          <w:iCs w:val="false"/>
          <w:color w:val="000000"/>
          <w:sz w:val="22"/>
          <w:szCs w:val="22"/>
        </w:rPr>
        <w:t xml:space="preserve">All five antifragility tests pass. EMCOR is one of the rare companies where EVERY major macro stress vector — technological complexity, labor scarcity, regulatory burden, climate change, economic downturn — actually STRENGTHENS the competitive position. The modifier is intentionally modest (+0.25) because the raw score already captures most of this advantage; the AFM confirms directionality.</w:t>
      </w:r>
    </w:p>
    <w:p>
      <w:r>
        <w:br w:type="page"/>
      </w:r>
    </w:p>
    <w:p>
      <w:pPr>
        <w:pStyle w:val="Heading1"/>
        <w:spacing w:after="150" w:before="300"/>
      </w:pPr>
      <w:r>
        <w:rPr>
          <w:rFonts w:ascii="Arial" w:cs="Arial" w:eastAsia="Arial" w:hAnsi="Arial"/>
        </w:rPr>
        <w:t xml:space="preserve">STEP 5: FINAL COMPOSITE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Raw Composite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8.30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Antifragility Modifier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548235"/>
                <w:sz w:val="20"/>
                <w:szCs w:val="20"/>
              </w:rPr>
              <w:t xml:space="preserve">+0.25</w:t>
            </w:r>
          </w:p>
        </w:tc>
      </w:tr>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FINAL COMPOSITE</w:t>
            </w:r>
          </w:p>
        </w:tc>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548235"/>
                <w:sz w:val="22"/>
                <w:szCs w:val="22"/>
              </w:rPr>
              <w:t xml:space="preserve">8.55 — INFRASTRUCTURE COMPOUNDER</w:t>
            </w:r>
          </w:p>
        </w:tc>
      </w:tr>
    </w:tbl>
    <w:p>
      <w:pPr>
        <w:spacing w:after="120"/>
      </w:pPr>
      <w:r>
        <w:rPr>
          <w:rFonts w:ascii="Arial" w:cs="Arial" w:eastAsia="Arial" w:hAnsi="Arial"/>
          <w:b w:val="false"/>
          <w:bCs w:val="false"/>
          <w:i w:val="false"/>
          <w:iCs w:val="false"/>
          <w:color w:val="000000"/>
          <w:sz w:val="22"/>
          <w:szCs w:val="22"/>
        </w:rPr>
        <w:t xml:space="preserve"/>
      </w:r>
    </w:p>
    <w:p>
      <w:pPr>
        <w:spacing w:after="120"/>
      </w:pPr>
      <w:r>
        <w:rPr>
          <w:rFonts w:ascii="Arial" w:cs="Arial" w:eastAsia="Arial" w:hAnsi="Arial"/>
          <w:b/>
          <w:bCs/>
          <w:sz w:val="22"/>
          <w:szCs w:val="22"/>
        </w:rPr>
        <w:t xml:space="preserve">Classification: </w:t>
      </w:r>
      <w:r>
        <w:rPr>
          <w:rFonts w:ascii="Arial" w:cs="Arial" w:eastAsia="Arial" w:hAnsi="Arial"/>
          <w:sz w:val="22"/>
          <w:szCs w:val="22"/>
        </w:rPr>
        <w:t xml:space="preserve">INFRASTRUCTURE COMPOUNDER — Not modifier-dependent. Raw score of 8.30 clears the 7.5 threshold on its own.</w:t>
      </w:r>
    </w:p>
    <w:p>
      <w:pPr>
        <w:spacing w:after="120"/>
      </w:pPr>
      <w:r>
        <w:rPr>
          <w:rFonts w:ascii="Arial" w:cs="Arial" w:eastAsia="Arial" w:hAnsi="Arial"/>
          <w:b/>
          <w:bCs/>
          <w:sz w:val="22"/>
          <w:szCs w:val="22"/>
        </w:rPr>
        <w:t xml:space="preserve">ROIC-WACC Gate: </w:t>
      </w:r>
      <w:r>
        <w:rPr>
          <w:rFonts w:ascii="Arial" w:cs="Arial" w:eastAsia="Arial" w:hAnsi="Arial"/>
          <w:sz w:val="22"/>
          <w:szCs w:val="22"/>
        </w:rPr>
        <w:t xml:space="preserve">PASS (+10.6% spread, threshold &gt;10%)</w:t>
      </w:r>
    </w:p>
    <w:p>
      <w:pPr>
        <w:spacing w:after="120"/>
      </w:pPr>
      <w:r>
        <w:rPr>
          <w:rFonts w:ascii="Arial" w:cs="Arial" w:eastAsia="Arial" w:hAnsi="Arial"/>
          <w:b/>
          <w:bCs/>
          <w:sz w:val="22"/>
          <w:szCs w:val="22"/>
        </w:rPr>
        <w:t xml:space="preserve">EVA: </w:t>
      </w:r>
      <w:r>
        <w:rPr>
          <w:rFonts w:ascii="Arial" w:cs="Arial" w:eastAsia="Arial" w:hAnsi="Arial"/>
          <w:sz w:val="22"/>
          <w:szCs w:val="22"/>
        </w:rPr>
        <w:t xml:space="preserve">~$600M+ annually — genuine economic value creation</w:t>
      </w:r>
    </w:p>
    <w:p>
      <w:pPr>
        <w:spacing w:after="120"/>
      </w:pPr>
      <w:r>
        <w:rPr>
          <w:rFonts w:ascii="Arial" w:cs="Arial" w:eastAsia="Arial" w:hAnsi="Arial"/>
          <w:b w:val="false"/>
          <w:bCs w:val="false"/>
          <w:i w:val="false"/>
          <w:iCs w:val="false"/>
          <w:color w:val="000000"/>
          <w:sz w:val="22"/>
          <w:szCs w:val="22"/>
        </w:rPr>
        <w:t xml:space="preserve"/>
      </w:r>
    </w:p>
    <w:p>
      <w:pPr>
        <w:pStyle w:val="Heading2"/>
        <w:spacing w:after="150" w:before="300"/>
      </w:pPr>
      <w:r>
        <w:rPr>
          <w:rFonts w:ascii="Arial" w:cs="Arial" w:eastAsia="Arial" w:hAnsi="Arial"/>
        </w:rPr>
        <w:t xml:space="preserve">The Value Creation Identity</w:t>
      </w:r>
    </w:p>
    <w:p>
      <w:pPr>
        <w:spacing w:after="120"/>
      </w:pPr>
      <w:r>
        <w:rPr>
          <w:rFonts w:ascii="Arial" w:cs="Arial" w:eastAsia="Arial" w:hAnsi="Arial"/>
          <w:b/>
          <w:bCs/>
          <w:sz w:val="22"/>
          <w:szCs w:val="22"/>
        </w:rPr>
        <w:t xml:space="preserve">Intrinsic Value Growth Rate = </w:t>
      </w:r>
      <w:r>
        <w:rPr>
          <w:rFonts w:ascii="Arial" w:cs="Arial" w:eastAsia="Arial" w:hAnsi="Arial"/>
          <w:sz w:val="22"/>
          <w:szCs w:val="22"/>
        </w:rPr>
        <w:t xml:space="preserve">Reinvestment Rate × ROIIC</w:t>
      </w:r>
    </w:p>
    <w:p>
      <w:pPr>
        <w:spacing w:after="120"/>
      </w:pPr>
      <w:r>
        <w:rPr>
          <w:rFonts w:ascii="Arial" w:cs="Arial" w:eastAsia="Arial" w:hAnsi="Arial"/>
          <w:b/>
          <w:bCs/>
          <w:sz w:val="22"/>
          <w:szCs w:val="22"/>
        </w:rPr>
        <w:t xml:space="preserve">Reinvestment Rate: </w:t>
      </w:r>
      <w:r>
        <w:rPr>
          <w:rFonts w:ascii="Arial" w:cs="Arial" w:eastAsia="Arial" w:hAnsi="Arial"/>
          <w:sz w:val="22"/>
          <w:szCs w:val="22"/>
        </w:rPr>
        <w:t xml:space="preserve">EMCOR retains ~94% of earnings (6% dividend payout ratio). After buybacks (~$490M) and M&amp;A (~$865M Miller Electric), the effective reinvestment rate in growth is approximately 60–65% of NOPAT.</w:t>
      </w:r>
    </w:p>
    <w:p>
      <w:pPr>
        <w:spacing w:after="120"/>
      </w:pPr>
      <w:r>
        <w:rPr>
          <w:rFonts w:ascii="Arial" w:cs="Arial" w:eastAsia="Arial" w:hAnsi="Arial"/>
          <w:b/>
          <w:bCs/>
          <w:sz w:val="22"/>
          <w:szCs w:val="22"/>
        </w:rPr>
        <w:t xml:space="preserve">ROIIC: </w:t>
      </w:r>
      <w:r>
        <w:rPr>
          <w:rFonts w:ascii="Arial" w:cs="Arial" w:eastAsia="Arial" w:hAnsi="Arial"/>
          <w:sz w:val="22"/>
          <w:szCs w:val="22"/>
        </w:rPr>
        <w:t xml:space="preserve">~41% (3-year trailing)</w:t>
      </w:r>
    </w:p>
    <w:p>
      <w:pPr>
        <w:spacing w:after="120"/>
      </w:pPr>
      <w:r>
        <w:rPr>
          <w:rFonts w:ascii="Arial" w:cs="Arial" w:eastAsia="Arial" w:hAnsi="Arial"/>
          <w:b/>
          <w:bCs/>
          <w:sz w:val="22"/>
          <w:szCs w:val="22"/>
        </w:rPr>
        <w:t xml:space="preserve">Implied Intrinsic Value Growth: </w:t>
      </w:r>
      <w:r>
        <w:rPr>
          <w:rFonts w:ascii="Arial" w:cs="Arial" w:eastAsia="Arial" w:hAnsi="Arial"/>
          <w:sz w:val="22"/>
          <w:szCs w:val="22"/>
        </w:rPr>
        <w:t xml:space="preserve">60–65% × 41% = ~25–27% per year</w:t>
      </w:r>
    </w:p>
    <w:p>
      <w:pPr>
        <w:spacing w:after="120"/>
      </w:pPr>
      <w:r>
        <w:rPr>
          <w:rFonts w:ascii="Arial" w:cs="Arial" w:eastAsia="Arial" w:hAnsi="Arial"/>
          <w:b w:val="false"/>
          <w:bCs w:val="false"/>
          <w:i w:val="false"/>
          <w:iCs w:val="false"/>
          <w:color w:val="000000"/>
          <w:sz w:val="22"/>
          <w:szCs w:val="22"/>
        </w:rPr>
        <w:t xml:space="preserve">This implies EMCOR’s intrinsic value per share is compounding at approximately 25–27% annually — which is remarkably consistent with the actual stock price appreciation over the past 3 years (~35% CAGR, including multiple expansion). The math checks.</w:t>
      </w:r>
    </w:p>
    <w:p>
      <w:r>
        <w:br w:type="page"/>
      </w:r>
    </w:p>
    <w:p>
      <w:pPr>
        <w:pStyle w:val="Heading1"/>
        <w:spacing w:after="150" w:before="300"/>
      </w:pPr>
      <w:r>
        <w:rPr>
          <w:rFonts w:ascii="Arial" w:cs="Arial" w:eastAsia="Arial" w:hAnsi="Arial"/>
        </w:rPr>
        <w:t xml:space="preserve">STEP 6: SCENARIO MODELING</w:t>
      </w:r>
    </w:p>
    <w:p>
      <w:pPr>
        <w:pStyle w:val="Heading2"/>
        <w:spacing w:after="150" w:before="300"/>
      </w:pPr>
      <w:r>
        <w:rPr>
          <w:rFonts w:ascii="Arial" w:cs="Arial" w:eastAsia="Arial" w:hAnsi="Arial"/>
        </w:rPr>
        <w:t xml:space="preserve">Bull Case (Secular Supercycle) — 30% probability</w:t>
      </w:r>
    </w:p>
    <w:p>
      <w:pPr>
        <w:spacing w:after="120"/>
      </w:pPr>
      <w:r>
        <w:rPr>
          <w:rFonts w:ascii="Arial" w:cs="Arial" w:eastAsia="Arial" w:hAnsi="Arial"/>
          <w:b w:val="false"/>
          <w:bCs w:val="false"/>
          <w:i w:val="false"/>
          <w:iCs w:val="false"/>
          <w:color w:val="000000"/>
          <w:sz w:val="22"/>
          <w:szCs w:val="22"/>
        </w:rPr>
        <w:t xml:space="preserve">Hyperscaler data center capex remains $200B+ annually through 2030. EMCOR captures disproportionate share due to execution track record and workforce advantage. Revenue reaches $25B+ by FY2028. Operating margins sustain 9.5–10% as data center mix remains favorable. Bolt-on M&amp;A adds $1B+ revenue annually. EPS compounds at 20–25% annually. Stock re-rates to 25–30x P/E as the market recognizes EMCOR as an infrastructure compounder rather than a cyclical contractor.</w:t>
      </w:r>
    </w:p>
    <w:p>
      <w:pPr>
        <w:spacing w:after="120"/>
      </w:pPr>
      <w:r>
        <w:rPr>
          <w:rFonts w:ascii="Arial" w:cs="Arial" w:eastAsia="Arial" w:hAnsi="Arial"/>
          <w:b/>
          <w:bCs/>
          <w:sz w:val="22"/>
          <w:szCs w:val="22"/>
        </w:rPr>
        <w:t xml:space="preserve">What has to be true: </w:t>
      </w:r>
      <w:r>
        <w:rPr>
          <w:rFonts w:ascii="Arial" w:cs="Arial" w:eastAsia="Arial" w:hAnsi="Arial"/>
          <w:sz w:val="22"/>
          <w:szCs w:val="22"/>
        </w:rPr>
        <w:t xml:space="preserve">AI infrastructure buildout does not materially slow. EMCOR maintains pricing discipline despite competitive entry. Labor scarcity persists, protecting margins. M&amp;A pipeline remains accretive at &lt;12x EBITDA.</w:t>
      </w:r>
    </w:p>
    <w:p>
      <w:pPr>
        <w:pStyle w:val="Heading2"/>
        <w:spacing w:after="150" w:before="300"/>
      </w:pPr>
      <w:r>
        <w:rPr>
          <w:rFonts w:ascii="Arial" w:cs="Arial" w:eastAsia="Arial" w:hAnsi="Arial"/>
        </w:rPr>
        <w:t xml:space="preserve">Base Case (Steady Compounding) — 50% probability</w:t>
      </w:r>
    </w:p>
    <w:p>
      <w:pPr>
        <w:spacing w:after="120"/>
      </w:pPr>
      <w:r>
        <w:rPr>
          <w:rFonts w:ascii="Arial" w:cs="Arial" w:eastAsia="Arial" w:hAnsi="Arial"/>
          <w:b w:val="false"/>
          <w:bCs w:val="false"/>
          <w:i w:val="false"/>
          <w:iCs w:val="false"/>
          <w:color w:val="000000"/>
          <w:sz w:val="22"/>
          <w:szCs w:val="22"/>
        </w:rPr>
        <w:t xml:space="preserve">Revenue grows 10–14% annually through FY2028 (organic + bolt-ons). Data center revenue remains 30–35% of total. Operating margins sustain 8.5–9.5% as project mix normalizes. EPS compounds at 15–18% annually (revenue growth + margin stability + share buybacks). Stock trades in the 20–25x P/E range. FCF generation of $1.5B+ annually funds continued M&amp;A and buybacks.</w:t>
      </w:r>
    </w:p>
    <w:p>
      <w:pPr>
        <w:spacing w:after="120"/>
      </w:pPr>
      <w:r>
        <w:rPr>
          <w:rFonts w:ascii="Arial" w:cs="Arial" w:eastAsia="Arial" w:hAnsi="Arial"/>
          <w:b/>
          <w:bCs/>
          <w:sz w:val="22"/>
          <w:szCs w:val="22"/>
        </w:rPr>
        <w:t xml:space="preserve">Key milestones: </w:t>
      </w:r>
      <w:r>
        <w:rPr>
          <w:rFonts w:ascii="Arial" w:cs="Arial" w:eastAsia="Arial" w:hAnsi="Arial"/>
          <w:sz w:val="22"/>
          <w:szCs w:val="22"/>
        </w:rPr>
        <w:t xml:space="preserve">RPO sustains above $12B. Operating margin holds above 8.5%. Organic growth sustains above 8%. Miller Electric integration exceeds $80M EBITDA target. New end-market diversification (EV charging, grid-scale battery storage) reaches 5%+ of revenue.</w:t>
      </w:r>
    </w:p>
    <w:p>
      <w:pPr>
        <w:pStyle w:val="Heading2"/>
        <w:spacing w:after="150" w:before="300"/>
      </w:pPr>
      <w:r>
        <w:rPr>
          <w:rFonts w:ascii="Arial" w:cs="Arial" w:eastAsia="Arial" w:hAnsi="Arial"/>
        </w:rPr>
        <w:t xml:space="preserve">Bear Case (Cyclical Slowdown) — 20% probability</w:t>
      </w:r>
    </w:p>
    <w:p>
      <w:pPr>
        <w:spacing w:after="120"/>
      </w:pPr>
      <w:r>
        <w:rPr>
          <w:rFonts w:ascii="Arial" w:cs="Arial" w:eastAsia="Arial" w:hAnsi="Arial"/>
          <w:b w:val="false"/>
          <w:bCs w:val="false"/>
          <w:i w:val="false"/>
          <w:iCs w:val="false"/>
          <w:color w:val="000000"/>
          <w:sz w:val="22"/>
          <w:szCs w:val="22"/>
        </w:rPr>
        <w:t xml:space="preserve">Hyperscaler data center capex pauses or moderates (as occurred briefly in 2023 when cloud optimization dominated). Recession slows commercial construction starts. Data center revenue drops to 20–25% of total. Operating margins compress to 7–8% as lower-margin work fills the gap. Revenue growth decelerates to 3–5%. EPS growth stalls at 5–8%. Stock de-rates to 15–18x P/E. However, even in the bear case, EMCOR’s financial strength, diversified end markets, and recurring building services revenue prevent fundamental impairment.</w:t>
      </w:r>
    </w:p>
    <w:p>
      <w:pPr>
        <w:spacing w:after="120"/>
      </w:pPr>
      <w:r>
        <w:rPr>
          <w:rFonts w:ascii="Arial" w:cs="Arial" w:eastAsia="Arial" w:hAnsi="Arial"/>
          <w:b/>
          <w:bCs/>
          <w:sz w:val="22"/>
          <w:szCs w:val="22"/>
        </w:rPr>
        <w:t xml:space="preserve">Bear case mechanism: </w:t>
      </w:r>
      <w:r>
        <w:rPr>
          <w:rFonts w:ascii="Arial" w:cs="Arial" w:eastAsia="Arial" w:hAnsi="Arial"/>
          <w:sz w:val="22"/>
          <w:szCs w:val="22"/>
        </w:rPr>
        <w:t xml:space="preserve">Cyclical slowdown in the highest-margin segment (data centers), NOT structural impairment. Year 1–2: margin compression and multiple de-rating. Year 3+: recovery as secular tailwinds reassert. EMCOR uses the downturn for counter-cyclical M&amp;A.</w:t>
      </w:r>
    </w:p>
    <w:p>
      <w:r>
        <w:br w:type="page"/>
      </w:r>
    </w:p>
    <w:p>
      <w:pPr>
        <w:pStyle w:val="Heading1"/>
        <w:spacing w:after="150" w:before="300"/>
      </w:pPr>
      <w:r>
        <w:rPr>
          <w:rFonts w:ascii="Arial" w:cs="Arial" w:eastAsia="Arial" w:hAnsi="Arial"/>
        </w:rPr>
        <w:t xml:space="preserve">STEP 7: VALUATION GATE</w:t>
      </w:r>
    </w:p>
    <w:p>
      <w:pPr>
        <w:pStyle w:val="Heading2"/>
        <w:spacing w:after="150" w:before="300"/>
      </w:pPr>
      <w:r>
        <w:rPr>
          <w:rFonts w:ascii="Arial" w:cs="Arial" w:eastAsia="Arial" w:hAnsi="Arial"/>
        </w:rPr>
        <w:t xml:space="preserve">7A. Current Valuation</w:t>
      </w:r>
    </w:p>
    <w:p>
      <w:pPr>
        <w:spacing w:after="120"/>
      </w:pPr>
      <w:r>
        <w:rPr>
          <w:rFonts w:ascii="Arial" w:cs="Arial" w:eastAsia="Arial" w:hAnsi="Arial"/>
          <w:b/>
          <w:bCs/>
          <w:sz w:val="22"/>
          <w:szCs w:val="22"/>
        </w:rPr>
        <w:t xml:space="preserve">Market Cap: </w:t>
      </w:r>
      <w:r>
        <w:rPr>
          <w:rFonts w:ascii="Arial" w:cs="Arial" w:eastAsia="Arial" w:hAnsi="Arial"/>
          <w:sz w:val="22"/>
          <w:szCs w:val="22"/>
        </w:rPr>
        <w:t xml:space="preserve">~$32–34B (at ~$750/share, ~44M diluted shares)</w:t>
      </w:r>
    </w:p>
    <w:p>
      <w:pPr>
        <w:spacing w:after="120"/>
      </w:pPr>
      <w:r>
        <w:rPr>
          <w:rFonts w:ascii="Arial" w:cs="Arial" w:eastAsia="Arial" w:hAnsi="Arial"/>
          <w:b/>
          <w:bCs/>
          <w:sz w:val="22"/>
          <w:szCs w:val="22"/>
        </w:rPr>
        <w:t xml:space="preserve">Enterprise Value: </w:t>
      </w:r>
      <w:r>
        <w:rPr>
          <w:rFonts w:ascii="Arial" w:cs="Arial" w:eastAsia="Arial" w:hAnsi="Arial"/>
          <w:sz w:val="22"/>
          <w:szCs w:val="22"/>
        </w:rPr>
        <w:t xml:space="preserve">~$33–34B (market cap + $0.84B debt – $1.1B cash)</w:t>
      </w:r>
    </w:p>
    <w:p>
      <w:pPr>
        <w:spacing w:after="120"/>
      </w:pPr>
      <w:r>
        <w:rPr>
          <w:rFonts w:ascii="Arial" w:cs="Arial" w:eastAsia="Arial" w:hAnsi="Arial"/>
          <w:b/>
          <w:bCs/>
          <w:sz w:val="22"/>
          <w:szCs w:val="22"/>
        </w:rPr>
        <w:t xml:space="preserve">FY2025 EBITDA: </w:t>
      </w:r>
      <w:r>
        <w:rPr>
          <w:rFonts w:ascii="Arial" w:cs="Arial" w:eastAsia="Arial" w:hAnsi="Arial"/>
          <w:sz w:val="22"/>
          <w:szCs w:val="22"/>
        </w:rPr>
        <w:t xml:space="preserve">~$1.76–1.99B</w:t>
      </w:r>
    </w:p>
    <w:p>
      <w:pPr>
        <w:spacing w:after="120"/>
      </w:pPr>
      <w:r>
        <w:rPr>
          <w:rFonts w:ascii="Arial" w:cs="Arial" w:eastAsia="Arial" w:hAnsi="Arial"/>
          <w:b/>
          <w:bCs/>
          <w:sz w:val="22"/>
          <w:szCs w:val="22"/>
        </w:rPr>
        <w:t xml:space="preserve">EV/EBITDA: </w:t>
      </w:r>
      <w:r>
        <w:rPr>
          <w:rFonts w:ascii="Arial" w:cs="Arial" w:eastAsia="Arial" w:hAnsi="Arial"/>
          <w:sz w:val="22"/>
          <w:szCs w:val="22"/>
        </w:rPr>
        <w:t xml:space="preserve">~17–19x (depending on EBITDA measure)</w:t>
      </w:r>
    </w:p>
    <w:p>
      <w:pPr>
        <w:spacing w:after="120"/>
      </w:pPr>
      <w:r>
        <w:rPr>
          <w:rFonts w:ascii="Arial" w:cs="Arial" w:eastAsia="Arial" w:hAnsi="Arial"/>
          <w:b/>
          <w:bCs/>
          <w:sz w:val="22"/>
          <w:szCs w:val="22"/>
        </w:rPr>
        <w:t xml:space="preserve">P/E (TTM): </w:t>
      </w:r>
      <w:r>
        <w:rPr>
          <w:rFonts w:ascii="Arial" w:cs="Arial" w:eastAsia="Arial" w:hAnsi="Arial"/>
          <w:sz w:val="22"/>
          <w:szCs w:val="22"/>
        </w:rPr>
        <w:t xml:space="preserve">~26x ($28.19 EPS)</w:t>
      </w:r>
    </w:p>
    <w:p>
      <w:pPr>
        <w:spacing w:after="120"/>
      </w:pPr>
      <w:r>
        <w:rPr>
          <w:rFonts w:ascii="Arial" w:cs="Arial" w:eastAsia="Arial" w:hAnsi="Arial"/>
          <w:b/>
          <w:bCs/>
          <w:sz w:val="22"/>
          <w:szCs w:val="22"/>
        </w:rPr>
        <w:t xml:space="preserve">FY2026 EPS Guidance Midpoint: </w:t>
      </w:r>
      <w:r>
        <w:rPr>
          <w:rFonts w:ascii="Arial" w:cs="Arial" w:eastAsia="Arial" w:hAnsi="Arial"/>
          <w:sz w:val="22"/>
          <w:szCs w:val="22"/>
        </w:rPr>
        <w:t xml:space="preserve">$28.25</w:t>
      </w:r>
    </w:p>
    <w:p>
      <w:pPr>
        <w:spacing w:after="120"/>
      </w:pPr>
      <w:r>
        <w:rPr>
          <w:rFonts w:ascii="Arial" w:cs="Arial" w:eastAsia="Arial" w:hAnsi="Arial"/>
          <w:b/>
          <w:bCs/>
          <w:sz w:val="22"/>
          <w:szCs w:val="22"/>
        </w:rPr>
        <w:t xml:space="preserve">Forward P/E: </w:t>
      </w:r>
      <w:r>
        <w:rPr>
          <w:rFonts w:ascii="Arial" w:cs="Arial" w:eastAsia="Arial" w:hAnsi="Arial"/>
          <w:sz w:val="22"/>
          <w:szCs w:val="22"/>
        </w:rPr>
        <w:t xml:space="preserve">~26.6x (at $750/share)</w:t>
      </w:r>
    </w:p>
    <w:p>
      <w:pPr>
        <w:spacing w:after="120"/>
      </w:pPr>
      <w:r>
        <w:rPr>
          <w:rFonts w:ascii="Arial" w:cs="Arial" w:eastAsia="Arial" w:hAnsi="Arial"/>
          <w:b/>
          <w:bCs/>
          <w:sz w:val="22"/>
          <w:szCs w:val="22"/>
        </w:rPr>
        <w:t xml:space="preserve">FCF Yield: </w:t>
      </w:r>
      <w:r>
        <w:rPr>
          <w:rFonts w:ascii="Arial" w:cs="Arial" w:eastAsia="Arial" w:hAnsi="Arial"/>
          <w:sz w:val="22"/>
          <w:szCs w:val="22"/>
        </w:rPr>
        <w:t xml:space="preserve">~4.0–4.5% ($1.3–1.5B FCF on ~$33B EV)</w:t>
      </w:r>
    </w:p>
    <w:p>
      <w:pPr>
        <w:pStyle w:val="Heading2"/>
        <w:spacing w:after="150" w:before="300"/>
      </w:pPr>
      <w:r>
        <w:rPr>
          <w:rFonts w:ascii="Arial" w:cs="Arial" w:eastAsia="Arial" w:hAnsi="Arial"/>
        </w:rPr>
        <w:t xml:space="preserve">7B. Implied Growth Check</w:t>
      </w:r>
    </w:p>
    <w:p>
      <w:pPr>
        <w:spacing w:after="120"/>
      </w:pPr>
      <w:r>
        <w:rPr>
          <w:rFonts w:ascii="Arial" w:cs="Arial" w:eastAsia="Arial" w:hAnsi="Arial"/>
          <w:b w:val="false"/>
          <w:bCs w:val="false"/>
          <w:i w:val="false"/>
          <w:iCs w:val="false"/>
          <w:color w:val="000000"/>
          <w:sz w:val="22"/>
          <w:szCs w:val="22"/>
        </w:rPr>
        <w:t xml:space="preserve">At the current EV of ~$33B, assuming a 15x terminal EV/EBITDA multiple in year 10 (premium for infrastructure compounder), the implied 10-year EBITDA CAGR required is approximately 8–10%.</w:t>
      </w:r>
    </w:p>
    <w:p>
      <w:pPr>
        <w:spacing w:after="120"/>
      </w:pPr>
      <w:r>
        <w:rPr>
          <w:rFonts w:ascii="Arial" w:cs="Arial" w:eastAsia="Arial" w:hAnsi="Arial"/>
          <w:b/>
          <w:bCs/>
          <w:sz w:val="22"/>
          <w:szCs w:val="22"/>
        </w:rPr>
        <w:t xml:space="preserve">Current growth rate: </w:t>
      </w:r>
      <w:r>
        <w:rPr>
          <w:rFonts w:ascii="Arial" w:cs="Arial" w:eastAsia="Arial" w:hAnsi="Arial"/>
          <w:sz w:val="22"/>
          <w:szCs w:val="22"/>
        </w:rPr>
        <w:t xml:space="preserve">FY2025 revenue +17%, EPS +20%. FY2026 guidance implies +4–10% revenue growth (conservative guide, consistent with management style).</w:t>
      </w:r>
    </w:p>
    <w:p>
      <w:pPr>
        <w:spacing w:after="120"/>
      </w:pPr>
      <w:r>
        <w:rPr>
          <w:rFonts w:ascii="Arial" w:cs="Arial" w:eastAsia="Arial" w:hAnsi="Arial"/>
          <w:b/>
          <w:bCs/>
          <w:sz w:val="22"/>
          <w:szCs w:val="22"/>
        </w:rPr>
        <w:t xml:space="preserve">Is implied CAGR achievable? </w:t>
      </w:r>
      <w:r>
        <w:rPr>
          <w:rFonts w:ascii="Arial" w:cs="Arial" w:eastAsia="Arial" w:hAnsi="Arial"/>
          <w:sz w:val="22"/>
          <w:szCs w:val="22"/>
        </w:rPr>
        <w:t xml:space="preserve">Yes, with HIGH confidence. EMCOR has grown revenue at a 14% CAGR over the past 5 years, and the secular demand environment is stronger now than at any point in its history. Achieving 8–10% EBITDA growth for 10 years is conservative given the tailwinds.</w:t>
      </w:r>
    </w:p>
    <w:p>
      <w:pPr>
        <w:pStyle w:val="Heading2"/>
        <w:spacing w:after="150" w:before="300"/>
      </w:pPr>
      <w:r>
        <w:rPr>
          <w:rFonts w:ascii="Arial" w:cs="Arial" w:eastAsia="Arial" w:hAnsi="Arial"/>
        </w:rPr>
        <w:t xml:space="preserve">7C. Valuation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Classification</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Acceptable Entry</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Current Multiple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Verdict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548235"/>
                <w:sz w:val="20"/>
                <w:szCs w:val="20"/>
              </w:rPr>
              <w:t xml:space="preserve">INFRA COMPOUNDER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Up to 22x P/E / 18x EV/EBITDA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~26x P/E / ~18x EBITDA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BF8F00"/>
                <w:sz w:val="20"/>
                <w:szCs w:val="20"/>
              </w:rPr>
              <w:t xml:space="preserve">BORDERLINE</w:t>
            </w:r>
          </w:p>
        </w:tc>
      </w:tr>
    </w:tbl>
    <w:p>
      <w:pPr>
        <w:spacing w:after="120"/>
      </w:pPr>
      <w:r>
        <w:rPr>
          <w:rFonts w:ascii="Arial" w:cs="Arial" w:eastAsia="Arial" w:hAnsi="Arial"/>
          <w:b w:val="false"/>
          <w:bCs w:val="false"/>
          <w:i w:val="false"/>
          <w:iCs w:val="false"/>
          <w:color w:val="000000"/>
          <w:sz w:val="22"/>
          <w:szCs w:val="22"/>
        </w:rPr>
        <w:t xml:space="preserve"/>
      </w:r>
    </w:p>
    <w:p>
      <w:pPr>
        <w:spacing w:after="120"/>
      </w:pPr>
      <w:r>
        <w:rPr>
          <w:rFonts w:ascii="Arial" w:cs="Arial" w:eastAsia="Arial" w:hAnsi="Arial"/>
          <w:b/>
          <w:bCs/>
          <w:sz w:val="22"/>
          <w:szCs w:val="22"/>
        </w:rPr>
        <w:t xml:space="preserve">Valuation Gate: </w:t>
      </w:r>
      <w:r>
        <w:rPr>
          <w:rFonts w:ascii="Arial" w:cs="Arial" w:eastAsia="Arial" w:hAnsi="Arial"/>
          <w:sz w:val="22"/>
          <w:szCs w:val="22"/>
        </w:rPr>
        <w:t xml:space="preserve">BORDERLINE. At ~26x forward P/E and ~18x EV/EBITDA, EMCOR is trading at the upper end of the acceptable range for an Infrastructure Compounder. The stock has appreciated ~200% over the past 3 years as the market recognized the data center/secular growth thesis. At current levels, the entry multiple is full — the margin of safety is thin. However, for a company compounding intrinsic value at 25%+ annually, a 26x P/E is not unreasonable if the compounding persists.</w:t>
      </w:r>
    </w:p>
    <w:p>
      <w:pPr>
        <w:pStyle w:val="Heading2"/>
        <w:spacing w:after="150" w:before="300"/>
      </w:pPr>
      <w:r>
        <w:rPr>
          <w:rFonts w:ascii="Arial" w:cs="Arial" w:eastAsia="Arial" w:hAnsi="Arial"/>
        </w:rPr>
        <w:t xml:space="preserve">7D. Historical Context</w:t>
      </w:r>
    </w:p>
    <w:p>
      <w:pPr>
        <w:spacing w:after="120"/>
      </w:pPr>
      <w:r>
        <w:rPr>
          <w:rFonts w:ascii="Arial" w:cs="Arial" w:eastAsia="Arial" w:hAnsi="Arial"/>
          <w:b/>
          <w:bCs/>
          <w:sz w:val="22"/>
          <w:szCs w:val="22"/>
        </w:rPr>
        <w:t xml:space="preserve">3-year average P/E: </w:t>
      </w:r>
      <w:r>
        <w:rPr>
          <w:rFonts w:ascii="Arial" w:cs="Arial" w:eastAsia="Arial" w:hAnsi="Arial"/>
          <w:sz w:val="22"/>
          <w:szCs w:val="22"/>
        </w:rPr>
        <w:t xml:space="preserve">~20–22x</w:t>
      </w:r>
    </w:p>
    <w:p>
      <w:pPr>
        <w:spacing w:after="120"/>
      </w:pPr>
      <w:r>
        <w:rPr>
          <w:rFonts w:ascii="Arial" w:cs="Arial" w:eastAsia="Arial" w:hAnsi="Arial"/>
          <w:b/>
          <w:bCs/>
          <w:sz w:val="22"/>
          <w:szCs w:val="22"/>
        </w:rPr>
        <w:t xml:space="preserve">Current as % of historical average: </w:t>
      </w:r>
      <w:r>
        <w:rPr>
          <w:rFonts w:ascii="Arial" w:cs="Arial" w:eastAsia="Arial" w:hAnsi="Arial"/>
          <w:sz w:val="22"/>
          <w:szCs w:val="22"/>
        </w:rPr>
        <w:t xml:space="preserve">~120–130%</w:t>
      </w:r>
    </w:p>
    <w:p>
      <w:pPr>
        <w:spacing w:after="120"/>
      </w:pPr>
      <w:r>
        <w:rPr>
          <w:rFonts w:ascii="Arial" w:cs="Arial" w:eastAsia="Arial" w:hAnsi="Arial"/>
          <w:b w:val="false"/>
          <w:bCs w:val="false"/>
          <w:i w:val="false"/>
          <w:iCs w:val="false"/>
          <w:color w:val="000000"/>
          <w:sz w:val="22"/>
          <w:szCs w:val="22"/>
        </w:rPr>
        <w:t xml:space="preserve">EMCOR is trading at a meaningful premium to its historical average, reflecting the market’s recognition of the data center/AI infrastructure supercycle and the secular rerating from “cyclical contractor” to “infrastructure compounder.” The premium is warranted by the improved business quality (operating margins expanding from 5.5% to 9.7%), but it also means the stock has less margin of safety than it did 2–3 years ago.</w:t>
      </w:r>
    </w:p>
    <w:p>
      <w:r>
        <w:br w:type="page"/>
      </w:r>
    </w:p>
    <w:p>
      <w:pPr>
        <w:pStyle w:val="Heading1"/>
        <w:spacing w:after="150" w:before="300"/>
      </w:pPr>
      <w:r>
        <w:rPr>
          <w:rFonts w:ascii="Arial" w:cs="Arial" w:eastAsia="Arial" w:hAnsi="Arial"/>
        </w:rPr>
        <w:t xml:space="preserve">STEP 8: FINAL VERDICT</w:t>
      </w:r>
    </w:p>
    <w:p>
      <w:pPr>
        <w:spacing w:after="120"/>
      </w:pPr>
      <w:r>
        <w:rPr>
          <w:rFonts w:ascii="Arial" w:cs="Arial" w:eastAsia="Arial" w:hAnsi="Arial"/>
          <w:b/>
          <w:bCs/>
          <w:sz w:val="22"/>
          <w:szCs w:val="22"/>
        </w:rPr>
        <w:t xml:space="preserve">Company: </w:t>
      </w:r>
      <w:r>
        <w:rPr>
          <w:rFonts w:ascii="Arial" w:cs="Arial" w:eastAsia="Arial" w:hAnsi="Arial"/>
          <w:sz w:val="22"/>
          <w:szCs w:val="22"/>
        </w:rPr>
        <w:t xml:space="preserve">EMCOR Group, Inc.</w:t>
      </w:r>
    </w:p>
    <w:p>
      <w:pPr>
        <w:spacing w:after="120"/>
      </w:pPr>
      <w:r>
        <w:rPr>
          <w:rFonts w:ascii="Arial" w:cs="Arial" w:eastAsia="Arial" w:hAnsi="Arial"/>
          <w:b/>
          <w:bCs/>
          <w:sz w:val="22"/>
          <w:szCs w:val="22"/>
        </w:rPr>
        <w:t xml:space="preserve">Ticker: </w:t>
      </w:r>
      <w:r>
        <w:rPr>
          <w:rFonts w:ascii="Arial" w:cs="Arial" w:eastAsia="Arial" w:hAnsi="Arial"/>
          <w:sz w:val="22"/>
          <w:szCs w:val="22"/>
        </w:rPr>
        <w:t xml:space="preserve">EME (NYSE)</w:t>
      </w:r>
    </w:p>
    <w:p>
      <w:pPr>
        <w:spacing w:after="120"/>
      </w:pPr>
      <w:r>
        <w:rPr>
          <w:rFonts w:ascii="Arial" w:cs="Arial" w:eastAsia="Arial" w:hAnsi="Arial"/>
          <w:b/>
          <w:bCs/>
          <w:sz w:val="22"/>
          <w:szCs w:val="22"/>
        </w:rPr>
        <w:t xml:space="preserve">Date of Assessment: </w:t>
      </w:r>
      <w:r>
        <w:rPr>
          <w:rFonts w:ascii="Arial" w:cs="Arial" w:eastAsia="Arial" w:hAnsi="Arial"/>
          <w:sz w:val="22"/>
          <w:szCs w:val="22"/>
        </w:rPr>
        <w:t xml:space="preserve">March 19, 2026</w:t>
      </w:r>
    </w:p>
    <w:p>
      <w:pPr>
        <w:pStyle w:val="Heading2"/>
        <w:spacing w:after="150" w:before="300"/>
      </w:pPr>
      <w:r>
        <w:rPr>
          <w:rFonts w:ascii="Arial" w:cs="Arial" w:eastAsia="Arial" w:hAnsi="Arial"/>
        </w:rPr>
        <w:t xml:space="preserve">Integrated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600"/>
        <w:gridCol w:w="29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Score</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Weight/Mod</w:t>
            </w:r>
          </w:p>
        </w:tc>
        <w:tc>
          <w:tcPr>
            <w:tcW w:type="dxa" w:w="2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Key Driver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LMI Pre-Screen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6/7 Strong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48235"/>
                <w:sz w:val="20"/>
                <w:szCs w:val="20"/>
              </w:rPr>
              <w:t xml:space="preserve">FORTRESS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44K workforce, 80–85% self-perform</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D1: Capital Efficiency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548235"/>
                <w:sz w:val="20"/>
                <w:szCs w:val="20"/>
              </w:rPr>
              <w:t xml:space="preserve">9/10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25%</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ROIC 22.3%, spread +10.6%</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D2: Reinvestment Quality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548235"/>
                <w:sz w:val="20"/>
                <w:szCs w:val="20"/>
              </w:rPr>
              <w:t xml:space="preserve">8/10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30%</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ROIIC ~41%, M&amp;A at 8–11x</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D3: Revenue Durability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548235"/>
                <w:sz w:val="20"/>
                <w:szCs w:val="20"/>
              </w:rPr>
              <w:t xml:space="preserve">7/10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20%</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$13.25B RPO, project-based risk</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D4: Secular Demand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548235"/>
                <w:sz w:val="20"/>
                <w:szCs w:val="20"/>
              </w:rPr>
              <w:t xml:space="preserve">9/10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25%</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6 independent secular drivers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Raw Composite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000000"/>
                <w:sz w:val="20"/>
                <w:szCs w:val="20"/>
              </w:rPr>
              <w:t xml:space="preserve">8.30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Infrastructure Compounder on raw</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i w:val="false"/>
                <w:iCs w:val="false"/>
                <w:color w:val="000000"/>
                <w:sz w:val="20"/>
                <w:szCs w:val="20"/>
              </w:rPr>
              <w:t xml:space="preserve">Antifragility Modifier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000000"/>
                <w:sz w:val="20"/>
                <w:szCs w:val="20"/>
              </w:rPr>
              <w:t xml:space="preserve">5/5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i w:val="false"/>
                <w:iCs w:val="false"/>
                <w:color w:val="548235"/>
                <w:sz w:val="20"/>
                <w:szCs w:val="20"/>
              </w:rPr>
              <w:t xml:space="preserve">+0.25</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All 5 stress tests pass</w:t>
            </w:r>
          </w:p>
        </w:tc>
      </w:tr>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2"/>
                <w:szCs w:val="22"/>
              </w:rPr>
              <w:t xml:space="preserve">FINAL COMPOSITE</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548235"/>
                <w:sz w:val="22"/>
                <w:szCs w:val="22"/>
              </w:rPr>
              <w:t xml:space="preserve">8.55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i w:val="false"/>
                <w:iCs w:val="false"/>
                <w:color w:val="548235"/>
                <w:sz w:val="20"/>
                <w:szCs w:val="20"/>
              </w:rPr>
              <w:t xml:space="preserve">COMPOUNDER</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i w:val="false"/>
                <w:iCs w:val="false"/>
                <w:color w:val="000000"/>
                <w:sz w:val="20"/>
                <w:szCs w:val="20"/>
              </w:rPr>
              <w:t xml:space="preserve">Not modifier-dependent</w:t>
            </w:r>
          </w:p>
        </w:tc>
      </w:tr>
    </w:tbl>
    <w:p>
      <w:pPr>
        <w:spacing w:after="120"/>
      </w:pPr>
      <w:r>
        <w:rPr>
          <w:rFonts w:ascii="Arial" w:cs="Arial" w:eastAsia="Arial" w:hAnsi="Arial"/>
          <w:b w:val="false"/>
          <w:bCs w:val="false"/>
          <w:i w:val="false"/>
          <w:iCs w:val="false"/>
          <w:color w:val="000000"/>
          <w:sz w:val="22"/>
          <w:szCs w:val="22"/>
        </w:rPr>
        <w:t xml:space="preserve"/>
      </w:r>
    </w:p>
    <w:p>
      <w:pPr>
        <w:spacing w:after="120"/>
      </w:pPr>
      <w:r>
        <w:rPr>
          <w:rFonts w:ascii="Arial" w:cs="Arial" w:eastAsia="Arial" w:hAnsi="Arial"/>
          <w:b/>
          <w:bCs/>
          <w:sz w:val="22"/>
          <w:szCs w:val="22"/>
        </w:rPr>
        <w:t xml:space="preserve">Classification: </w:t>
      </w:r>
      <w:r>
        <w:rPr>
          <w:rFonts w:ascii="Arial" w:cs="Arial" w:eastAsia="Arial" w:hAnsi="Arial"/>
          <w:sz w:val="22"/>
          <w:szCs w:val="22"/>
        </w:rPr>
        <w:t xml:space="preserve">INFRASTRUCTURE COMPOUNDER — Antifragile value creator</w:t>
      </w:r>
    </w:p>
    <w:p>
      <w:pPr>
        <w:spacing w:after="120"/>
      </w:pPr>
      <w:r>
        <w:rPr>
          <w:rFonts w:ascii="Arial" w:cs="Arial" w:eastAsia="Arial" w:hAnsi="Arial"/>
          <w:b/>
          <w:bCs/>
          <w:sz w:val="22"/>
          <w:szCs w:val="22"/>
        </w:rPr>
        <w:t xml:space="preserve">EVA Status: </w:t>
      </w:r>
      <w:r>
        <w:rPr>
          <w:rFonts w:ascii="Arial" w:cs="Arial" w:eastAsia="Arial" w:hAnsi="Arial"/>
          <w:sz w:val="22"/>
          <w:szCs w:val="22"/>
        </w:rPr>
        <w:t xml:space="preserve">Positive and expanding (~$600M+ annually)</w:t>
      </w:r>
    </w:p>
    <w:p>
      <w:pPr>
        <w:spacing w:after="120"/>
      </w:pPr>
      <w:r>
        <w:rPr>
          <w:rFonts w:ascii="Arial" w:cs="Arial" w:eastAsia="Arial" w:hAnsi="Arial"/>
          <w:b/>
          <w:bCs/>
          <w:sz w:val="22"/>
          <w:szCs w:val="22"/>
        </w:rPr>
        <w:t xml:space="preserve">Value Creation Identity: </w:t>
      </w:r>
      <w:r>
        <w:rPr>
          <w:rFonts w:ascii="Arial" w:cs="Arial" w:eastAsia="Arial" w:hAnsi="Arial"/>
          <w:sz w:val="22"/>
          <w:szCs w:val="22"/>
        </w:rPr>
        <w:t xml:space="preserve">~25–27% intrinsic value compounding rate</w:t>
      </w:r>
    </w:p>
    <w:p>
      <w:pPr>
        <w:spacing w:after="120"/>
      </w:pPr>
      <w:r>
        <w:rPr>
          <w:rFonts w:ascii="Arial" w:cs="Arial" w:eastAsia="Arial" w:hAnsi="Arial"/>
          <w:b/>
          <w:bCs/>
          <w:sz w:val="22"/>
          <w:szCs w:val="22"/>
        </w:rPr>
        <w:t xml:space="preserve">Scenarios: </w:t>
      </w:r>
      <w:r>
        <w:rPr>
          <w:rFonts w:ascii="Arial" w:cs="Arial" w:eastAsia="Arial" w:hAnsi="Arial"/>
          <w:sz w:val="22"/>
          <w:szCs w:val="22"/>
        </w:rPr>
        <w:t xml:space="preserve">Bull: 30% | Base: 50% | Bear: 20%</w:t>
      </w:r>
    </w:p>
    <w:p>
      <w:pPr>
        <w:spacing w:after="120"/>
      </w:pPr>
      <w:r>
        <w:rPr>
          <w:rFonts w:ascii="Arial" w:cs="Arial" w:eastAsia="Arial" w:hAnsi="Arial"/>
          <w:b/>
          <w:bCs/>
          <w:sz w:val="22"/>
          <w:szCs w:val="22"/>
        </w:rPr>
        <w:t xml:space="preserve">Valuation: </w:t>
      </w:r>
      <w:r>
        <w:rPr>
          <w:rFonts w:ascii="Arial" w:cs="Arial" w:eastAsia="Arial" w:hAnsi="Arial"/>
          <w:sz w:val="22"/>
          <w:szCs w:val="22"/>
        </w:rPr>
        <w:t xml:space="preserve">~26x forward P/E / ~18x EV/EBITDA — BORDERLINE (full but not egregious for a 22% ROIC compounder)</w:t>
      </w:r>
    </w:p>
    <w:p>
      <w:pPr>
        <w:pStyle w:val="Heading2"/>
        <w:spacing w:after="150" w:before="300"/>
      </w:pPr>
      <w:r>
        <w:rPr>
          <w:rFonts w:ascii="Arial" w:cs="Arial" w:eastAsia="Arial" w:hAnsi="Arial"/>
        </w:rPr>
        <w:t xml:space="preserve">Investment Rating &amp; Sizing</w:t>
      </w:r>
    </w:p>
    <w:p>
      <w:pPr>
        <w:spacing w:after="120"/>
      </w:pPr>
      <w:r>
        <w:rPr>
          <w:rFonts w:ascii="Arial" w:cs="Arial" w:eastAsia="Arial" w:hAnsi="Arial"/>
          <w:b/>
          <w:bCs/>
          <w:sz w:val="22"/>
          <w:szCs w:val="22"/>
        </w:rPr>
        <w:t xml:space="preserve">Rating: </w:t>
      </w:r>
      <w:r>
        <w:rPr>
          <w:rFonts w:ascii="Arial" w:cs="Arial" w:eastAsia="Arial" w:hAnsi="Arial"/>
          <w:sz w:val="22"/>
          <w:szCs w:val="22"/>
        </w:rPr>
        <w:t xml:space="preserve">BUY on pullbacks to 20–22x P/E (~$560–$620) / HOLD at current levels</w:t>
      </w:r>
    </w:p>
    <w:p>
      <w:pPr>
        <w:spacing w:after="120"/>
      </w:pPr>
      <w:r>
        <w:rPr>
          <w:rFonts w:ascii="Arial" w:cs="Arial" w:eastAsia="Arial" w:hAnsi="Arial"/>
          <w:b/>
          <w:bCs/>
          <w:sz w:val="22"/>
          <w:szCs w:val="22"/>
        </w:rPr>
        <w:t xml:space="preserve">Position Size: </w:t>
      </w:r>
      <w:r>
        <w:rPr>
          <w:rFonts w:ascii="Arial" w:cs="Arial" w:eastAsia="Arial" w:hAnsi="Arial"/>
          <w:sz w:val="22"/>
          <w:szCs w:val="22"/>
        </w:rPr>
        <w:t xml:space="preserve">3–4% of portfolio (full 4–5% sizing at 20x P/E entry)</w:t>
      </w:r>
    </w:p>
    <w:p>
      <w:pPr>
        <w:spacing w:after="120"/>
      </w:pPr>
      <w:r>
        <w:rPr>
          <w:rFonts w:ascii="Arial" w:cs="Arial" w:eastAsia="Arial" w:hAnsi="Arial"/>
          <w:b w:val="false"/>
          <w:bCs w:val="false"/>
          <w:i w:val="false"/>
          <w:iCs w:val="false"/>
          <w:color w:val="000000"/>
          <w:sz w:val="22"/>
          <w:szCs w:val="22"/>
        </w:rPr>
        <w:t xml:space="preserve"/>
      </w:r>
    </w:p>
    <w:p>
      <w:pPr>
        <w:pStyle w:val="Heading3"/>
        <w:spacing w:after="150" w:before="300"/>
      </w:pPr>
      <w:r>
        <w:rPr>
          <w:rFonts w:ascii="Arial" w:cs="Arial" w:eastAsia="Arial" w:hAnsi="Arial"/>
        </w:rPr>
        <w:t xml:space="preserve">The Thesis in Two Sentences:</w:t>
      </w:r>
    </w:p>
    <w:p>
      <w:pPr>
        <w:spacing w:after="120"/>
      </w:pPr>
      <w:r>
        <w:rPr>
          <w:rFonts w:ascii="Arial" w:cs="Arial" w:eastAsia="Arial" w:hAnsi="Arial"/>
          <w:b w:val="false"/>
          <w:bCs w:val="false"/>
          <w:i w:val="false"/>
          <w:iCs w:val="false"/>
          <w:color w:val="000000"/>
          <w:sz w:val="22"/>
          <w:szCs w:val="22"/>
        </w:rPr>
        <w:t xml:space="preserve">EMCOR is a genuine infrastructure compounder — a company earning 22%+ ROIC with a 10.6% spread over cost of capital, reinvesting at 41% incremental returns, protected by a fortress-class labor moat of 44,000 skilled tradespeople that competitors cannot replicate. Riding six independent secular demand tailwinds (AI data centers, electrification, healthcare, reshoring, energy transition, code complexity), EMCOR’s intrinsic value is compounding at ~25% annually; at 26x P/E, the stock is fairly valued but not cheap — wait for pullbacks to build a full-sized position.</w:t>
      </w:r>
    </w:p>
    <w:p>
      <w:pPr>
        <w:spacing w:after="120"/>
      </w:pPr>
      <w:r>
        <w:rPr>
          <w:rFonts w:ascii="Arial" w:cs="Arial" w:eastAsia="Arial" w:hAnsi="Arial"/>
          <w:b w:val="false"/>
          <w:bCs w:val="false"/>
          <w:i w:val="false"/>
          <w:iCs w:val="false"/>
          <w:color w:val="000000"/>
          <w:sz w:val="22"/>
          <w:szCs w:val="22"/>
        </w:rPr>
        <w:t xml:space="preserve"/>
      </w:r>
    </w:p>
    <w:p>
      <w:pPr>
        <w:pStyle w:val="Heading3"/>
        <w:spacing w:after="150" w:before="300"/>
      </w:pPr>
      <w:r>
        <w:rPr>
          <w:rFonts w:ascii="Arial" w:cs="Arial" w:eastAsia="Arial" w:hAnsi="Arial"/>
        </w:rPr>
        <w:t xml:space="preserve">The Biggest Risk the market may be underpricing:</w:t>
      </w:r>
    </w:p>
    <w:p>
      <w:pPr>
        <w:spacing w:after="120"/>
      </w:pPr>
      <w:r>
        <w:rPr>
          <w:rFonts w:ascii="Arial" w:cs="Arial" w:eastAsia="Arial" w:hAnsi="Arial"/>
          <w:b w:val="false"/>
          <w:bCs w:val="false"/>
          <w:i w:val="false"/>
          <w:iCs w:val="false"/>
          <w:color w:val="000000"/>
          <w:sz w:val="22"/>
          <w:szCs w:val="22"/>
        </w:rPr>
        <w:t xml:space="preserve">Data center concentration risk. At 33% of revenue and 85% of RPO, EMCOR’s highest-margin work is heavily concentrated in hyperscaler data center construction. If hyperscaler capex materially slows (budget cuts, technology shifts, regulatory delays on power permitting), EMCOR’s operating margin would compress from ~9.7% back toward 7–8%, and the stock’s premium multiple would de-rate. Management’s Q4 2025 commentary that “roughly half of Electrical Construction growth came from non-data-center verticals” is an important diversification signal, but the RPO composition tells the real story.</w:t>
      </w:r>
    </w:p>
    <w:p>
      <w:pPr>
        <w:spacing w:after="120"/>
      </w:pPr>
      <w:r>
        <w:rPr>
          <w:rFonts w:ascii="Arial" w:cs="Arial" w:eastAsia="Arial" w:hAnsi="Arial"/>
          <w:b w:val="false"/>
          <w:bCs w:val="false"/>
          <w:i w:val="false"/>
          <w:iCs w:val="false"/>
          <w:color w:val="000000"/>
          <w:sz w:val="22"/>
          <w:szCs w:val="22"/>
        </w:rPr>
        <w:t xml:space="preserve"/>
      </w:r>
    </w:p>
    <w:p>
      <w:pPr>
        <w:pStyle w:val="Heading3"/>
        <w:spacing w:after="150" w:before="300"/>
      </w:pPr>
      <w:r>
        <w:rPr>
          <w:rFonts w:ascii="Arial" w:cs="Arial" w:eastAsia="Arial" w:hAnsi="Arial"/>
        </w:rPr>
        <w:t xml:space="preserve">The Kill Switch — Sell immediately if:</w:t>
      </w:r>
    </w:p>
    <w:p>
      <w:pPr>
        <w:spacing w:after="120"/>
      </w:pPr>
      <w:r>
        <w:rPr>
          <w:rFonts w:ascii="Arial" w:cs="Arial" w:eastAsia="Arial" w:hAnsi="Arial"/>
          <w:b w:val="false"/>
          <w:bCs w:val="false"/>
          <w:i w:val="false"/>
          <w:iCs w:val="false"/>
          <w:color w:val="000000"/>
          <w:sz w:val="22"/>
          <w:szCs w:val="22"/>
        </w:rPr>
        <w:t xml:space="preserve">ROIC falls below 15% for two consecutive quarters (signals margin erosion or capital allocation deterioration). OR: Operating margin falls below 7.5% (signals pricing discipline breakdown or adverse project mix shift). OR: RPO declines more than 15% year-over-year (signals demand cliff, not just lumpy bookings). OR: Management makes a large, transformative acquisition at &gt;15x EBITDA (signals abandonment of the disciplined bolt-on playbook that built the compounding engine).</w:t>
      </w:r>
    </w:p>
    <w:p>
      <w:pPr>
        <w:spacing w:after="120"/>
      </w:pPr>
      <w:r>
        <w:rPr>
          <w:rFonts w:ascii="Arial" w:cs="Arial" w:eastAsia="Arial" w:hAnsi="Arial"/>
          <w:b w:val="false"/>
          <w:bCs w:val="false"/>
          <w:i w:val="false"/>
          <w:iCs w:val="false"/>
          <w:color w:val="000000"/>
          <w:sz w:val="22"/>
          <w:szCs w:val="22"/>
        </w:rPr>
        <w:t xml:space="preserve"/>
      </w:r>
    </w:p>
    <w:p>
      <w:pPr>
        <w:pStyle w:val="Heading3"/>
        <w:spacing w:after="150" w:before="300"/>
      </w:pPr>
      <w:r>
        <w:rPr>
          <w:rFonts w:ascii="Arial" w:cs="Arial" w:eastAsia="Arial" w:hAnsi="Arial"/>
        </w:rPr>
        <w:t xml:space="preserve">Review Trigger:</w:t>
      </w:r>
    </w:p>
    <w:p>
      <w:pPr>
        <w:spacing w:after="120"/>
      </w:pPr>
      <w:r>
        <w:rPr>
          <w:rFonts w:ascii="Arial" w:cs="Arial" w:eastAsia="Arial" w:hAnsi="Arial"/>
          <w:b w:val="false"/>
          <w:bCs w:val="false"/>
          <w:i w:val="false"/>
          <w:iCs w:val="false"/>
          <w:color w:val="000000"/>
          <w:sz w:val="22"/>
          <w:szCs w:val="22"/>
        </w:rPr>
        <w:t xml:space="preserve">Re-run full assessment if: Data center revenue exceeds 40% of total (increasing concentration risk would lower D3 score). OR: Operating margin sustains above 10% for two consecutive quarters (would strengthen D1 score and Bull case). OR: A major competitor (Quanta, MasTec) acquires significant electrical construction capacity, narrowing EMCOR’s labor moat. OR: Hyperscaler capex guidance materially changes (up or down). OR: Stock pulls back to 20x P/E or below (would change Valuation Gate from BORDERLINE to PASS and trigger full sizing).</w:t>
      </w:r>
    </w:p>
    <w:p>
      <w:pPr>
        <w:spacing w:after="120"/>
      </w:pPr>
      <w:r>
        <w:rPr>
          <w:rFonts w:ascii="Arial" w:cs="Arial" w:eastAsia="Arial" w:hAnsi="Arial"/>
          <w:b w:val="false"/>
          <w:bCs w:val="false"/>
          <w:i w:val="false"/>
          <w:iCs w:val="false"/>
          <w:color w:val="000000"/>
          <w:sz w:val="22"/>
          <w:szCs w:val="22"/>
        </w:rPr>
        <w:t xml:space="preserve"/>
      </w:r>
    </w:p>
    <w:p>
      <w:pPr>
        <w:spacing w:after="120"/>
      </w:pPr>
      <w:r>
        <w:rPr>
          <w:rFonts w:ascii="Arial" w:cs="Arial" w:eastAsia="Arial" w:hAnsi="Arial"/>
          <w:b w:val="false"/>
          <w:bCs w:val="false"/>
          <w:i/>
          <w:iCs/>
          <w:color w:val="888888"/>
          <w:sz w:val="22"/>
          <w:szCs w:val="22"/>
        </w:rPr>
        <w:t xml:space="preserve">— End of Analysis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pPr>
    <w:r>
      <w:rPr>
        <w:rFonts w:ascii="Arial" w:cs="Arial" w:eastAsia="Arial" w:hAnsi="Arial"/>
        <w:i/>
        <w:iCs/>
        <w:color w:val="2E75B6"/>
        <w:sz w:val="18"/>
        <w:szCs w:val="18"/>
      </w:rPr>
      <w:t xml:space="preserve">Infrastructure Services Compounder Framework v1.0</w:t>
    </w:r>
    <w:r>
      <w:rPr>
        <w:rFonts w:ascii="Arial" w:cs="Arial" w:eastAsia="Arial" w:hAnsi="Arial"/>
        <w:i/>
        <w:iCs/>
        <w:color w:val="2E75B6"/>
        <w:sz w:val="18"/>
        <w:szCs w:val="18"/>
      </w:rPr>
      <w:t xml:space="preserve">	EMCOR Group (EME)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B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2026-03-20T06:04:00.353Z</dcterms:created>
  <dcterms:modified xsi:type="dcterms:W3CDTF">2026-03-20T06:04:00.353Z</dcterms:modified>
</cp:coreProperties>
</file>

<file path=docProps/custom.xml><?xml version="1.0" encoding="utf-8"?>
<Properties xmlns="http://schemas.openxmlformats.org/officeDocument/2006/custom-properties" xmlns:vt="http://schemas.openxmlformats.org/officeDocument/2006/docPropsVTypes"/>
</file>