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C36E1" w14:textId="77777777" w:rsidR="006454EB" w:rsidRDefault="00000000">
      <w:pPr>
        <w:spacing w:after="120"/>
        <w:jc w:val="center"/>
      </w:pPr>
      <w:r>
        <w:rPr>
          <w:b/>
          <w:bCs/>
          <w:color w:val="1F4E79"/>
          <w:sz w:val="44"/>
          <w:szCs w:val="44"/>
        </w:rPr>
        <w:t>ANTIFRAGILE SCORING SYSTEM</w:t>
      </w:r>
    </w:p>
    <w:p w14:paraId="6B523E30" w14:textId="77777777" w:rsidR="006454EB" w:rsidRDefault="00000000">
      <w:pPr>
        <w:spacing w:after="80"/>
        <w:jc w:val="center"/>
      </w:pPr>
      <w:r>
        <w:rPr>
          <w:b/>
          <w:bCs/>
          <w:sz w:val="32"/>
          <w:szCs w:val="32"/>
        </w:rPr>
        <w:t>Eli Lilly and Company (NYSE: LLY)</w:t>
      </w:r>
    </w:p>
    <w:p w14:paraId="4D289938" w14:textId="77777777" w:rsidR="006454EB" w:rsidRDefault="00000000">
      <w:pPr>
        <w:spacing w:after="400"/>
        <w:jc w:val="center"/>
      </w:pPr>
      <w:r>
        <w:rPr>
          <w:color w:val="666666"/>
        </w:rPr>
        <w:t>Analysis Date: February 4,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454EB" w14:paraId="5CD5232F" w14:textId="77777777">
        <w:tc>
          <w:tcPr>
            <w:tcW w:w="10080" w:type="dxa"/>
            <w:tcBorders>
              <w:top w:val="single" w:sz="1" w:space="0" w:color="CCCCCC"/>
              <w:left w:val="single" w:sz="1" w:space="0" w:color="CCCCCC"/>
              <w:bottom w:val="single" w:sz="1" w:space="0" w:color="CCCCCC"/>
              <w:right w:val="single" w:sz="1" w:space="0" w:color="CCCCCC"/>
            </w:tcBorders>
            <w:shd w:val="clear" w:color="auto" w:fill="E8F4FD"/>
            <w:tcMar>
              <w:top w:w="160" w:type="dxa"/>
              <w:left w:w="200" w:type="dxa"/>
              <w:bottom w:w="160" w:type="dxa"/>
              <w:right w:w="200" w:type="dxa"/>
            </w:tcMar>
          </w:tcPr>
          <w:p w14:paraId="298AD4D5" w14:textId="77777777" w:rsidR="006454EB" w:rsidRDefault="00000000">
            <w:r>
              <w:rPr>
                <w:b/>
                <w:bCs/>
                <w:color w:val="1F4E79"/>
                <w:sz w:val="24"/>
                <w:szCs w:val="24"/>
              </w:rPr>
              <w:t>EXECUTIVE SUMMARY</w:t>
            </w:r>
          </w:p>
          <w:p w14:paraId="4E13C0E6" w14:textId="77777777" w:rsidR="006454EB" w:rsidRDefault="00000000">
            <w:pPr>
              <w:spacing w:before="120"/>
            </w:pPr>
            <w:r>
              <w:rPr>
                <w:b/>
                <w:bCs/>
                <w:sz w:val="28"/>
                <w:szCs w:val="28"/>
              </w:rPr>
              <w:t>Total Score: 19/26 (73%)</w:t>
            </w:r>
          </w:p>
          <w:p w14:paraId="66DC295E" w14:textId="77777777" w:rsidR="006454EB" w:rsidRDefault="00000000">
            <w:pPr>
              <w:spacing w:before="80"/>
            </w:pPr>
            <w:r>
              <w:rPr>
                <w:b/>
                <w:bCs/>
                <w:color w:val="FF8C00"/>
                <w:sz w:val="24"/>
                <w:szCs w:val="24"/>
              </w:rPr>
              <w:t>Antifragility Rating: MODERATE-HIGH</w:t>
            </w:r>
          </w:p>
          <w:p w14:paraId="272BF7FB" w14:textId="77777777" w:rsidR="006454EB" w:rsidRDefault="00000000">
            <w:pPr>
              <w:spacing w:before="120"/>
            </w:pPr>
            <w:r>
              <w:rPr>
                <w:sz w:val="20"/>
                <w:szCs w:val="20"/>
              </w:rPr>
              <w:t>Eli Lilly represents a compelling but concentrated growth story. The company has achieved unprecedented success with its GLP-1 franchise (</w:t>
            </w:r>
            <w:proofErr w:type="spellStart"/>
            <w:r>
              <w:rPr>
                <w:sz w:val="20"/>
                <w:szCs w:val="20"/>
              </w:rPr>
              <w:t>Mounjaro</w:t>
            </w:r>
            <w:proofErr w:type="spellEnd"/>
            <w:r>
              <w:rPr>
                <w:sz w:val="20"/>
                <w:szCs w:val="20"/>
              </w:rPr>
              <w:t>/</w:t>
            </w:r>
            <w:proofErr w:type="spellStart"/>
            <w:r>
              <w:rPr>
                <w:sz w:val="20"/>
                <w:szCs w:val="20"/>
              </w:rPr>
              <w:t>Zepbound</w:t>
            </w:r>
            <w:proofErr w:type="spellEnd"/>
            <w:r>
              <w:rPr>
                <w:sz w:val="20"/>
                <w:szCs w:val="20"/>
              </w:rPr>
              <w:t>), capturing 57% GLP-1 market share and becoming the world's most valuable pharmaceutical company (~$1T market cap). However, the antifragile profile is weaker than peers due to significant debt ($42.6B), product concentration risk (incretins ~70% of revenue growth), and a balance sheet optimized for growth over resilience.</w:t>
            </w:r>
          </w:p>
        </w:tc>
      </w:tr>
    </w:tbl>
    <w:p w14:paraId="77B3BB74" w14:textId="77777777" w:rsidR="006454EB" w:rsidRDefault="00000000">
      <w:pPr>
        <w:pStyle w:val="Heading1"/>
      </w:pPr>
      <w:r>
        <w:t>SECTION 1: BARBELL METHOD</w:t>
      </w:r>
    </w:p>
    <w:p w14:paraId="452B5B3C" w14:textId="77777777" w:rsidR="006454EB" w:rsidRDefault="00000000">
      <w:pPr>
        <w:pStyle w:val="Heading2"/>
      </w:pPr>
      <w:r>
        <w:t>1.1 MISSION</w:t>
      </w:r>
    </w:p>
    <w:p w14:paraId="2B57DDA5" w14:textId="77777777" w:rsidR="006454EB" w:rsidRDefault="00000000">
      <w:pPr>
        <w:spacing w:after="120"/>
      </w:pPr>
      <w:r>
        <w:rPr>
          <w:b/>
          <w:bCs/>
        </w:rPr>
        <w:t xml:space="preserve">Mission Statement: </w:t>
      </w:r>
      <w:r>
        <w:rPr>
          <w:i/>
          <w:iCs/>
        </w:rPr>
        <w:t>"We make medicines that help people live longer, healthier, more active lives."</w:t>
      </w:r>
    </w:p>
    <w:p w14:paraId="64DEDC67" w14:textId="77777777" w:rsidR="006454EB" w:rsidRDefault="00000000">
      <w:pPr>
        <w:spacing w:after="120"/>
      </w:pPr>
      <w:r>
        <w:rPr>
          <w:b/>
          <w:bCs/>
        </w:rPr>
        <w:t xml:space="preserve">Vision: </w:t>
      </w:r>
      <w:r>
        <w:rPr>
          <w:i/>
          <w:iCs/>
        </w:rPr>
        <w:t>"We unite caring with discovery to create medicines that make life better for people around the world."</w:t>
      </w:r>
    </w:p>
    <w:p w14:paraId="54BA56F9" w14:textId="77777777" w:rsidR="006454EB" w:rsidRDefault="00000000">
      <w:pPr>
        <w:spacing w:after="200"/>
      </w:pPr>
      <w:r>
        <w:t>Evaluation: The mission is clear, simple, and patient-centric. Founded in 1876 by Colonel Eli Lilly with the charge to "Take what you find here and make it better and better." The Quintuple Aim (patient outcomes, patient experience, care team experience, access, cost) provides operational clarity. Core values of Integrity, Excellence, and Respect for People guide capital allocation. The mission successfully directed $11B R&amp;D investment in 2025 and the GLP-1 franchise development.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40F6D122"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77C75" w14:textId="77777777" w:rsidR="006454EB" w:rsidRDefault="00000000">
            <w:r>
              <w:rPr>
                <w:b/>
                <w:bCs/>
                <w:color w:val="FFFFFF"/>
                <w:sz w:val="20"/>
                <w:szCs w:val="20"/>
              </w:rPr>
              <w:t>Mission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5E3A7E" w14:textId="77777777" w:rsidR="006454EB" w:rsidRDefault="00000000">
            <w:pPr>
              <w:jc w:val="center"/>
            </w:pPr>
            <w:r>
              <w:rPr>
                <w:b/>
                <w:bCs/>
                <w:color w:val="FFFFFF"/>
                <w:sz w:val="20"/>
                <w:szCs w:val="20"/>
              </w:rPr>
              <w:t>Score</w:t>
            </w:r>
          </w:p>
        </w:tc>
      </w:tr>
      <w:tr w:rsidR="006454EB" w14:paraId="5B0BA132"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1EBA1" w14:textId="77777777" w:rsidR="006454EB" w:rsidRDefault="00000000">
            <w:r>
              <w:rPr>
                <w:color w:val="000000"/>
                <w:sz w:val="20"/>
                <w:szCs w:val="20"/>
              </w:rPr>
              <w:t>Simple, patient-focused, 150-year heritage. Guides R&amp;D and capital allocation.</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45795701" w14:textId="77777777" w:rsidR="006454EB" w:rsidRDefault="00000000">
            <w:pPr>
              <w:jc w:val="center"/>
            </w:pPr>
            <w:r>
              <w:rPr>
                <w:b/>
                <w:bCs/>
              </w:rPr>
              <w:t>+2</w:t>
            </w:r>
          </w:p>
        </w:tc>
      </w:tr>
    </w:tbl>
    <w:p w14:paraId="6833E137" w14:textId="77777777" w:rsidR="006454EB" w:rsidRDefault="00000000">
      <w:pPr>
        <w:pStyle w:val="Heading2"/>
        <w:spacing w:before="400"/>
      </w:pPr>
      <w:r>
        <w:t>1.2 MOAT</w:t>
      </w:r>
    </w:p>
    <w:p w14:paraId="2953E3F5" w14:textId="77777777" w:rsidR="006454EB" w:rsidRDefault="00000000">
      <w:pPr>
        <w:pStyle w:val="Heading3"/>
      </w:pPr>
      <w:r>
        <w:t>Network Effects</w:t>
      </w:r>
    </w:p>
    <w:p w14:paraId="125CF3D7" w14:textId="77777777" w:rsidR="006454EB" w:rsidRDefault="00000000">
      <w:pPr>
        <w:spacing w:after="200"/>
      </w:pPr>
      <w:r>
        <w:t xml:space="preserve">Limited network effects in traditional pharma </w:t>
      </w:r>
      <w:proofErr w:type="gramStart"/>
      <w:r>
        <w:t>model</w:t>
      </w:r>
      <w:proofErr w:type="gramEnd"/>
      <w:r>
        <w:t>. Physician prescription patterns create some professional network dynamics (KOL influence, clinical trial relationships). Real-world evidence databases from 51M+ patients create data advantages. Manufacturing scale in GLP-1s creates supplier network effects. However, network effects are not the primary competitive dynamic in pharmaceuticals.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068F7CAF"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033DAC" w14:textId="77777777" w:rsidR="006454EB" w:rsidRDefault="00000000">
            <w:r>
              <w:rPr>
                <w:b/>
                <w:bCs/>
                <w:color w:val="FFFFFF"/>
                <w:sz w:val="20"/>
                <w:szCs w:val="20"/>
              </w:rPr>
              <w:t>Network Effects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61BCA8" w14:textId="77777777" w:rsidR="006454EB" w:rsidRDefault="00000000">
            <w:pPr>
              <w:jc w:val="center"/>
            </w:pPr>
            <w:r>
              <w:rPr>
                <w:b/>
                <w:bCs/>
                <w:color w:val="FFFFFF"/>
                <w:sz w:val="20"/>
                <w:szCs w:val="20"/>
              </w:rPr>
              <w:t>Score</w:t>
            </w:r>
          </w:p>
        </w:tc>
      </w:tr>
      <w:tr w:rsidR="006454EB" w14:paraId="50224CFD"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EFE98" w14:textId="77777777" w:rsidR="006454EB" w:rsidRDefault="00000000">
            <w:r>
              <w:rPr>
                <w:color w:val="000000"/>
                <w:sz w:val="20"/>
                <w:szCs w:val="20"/>
              </w:rPr>
              <w:t>Limited. Some KOL networks and data advantages, not primary moat.</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tcPr>
          <w:p w14:paraId="5969EFD3" w14:textId="77777777" w:rsidR="006454EB" w:rsidRDefault="00000000">
            <w:pPr>
              <w:jc w:val="center"/>
            </w:pPr>
            <w:r>
              <w:rPr>
                <w:b/>
                <w:bCs/>
              </w:rPr>
              <w:t>+0</w:t>
            </w:r>
          </w:p>
        </w:tc>
      </w:tr>
    </w:tbl>
    <w:p w14:paraId="4EF06FDC" w14:textId="77777777" w:rsidR="006454EB" w:rsidRDefault="00000000">
      <w:pPr>
        <w:pStyle w:val="Heading3"/>
        <w:spacing w:before="300"/>
      </w:pPr>
      <w:r>
        <w:t>Switching Costs</w:t>
      </w:r>
    </w:p>
    <w:p w14:paraId="79001E9D" w14:textId="77777777" w:rsidR="006454EB" w:rsidRDefault="00000000">
      <w:pPr>
        <w:spacing w:after="200"/>
      </w:pPr>
      <w:r>
        <w:lastRenderedPageBreak/>
        <w:t xml:space="preserve">Moderate switching costs. Chronic disease medications (diabetes, obesity) create some patient stickiness through established dosing, known side effect profiles, and physician familiarity. GLP-1 patients often stay on </w:t>
      </w:r>
      <w:proofErr w:type="gramStart"/>
      <w:r>
        <w:t>medications</w:t>
      </w:r>
      <w:proofErr w:type="gramEnd"/>
      <w:r>
        <w:t xml:space="preserve"> 1-2+ years. However, competitive alternatives exist (Novo Nordisk Ozempic/</w:t>
      </w:r>
      <w:proofErr w:type="spellStart"/>
      <w:r>
        <w:t>Wegovy</w:t>
      </w:r>
      <w:proofErr w:type="spellEnd"/>
      <w:proofErr w:type="gramStart"/>
      <w:r>
        <w:t>)</w:t>
      </w:r>
      <w:proofErr w:type="gramEnd"/>
      <w:r>
        <w:t xml:space="preserve"> and payer formulary decisions can force switches. Medicare Part D negotiations and CVS/Caremark decisions in 2025 demonstrated vulnerability to payer pressure.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322D9AC8"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3691F" w14:textId="77777777" w:rsidR="006454EB" w:rsidRDefault="00000000">
            <w:r>
              <w:rPr>
                <w:b/>
                <w:bCs/>
                <w:color w:val="FFFFFF"/>
                <w:sz w:val="20"/>
                <w:szCs w:val="20"/>
              </w:rPr>
              <w:t>Switching Costs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0475F2" w14:textId="77777777" w:rsidR="006454EB" w:rsidRDefault="00000000">
            <w:pPr>
              <w:jc w:val="center"/>
            </w:pPr>
            <w:r>
              <w:rPr>
                <w:b/>
                <w:bCs/>
                <w:color w:val="FFFFFF"/>
                <w:sz w:val="20"/>
                <w:szCs w:val="20"/>
              </w:rPr>
              <w:t>Score</w:t>
            </w:r>
          </w:p>
        </w:tc>
      </w:tr>
      <w:tr w:rsidR="006454EB" w14:paraId="2B5E82A0"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7CAA4" w14:textId="77777777" w:rsidR="006454EB" w:rsidRDefault="00000000">
            <w:r>
              <w:rPr>
                <w:color w:val="000000"/>
                <w:sz w:val="20"/>
                <w:szCs w:val="20"/>
              </w:rPr>
              <w:t>Chronic medication stickiness, but payer/formulary pressure enables switches.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45C334" w14:textId="77777777" w:rsidR="006454EB" w:rsidRDefault="00000000">
            <w:pPr>
              <w:jc w:val="center"/>
            </w:pPr>
            <w:r>
              <w:rPr>
                <w:b/>
                <w:bCs/>
              </w:rPr>
              <w:t>+1</w:t>
            </w:r>
          </w:p>
        </w:tc>
      </w:tr>
    </w:tbl>
    <w:p w14:paraId="63C5FAB5" w14:textId="77777777" w:rsidR="006454EB" w:rsidRDefault="00000000">
      <w:pPr>
        <w:pStyle w:val="Heading3"/>
        <w:spacing w:before="300"/>
      </w:pPr>
      <w:r>
        <w:t>Low-Cost Production</w:t>
      </w:r>
    </w:p>
    <w:p w14:paraId="3D2FCFA4" w14:textId="77777777" w:rsidR="006454EB" w:rsidRDefault="00000000">
      <w:pPr>
        <w:spacing w:after="200"/>
      </w:pPr>
      <w:r>
        <w:t>Significant manufacturing scale advantage in GLP-1 production. Lilly is investing $20B+ in manufacturing capacity expansion (Indiana, North Carolina, Ireland, Virginia, Texas, Puerto Rico). Producing 1.6x more incretin doses in H1 2025 vs H1 2024. Vertical integration in peptide synthesis provides cost advantage vs. competitors facing capacity constraints. Gross margin of 83%+ reflects premium pricing power, not cost leadership. Scale matters more for supply security than unit economics.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7F8BE097"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3D90E8" w14:textId="77777777" w:rsidR="006454EB" w:rsidRDefault="00000000">
            <w:r>
              <w:rPr>
                <w:b/>
                <w:bCs/>
                <w:color w:val="FFFFFF"/>
                <w:sz w:val="20"/>
                <w:szCs w:val="20"/>
              </w:rPr>
              <w:t>Low-Cost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ECF550" w14:textId="77777777" w:rsidR="006454EB" w:rsidRDefault="00000000">
            <w:pPr>
              <w:jc w:val="center"/>
            </w:pPr>
            <w:r>
              <w:rPr>
                <w:b/>
                <w:bCs/>
                <w:color w:val="FFFFFF"/>
                <w:sz w:val="20"/>
                <w:szCs w:val="20"/>
              </w:rPr>
              <w:t>Score</w:t>
            </w:r>
          </w:p>
        </w:tc>
      </w:tr>
      <w:tr w:rsidR="006454EB" w14:paraId="5A94025F"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3FB97" w14:textId="77777777" w:rsidR="006454EB" w:rsidRDefault="00000000">
            <w:r>
              <w:rPr>
                <w:color w:val="000000"/>
                <w:sz w:val="20"/>
                <w:szCs w:val="20"/>
              </w:rPr>
              <w:t>Manufacturing scale in GLP-1s. $20B+ capex. Supply security focus.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4797B6" w14:textId="77777777" w:rsidR="006454EB" w:rsidRDefault="00000000">
            <w:pPr>
              <w:jc w:val="center"/>
            </w:pPr>
            <w:r>
              <w:rPr>
                <w:b/>
                <w:bCs/>
              </w:rPr>
              <w:t>+1</w:t>
            </w:r>
          </w:p>
        </w:tc>
      </w:tr>
    </w:tbl>
    <w:p w14:paraId="7B2BEDDF" w14:textId="77777777" w:rsidR="006454EB" w:rsidRDefault="00000000">
      <w:pPr>
        <w:pStyle w:val="Heading3"/>
        <w:spacing w:before="300"/>
      </w:pPr>
      <w:r>
        <w:t>Intangibles</w:t>
      </w:r>
    </w:p>
    <w:p w14:paraId="5F516B69" w14:textId="77777777" w:rsidR="006454EB" w:rsidRDefault="00000000">
      <w:pPr>
        <w:spacing w:after="200"/>
      </w:pPr>
      <w:r>
        <w:t>Strong intangible moat. 150-year brand heritage in pharmaceutical industry. Patent protection on tirzepatide (</w:t>
      </w:r>
      <w:proofErr w:type="spellStart"/>
      <w:r>
        <w:t>Mounjaro</w:t>
      </w:r>
      <w:proofErr w:type="spellEnd"/>
      <w:r>
        <w:t>/</w:t>
      </w:r>
      <w:proofErr w:type="spellStart"/>
      <w:r>
        <w:t>Zepbound</w:t>
      </w:r>
      <w:proofErr w:type="spellEnd"/>
      <w:r>
        <w:t xml:space="preserve">) through 2036+. FDA regulatory relationships and 70+ molecule pipeline (20+ in Phase 3). Clinical trial expertise across diabetes, obesity, Alzheimer's, oncology, immunology. Physician/KOL relationships </w:t>
      </w:r>
      <w:proofErr w:type="gramStart"/>
      <w:r>
        <w:t>built</w:t>
      </w:r>
      <w:proofErr w:type="gramEnd"/>
      <w:r>
        <w:t xml:space="preserve"> over decades. "Lilly" name carries trust with physicians and patients. R&amp;D capabilities demonstrated by first-to-market GIP/GLP-1 dual agonist.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2BB9158F"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928E75" w14:textId="77777777" w:rsidR="006454EB" w:rsidRDefault="00000000">
            <w:r>
              <w:rPr>
                <w:b/>
                <w:bCs/>
                <w:color w:val="FFFFFF"/>
                <w:sz w:val="20"/>
                <w:szCs w:val="20"/>
              </w:rPr>
              <w:t>Intangibles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700D3F" w14:textId="77777777" w:rsidR="006454EB" w:rsidRDefault="00000000">
            <w:pPr>
              <w:jc w:val="center"/>
            </w:pPr>
            <w:r>
              <w:rPr>
                <w:b/>
                <w:bCs/>
                <w:color w:val="FFFFFF"/>
                <w:sz w:val="20"/>
                <w:szCs w:val="20"/>
              </w:rPr>
              <w:t>Score</w:t>
            </w:r>
          </w:p>
        </w:tc>
      </w:tr>
      <w:tr w:rsidR="006454EB" w14:paraId="053A9863"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E989" w14:textId="77777777" w:rsidR="006454EB" w:rsidRDefault="00000000">
            <w:r>
              <w:rPr>
                <w:color w:val="000000"/>
                <w:sz w:val="20"/>
                <w:szCs w:val="20"/>
              </w:rPr>
              <w:t>150-year brand, patent portfolio, FDA relationships, R&amp;D excellence.</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31181DC3" w14:textId="77777777" w:rsidR="006454EB" w:rsidRDefault="00000000">
            <w:pPr>
              <w:jc w:val="center"/>
            </w:pPr>
            <w:r>
              <w:rPr>
                <w:b/>
                <w:bCs/>
              </w:rPr>
              <w:t>+2</w:t>
            </w:r>
          </w:p>
        </w:tc>
      </w:tr>
    </w:tbl>
    <w:p w14:paraId="33F4B993" w14:textId="77777777" w:rsidR="006454EB" w:rsidRDefault="00000000">
      <w:pPr>
        <w:pStyle w:val="Heading3"/>
        <w:spacing w:before="300"/>
      </w:pPr>
      <w:r>
        <w:t>Counter-Positioning</w:t>
      </w:r>
    </w:p>
    <w:p w14:paraId="4E800B4D" w14:textId="77777777" w:rsidR="006454EB" w:rsidRDefault="00000000">
      <w:pPr>
        <w:spacing w:after="200"/>
      </w:pPr>
      <w:r>
        <w:t xml:space="preserve">Strong counter-positioning vs. Novo Nordisk. Tirzepatide (GIP/GLP-1 dual agonist) delivers superior efficacy (24-27% weight loss) vs. semaglutide (15% weight loss). Novo cannot easily replicate dual mechanism without infringing Lilly patents. </w:t>
      </w:r>
      <w:proofErr w:type="spellStart"/>
      <w:r>
        <w:t>Novo's</w:t>
      </w:r>
      <w:proofErr w:type="spellEnd"/>
      <w:r>
        <w:t xml:space="preserve"> </w:t>
      </w:r>
      <w:proofErr w:type="spellStart"/>
      <w:r>
        <w:t>CagriSema</w:t>
      </w:r>
      <w:proofErr w:type="spellEnd"/>
      <w:r>
        <w:t xml:space="preserve"> (amylin + GLP-1) trial missed primary endpoint (22.7% vs 25% target). Lilly captured 57% GLP-1 market share by Q2 2025 (up from ~30% in 2023). Oral </w:t>
      </w:r>
      <w:proofErr w:type="spellStart"/>
      <w:r>
        <w:t>orforglipron</w:t>
      </w:r>
      <w:proofErr w:type="spellEnd"/>
      <w:r>
        <w:t xml:space="preserve"> filed for approval; could redefine convenience vs. injectables.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4BA25D35"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3E6D14" w14:textId="77777777" w:rsidR="006454EB" w:rsidRDefault="00000000">
            <w:r>
              <w:rPr>
                <w:b/>
                <w:bCs/>
                <w:color w:val="FFFFFF"/>
                <w:sz w:val="20"/>
                <w:szCs w:val="20"/>
              </w:rPr>
              <w:t>Counter-Positioning</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EB6584" w14:textId="77777777" w:rsidR="006454EB" w:rsidRDefault="00000000">
            <w:pPr>
              <w:jc w:val="center"/>
            </w:pPr>
            <w:r>
              <w:rPr>
                <w:b/>
                <w:bCs/>
                <w:color w:val="FFFFFF"/>
                <w:sz w:val="20"/>
                <w:szCs w:val="20"/>
              </w:rPr>
              <w:t>Score</w:t>
            </w:r>
          </w:p>
        </w:tc>
      </w:tr>
      <w:tr w:rsidR="006454EB" w14:paraId="0954D189"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E9598" w14:textId="77777777" w:rsidR="006454EB" w:rsidRDefault="00000000">
            <w:r>
              <w:rPr>
                <w:color w:val="000000"/>
                <w:sz w:val="20"/>
                <w:szCs w:val="20"/>
              </w:rPr>
              <w:t>Superior GLP-1 efficacy, oral pill optionality, Novo cannot easily respond.</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2C1DABCE" w14:textId="77777777" w:rsidR="006454EB" w:rsidRDefault="00000000">
            <w:pPr>
              <w:jc w:val="center"/>
            </w:pPr>
            <w:r>
              <w:rPr>
                <w:b/>
                <w:bCs/>
              </w:rPr>
              <w:t>+2</w:t>
            </w:r>
          </w:p>
        </w:tc>
      </w:tr>
    </w:tbl>
    <w:p w14:paraId="15F72421" w14:textId="77777777" w:rsidR="006454EB" w:rsidRDefault="00000000">
      <w:pPr>
        <w:pStyle w:val="Heading2"/>
        <w:spacing w:before="400"/>
      </w:pPr>
      <w:r>
        <w:t>1.3 OPTIONALITY</w:t>
      </w:r>
    </w:p>
    <w:p w14:paraId="4531B1AC" w14:textId="77777777" w:rsidR="006454EB" w:rsidRDefault="00000000">
      <w:pPr>
        <w:spacing w:after="200"/>
      </w:pPr>
      <w:r>
        <w:t xml:space="preserve">Excellent optionality profile. Core GLP-1 franchise funds aggressive pipeline expansion. </w:t>
      </w:r>
      <w:proofErr w:type="spellStart"/>
      <w:r>
        <w:t>Kisunla</w:t>
      </w:r>
      <w:proofErr w:type="spellEnd"/>
      <w:r>
        <w:t xml:space="preserve"> (donanemab) approved for Alzheimer's (July 2024). </w:t>
      </w:r>
      <w:proofErr w:type="spellStart"/>
      <w:r>
        <w:t>Orforglipron</w:t>
      </w:r>
      <w:proofErr w:type="spellEnd"/>
      <w:r>
        <w:t xml:space="preserve"> (oral GLP-1) in Phase 3, filed for approval late 2025. </w:t>
      </w:r>
      <w:proofErr w:type="spellStart"/>
      <w:r>
        <w:t>Retatrutide</w:t>
      </w:r>
      <w:proofErr w:type="spellEnd"/>
      <w:r>
        <w:t xml:space="preserve"> (triple agonist, 24% weight loss) in development. </w:t>
      </w:r>
      <w:proofErr w:type="spellStart"/>
      <w:r>
        <w:t>Verzenio</w:t>
      </w:r>
      <w:proofErr w:type="spellEnd"/>
      <w:r>
        <w:t xml:space="preserve"> </w:t>
      </w:r>
      <w:proofErr w:type="gramStart"/>
      <w:r>
        <w:t>growing</w:t>
      </w:r>
      <w:proofErr w:type="gramEnd"/>
      <w:r>
        <w:t xml:space="preserve"> in oncology (breast cancer). $3.2B Morphic acquisition (IBD). Verve acquisition (cardiovascular gene </w:t>
      </w:r>
      <w:r>
        <w:lastRenderedPageBreak/>
        <w:t>editing). POINT Biopharma (radiopharmaceuticals). Scorpion Therapeutics (PI3Ka oncology). 70+ pipeline molecules across diabetes, obesity, Alzheimer's, oncology</w:t>
      </w:r>
      <w:proofErr w:type="gramStart"/>
      <w:r>
        <w:t>, immunology</w:t>
      </w:r>
      <w:proofErr w:type="gram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231F3DD7"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79E95B" w14:textId="77777777" w:rsidR="006454EB" w:rsidRDefault="00000000">
            <w:r>
              <w:rPr>
                <w:b/>
                <w:bCs/>
                <w:color w:val="FFFFFF"/>
                <w:sz w:val="20"/>
                <w:szCs w:val="20"/>
              </w:rPr>
              <w:t>Optionality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FA01AE" w14:textId="77777777" w:rsidR="006454EB" w:rsidRDefault="00000000">
            <w:pPr>
              <w:jc w:val="center"/>
            </w:pPr>
            <w:r>
              <w:rPr>
                <w:b/>
                <w:bCs/>
                <w:color w:val="FFFFFF"/>
                <w:sz w:val="20"/>
                <w:szCs w:val="20"/>
              </w:rPr>
              <w:t>Score</w:t>
            </w:r>
          </w:p>
        </w:tc>
      </w:tr>
      <w:tr w:rsidR="006454EB" w14:paraId="02C3C4CF"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41B7B" w14:textId="77777777" w:rsidR="006454EB" w:rsidRDefault="00000000">
            <w:r>
              <w:rPr>
                <w:color w:val="000000"/>
                <w:sz w:val="20"/>
                <w:szCs w:val="20"/>
              </w:rPr>
              <w:t xml:space="preserve">70+ pipeline molecules, Alzheimer's, oral GLP-1, gene therapy, </w:t>
            </w:r>
            <w:proofErr w:type="spellStart"/>
            <w:r>
              <w:rPr>
                <w:color w:val="000000"/>
                <w:sz w:val="20"/>
                <w:szCs w:val="20"/>
              </w:rPr>
              <w:t>radiopharma</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4CEEDDE7" w14:textId="77777777" w:rsidR="006454EB" w:rsidRDefault="00000000">
            <w:pPr>
              <w:jc w:val="center"/>
            </w:pPr>
            <w:r>
              <w:rPr>
                <w:b/>
                <w:bCs/>
              </w:rPr>
              <w:t>+2</w:t>
            </w:r>
          </w:p>
        </w:tc>
      </w:tr>
    </w:tbl>
    <w:p w14:paraId="2B61E8A1" w14:textId="77777777" w:rsidR="006454EB" w:rsidRDefault="00000000">
      <w:pPr>
        <w:spacing w:before="400" w:after="200"/>
      </w:pPr>
      <w:r>
        <w:rPr>
          <w:b/>
          <w:bCs/>
          <w:color w:val="1F4E79"/>
          <w:sz w:val="26"/>
          <w:szCs w:val="26"/>
        </w:rPr>
        <w:t>BARBELL METHOD SUBTOTAL: 10/14</w:t>
      </w:r>
    </w:p>
    <w:p w14:paraId="66264181" w14:textId="77777777" w:rsidR="006454EB" w:rsidRDefault="00000000">
      <w:pPr>
        <w:pStyle w:val="Heading1"/>
      </w:pPr>
      <w:r>
        <w:t>SECTION 2: FINANCIAL FORTITUDE</w:t>
      </w:r>
    </w:p>
    <w:p w14:paraId="64ABDA9C" w14:textId="77777777" w:rsidR="006454EB" w:rsidRDefault="00000000">
      <w:pPr>
        <w:pStyle w:val="Heading2"/>
      </w:pPr>
      <w:r>
        <w:t>2.1 Cash, Debt, Free Cash Flow</w:t>
      </w:r>
    </w:p>
    <w:p w14:paraId="2FEE9054" w14:textId="77777777" w:rsidR="006454EB" w:rsidRDefault="00000000">
      <w:pPr>
        <w:spacing w:after="200"/>
      </w:pPr>
      <w:r>
        <w:t xml:space="preserve">Leveraged growth profile, not fortress balance sheet. Cash and short-term investments: $9.9B. Total debt: $42.6B (up 44% YoY). Debt-to-equity: 178.5% (high but declining from 344% 5 years ago). Net debt: ~$33B. Interest coverage: 38.4x (very strong). Operating cash flow covers debt well (37.7%). Free cash flow </w:t>
      </w:r>
      <w:proofErr w:type="gramStart"/>
      <w:r>
        <w:t>growing</w:t>
      </w:r>
      <w:proofErr w:type="gramEnd"/>
      <w:r>
        <w:t xml:space="preserve"> rapidly due to GLP-1 profitability. $15B share repurchase program authorized Dec 2024 ($12.4B remaining as of Sept 2025). Balance sheet optimized for growth, not crisis resilience.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47127328"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23B171" w14:textId="77777777" w:rsidR="006454EB" w:rsidRDefault="00000000">
            <w:r>
              <w:rPr>
                <w:b/>
                <w:bCs/>
                <w:color w:val="FFFFFF"/>
                <w:sz w:val="20"/>
                <w:szCs w:val="20"/>
              </w:rPr>
              <w:t>Cash, Debt, FCF</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B2E77" w14:textId="77777777" w:rsidR="006454EB" w:rsidRDefault="00000000">
            <w:pPr>
              <w:jc w:val="center"/>
            </w:pPr>
            <w:r>
              <w:rPr>
                <w:b/>
                <w:bCs/>
                <w:color w:val="FFFFFF"/>
                <w:sz w:val="20"/>
                <w:szCs w:val="20"/>
              </w:rPr>
              <w:t>Score</w:t>
            </w:r>
          </w:p>
        </w:tc>
      </w:tr>
      <w:tr w:rsidR="006454EB" w14:paraId="2A602B13"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9CE6" w14:textId="77777777" w:rsidR="006454EB" w:rsidRDefault="00000000">
            <w:r>
              <w:rPr>
                <w:color w:val="000000"/>
                <w:sz w:val="20"/>
                <w:szCs w:val="20"/>
              </w:rPr>
              <w:t>$9.9B cash, $42.6B debt. 38x interest coverage. Growth-oriented, not fortress.</w:t>
            </w:r>
          </w:p>
        </w:tc>
        <w:tc>
          <w:tcPr>
            <w:tcW w:w="200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tcPr>
          <w:p w14:paraId="7607F573" w14:textId="77777777" w:rsidR="006454EB" w:rsidRDefault="00000000">
            <w:pPr>
              <w:jc w:val="center"/>
            </w:pPr>
            <w:r>
              <w:rPr>
                <w:b/>
                <w:bCs/>
              </w:rPr>
              <w:t>+0</w:t>
            </w:r>
          </w:p>
        </w:tc>
      </w:tr>
    </w:tbl>
    <w:p w14:paraId="466139C4" w14:textId="77777777" w:rsidR="006454EB" w:rsidRDefault="00000000">
      <w:pPr>
        <w:pStyle w:val="Heading2"/>
        <w:spacing w:before="400"/>
      </w:pPr>
      <w:r>
        <w:t>2.2 Single Point of Failure</w:t>
      </w:r>
    </w:p>
    <w:p w14:paraId="1AF1E115" w14:textId="77777777" w:rsidR="006454EB" w:rsidRDefault="00000000">
      <w:pPr>
        <w:spacing w:after="200"/>
      </w:pPr>
      <w:r>
        <w:t>Moderate-high concentration risk. GLP-1 franchise (</w:t>
      </w:r>
      <w:proofErr w:type="spellStart"/>
      <w:r>
        <w:t>Mounjaro</w:t>
      </w:r>
      <w:proofErr w:type="spellEnd"/>
      <w:r>
        <w:t xml:space="preserve"> + </w:t>
      </w:r>
      <w:proofErr w:type="spellStart"/>
      <w:r>
        <w:t>Zepbound</w:t>
      </w:r>
      <w:proofErr w:type="spellEnd"/>
      <w:r>
        <w:t xml:space="preserve">) generated $39.5B in first 9 months of 2025, representing ~70% of revenue growth. Tirzepatide is now the world's best-selling drug ($24.8B YTD). Success of incretins masks performance of other franchises. Pipeline diversification (Alzheimer's, oncology, immunology) provides future optionality but current dependence on GLP-1s is significant. Key risk: competitive breakthrough (oral pills from Novo, next-gen molecules), pricing pressure (Medicare negotiations), or safety </w:t>
      </w:r>
      <w:proofErr w:type="gramStart"/>
      <w:r>
        <w:t>issue</w:t>
      </w:r>
      <w:proofErr w:type="gramEnd"/>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5B5E46BC"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54A40A" w14:textId="77777777" w:rsidR="006454EB" w:rsidRDefault="00000000">
            <w:r>
              <w:rPr>
                <w:b/>
                <w:bCs/>
                <w:color w:val="FFFFFF"/>
                <w:sz w:val="20"/>
                <w:szCs w:val="20"/>
              </w:rPr>
              <w:t>Single Point of Failure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6036C" w14:textId="77777777" w:rsidR="006454EB" w:rsidRDefault="00000000">
            <w:pPr>
              <w:jc w:val="center"/>
            </w:pPr>
            <w:r>
              <w:rPr>
                <w:b/>
                <w:bCs/>
                <w:color w:val="FFFFFF"/>
                <w:sz w:val="20"/>
                <w:szCs w:val="20"/>
              </w:rPr>
              <w:t>Score</w:t>
            </w:r>
          </w:p>
        </w:tc>
      </w:tr>
      <w:tr w:rsidR="006454EB" w14:paraId="218D5C9A"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87D7" w14:textId="77777777" w:rsidR="006454EB" w:rsidRDefault="00000000">
            <w:r>
              <w:rPr>
                <w:color w:val="000000"/>
                <w:sz w:val="20"/>
                <w:szCs w:val="20"/>
              </w:rPr>
              <w:t>GLP-1 franchise ~70% of growth. Diversification 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843260" w14:textId="77777777" w:rsidR="006454EB" w:rsidRDefault="00000000">
            <w:pPr>
              <w:jc w:val="center"/>
            </w:pPr>
            <w:r>
              <w:rPr>
                <w:b/>
                <w:bCs/>
              </w:rPr>
              <w:t>+1</w:t>
            </w:r>
          </w:p>
        </w:tc>
      </w:tr>
    </w:tbl>
    <w:p w14:paraId="47263D9C" w14:textId="77777777" w:rsidR="006454EB" w:rsidRDefault="00000000">
      <w:pPr>
        <w:spacing w:before="400" w:after="200"/>
      </w:pPr>
      <w:r>
        <w:rPr>
          <w:b/>
          <w:bCs/>
          <w:color w:val="1F4E79"/>
          <w:sz w:val="26"/>
          <w:szCs w:val="26"/>
        </w:rPr>
        <w:t>FINANCIAL FORTITUDE SUBTOTAL: 1/4</w:t>
      </w:r>
    </w:p>
    <w:p w14:paraId="21167652" w14:textId="77777777" w:rsidR="006454EB" w:rsidRDefault="00000000">
      <w:pPr>
        <w:pStyle w:val="Heading1"/>
      </w:pPr>
      <w:r>
        <w:t>SECTION 3: SKIN IN THE GAME</w:t>
      </w:r>
    </w:p>
    <w:p w14:paraId="75C5E9CC" w14:textId="77777777" w:rsidR="006454EB" w:rsidRDefault="00000000">
      <w:pPr>
        <w:pStyle w:val="Heading2"/>
      </w:pPr>
      <w:r>
        <w:t>3.1 Founder Involved?</w:t>
      </w:r>
    </w:p>
    <w:p w14:paraId="44A73849" w14:textId="77777777" w:rsidR="006454EB" w:rsidRDefault="00000000">
      <w:pPr>
        <w:spacing w:after="200"/>
      </w:pPr>
      <w:r>
        <w:t xml:space="preserve">Unique founder-adjacent structure. Colonel Eli Lilly founded company in 1876. </w:t>
      </w:r>
      <w:proofErr w:type="gramStart"/>
      <w:r>
        <w:t>The Lilly</w:t>
      </w:r>
      <w:proofErr w:type="gramEnd"/>
      <w:r>
        <w:t xml:space="preserve"> Endowment Inc. (private philanthropic foundation established by founder's family) owns ~9.75% of shares, making it the largest shareholder. This provides long-term anchor and insulation from activist pressure. CEO Dave Ricks is a 30-year veteran (joined 1996 as business development associate, CEO since Jan 2017). While not founder-led, </w:t>
      </w:r>
      <w:proofErr w:type="gramStart"/>
      <w:r>
        <w:t>the Lilly</w:t>
      </w:r>
      <w:proofErr w:type="gramEnd"/>
      <w:r>
        <w:t xml:space="preserve"> Endowment provides unusual alignment with founder values.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5277E2CC"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27280D" w14:textId="77777777" w:rsidR="006454EB" w:rsidRDefault="00000000">
            <w:r>
              <w:rPr>
                <w:b/>
                <w:bCs/>
                <w:color w:val="FFFFFF"/>
                <w:sz w:val="20"/>
                <w:szCs w:val="20"/>
              </w:rPr>
              <w:t>Founder Involved?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386B44" w14:textId="77777777" w:rsidR="006454EB" w:rsidRDefault="00000000">
            <w:pPr>
              <w:jc w:val="center"/>
            </w:pPr>
            <w:r>
              <w:rPr>
                <w:b/>
                <w:bCs/>
                <w:color w:val="FFFFFF"/>
                <w:sz w:val="20"/>
                <w:szCs w:val="20"/>
              </w:rPr>
              <w:t>Score</w:t>
            </w:r>
          </w:p>
        </w:tc>
      </w:tr>
      <w:tr w:rsidR="006454EB" w14:paraId="79B63110"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496CE" w14:textId="77777777" w:rsidR="006454EB" w:rsidRDefault="00000000">
            <w:r>
              <w:rPr>
                <w:color w:val="000000"/>
                <w:sz w:val="20"/>
                <w:szCs w:val="20"/>
              </w:rPr>
              <w:lastRenderedPageBreak/>
              <w:t>Lilly Endowment (9.75%) provides founder DNA. CEO is 30-year veteran.</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4E5A4FDA" w14:textId="77777777" w:rsidR="006454EB" w:rsidRDefault="00000000">
            <w:pPr>
              <w:jc w:val="center"/>
            </w:pPr>
            <w:r>
              <w:rPr>
                <w:b/>
                <w:bCs/>
              </w:rPr>
              <w:t>+2</w:t>
            </w:r>
          </w:p>
        </w:tc>
      </w:tr>
    </w:tbl>
    <w:p w14:paraId="5D852EF8" w14:textId="77777777" w:rsidR="006454EB" w:rsidRDefault="00000000">
      <w:pPr>
        <w:pStyle w:val="Heading2"/>
        <w:spacing w:before="400"/>
      </w:pPr>
      <w:r>
        <w:t>3.2 Insider Ownership</w:t>
      </w:r>
    </w:p>
    <w:p w14:paraId="5967B92F" w14:textId="77777777" w:rsidR="006454EB" w:rsidRDefault="00000000">
      <w:pPr>
        <w:spacing w:after="200"/>
      </w:pPr>
      <w:r>
        <w:t xml:space="preserve">Strong insider alignment. Total insider ownership ~10.5% (including Lilly Endowment ~9.75%). CEO Dave Ricks owns 676,970 shares worth ~$731M. Recent insider activity: net purchases of $3.4M in Aug 2025 (all 6 recent transactions were purchases). Executive compensation tied to performance (revenue growth, R&amp;D pipeline success). </w:t>
      </w:r>
      <w:proofErr w:type="gramStart"/>
      <w:r>
        <w:t>Named</w:t>
      </w:r>
      <w:proofErr w:type="gramEnd"/>
      <w:r>
        <w:t xml:space="preserve"> "CEO of the Year" by Chief Executive magazine in 2025. 8+ years as CEO with market cap growth from ~$70B to ~$1T.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71787350"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818C9" w14:textId="77777777" w:rsidR="006454EB" w:rsidRDefault="00000000">
            <w:r>
              <w:rPr>
                <w:b/>
                <w:bCs/>
                <w:color w:val="FFFFFF"/>
                <w:sz w:val="20"/>
                <w:szCs w:val="20"/>
              </w:rPr>
              <w:t>Insider Ownership</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1BD99F" w14:textId="77777777" w:rsidR="006454EB" w:rsidRDefault="00000000">
            <w:pPr>
              <w:jc w:val="center"/>
            </w:pPr>
            <w:r>
              <w:rPr>
                <w:b/>
                <w:bCs/>
                <w:color w:val="FFFFFF"/>
                <w:sz w:val="20"/>
                <w:szCs w:val="20"/>
              </w:rPr>
              <w:t>Score</w:t>
            </w:r>
          </w:p>
        </w:tc>
      </w:tr>
      <w:tr w:rsidR="006454EB" w14:paraId="6FB3EEFB"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CBA00" w14:textId="77777777" w:rsidR="006454EB" w:rsidRDefault="00000000">
            <w:r>
              <w:rPr>
                <w:color w:val="000000"/>
                <w:sz w:val="20"/>
                <w:szCs w:val="20"/>
              </w:rPr>
              <w:t>10.5% insider ownership including Lilly Endowment. CEO owns $731M.</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78A8683D" w14:textId="77777777" w:rsidR="006454EB" w:rsidRDefault="00000000">
            <w:pPr>
              <w:jc w:val="center"/>
            </w:pPr>
            <w:r>
              <w:rPr>
                <w:b/>
                <w:bCs/>
              </w:rPr>
              <w:t>+2</w:t>
            </w:r>
          </w:p>
        </w:tc>
      </w:tr>
    </w:tbl>
    <w:p w14:paraId="64E41914" w14:textId="77777777" w:rsidR="006454EB" w:rsidRDefault="00000000">
      <w:pPr>
        <w:pStyle w:val="Heading2"/>
        <w:spacing w:before="400"/>
      </w:pPr>
      <w:r>
        <w:t>3.3 Glassdoor Ratings</w:t>
      </w:r>
    </w:p>
    <w:p w14:paraId="1DA304E3" w14:textId="77777777" w:rsidR="006454EB" w:rsidRDefault="00000000">
      <w:pPr>
        <w:spacing w:after="200"/>
      </w:pPr>
      <w:r>
        <w:t xml:space="preserve">Strong employee sentiment. Glassdoor overall rating: 4.0/5.0 (5,100+ reviews). 78-79% recommend to </w:t>
      </w:r>
      <w:proofErr w:type="gramStart"/>
      <w:r>
        <w:t>friend</w:t>
      </w:r>
      <w:proofErr w:type="gramEnd"/>
      <w:r>
        <w:t xml:space="preserve">. 83% positive business outlook. </w:t>
      </w:r>
      <w:proofErr w:type="gramStart"/>
      <w:r>
        <w:t>Named Glassdoor</w:t>
      </w:r>
      <w:proofErr w:type="gramEnd"/>
      <w:r>
        <w:t xml:space="preserve"> </w:t>
      </w:r>
      <w:proofErr w:type="gramStart"/>
      <w:r>
        <w:t>"Best</w:t>
      </w:r>
      <w:proofErr w:type="gramEnd"/>
      <w:r>
        <w:t xml:space="preserve"> Place to Work" in 2012, 2018, 2021, 2024, 2025, and 2026. Common praise: patient-centric mission, benefits, work-life balance, competitive compensation, job security. Common criticism: management variability, bureaucracy, work-life balance challenges in some roles. Culture aligned with long-term 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234137C5"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F2C2B" w14:textId="77777777" w:rsidR="006454EB" w:rsidRDefault="00000000">
            <w:r>
              <w:rPr>
                <w:b/>
                <w:bCs/>
                <w:color w:val="FFFFFF"/>
                <w:sz w:val="20"/>
                <w:szCs w:val="20"/>
              </w:rPr>
              <w:t>Glassdoor Ratings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4E2DD7" w14:textId="77777777" w:rsidR="006454EB" w:rsidRDefault="00000000">
            <w:pPr>
              <w:jc w:val="center"/>
            </w:pPr>
            <w:r>
              <w:rPr>
                <w:b/>
                <w:bCs/>
                <w:color w:val="FFFFFF"/>
                <w:sz w:val="20"/>
                <w:szCs w:val="20"/>
              </w:rPr>
              <w:t>Score</w:t>
            </w:r>
          </w:p>
        </w:tc>
      </w:tr>
      <w:tr w:rsidR="006454EB" w14:paraId="52DD67D6"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4FEB" w14:textId="77777777" w:rsidR="006454EB" w:rsidRDefault="00000000">
            <w:r>
              <w:rPr>
                <w:color w:val="000000"/>
                <w:sz w:val="20"/>
                <w:szCs w:val="20"/>
              </w:rPr>
              <w:t>4.0/5.0 rating, 78% recommend, 83% positive outlook. Best Place to Work.</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1ED7AB90" w14:textId="77777777" w:rsidR="006454EB" w:rsidRDefault="00000000">
            <w:pPr>
              <w:jc w:val="center"/>
            </w:pPr>
            <w:r>
              <w:rPr>
                <w:b/>
                <w:bCs/>
              </w:rPr>
              <w:t>+2</w:t>
            </w:r>
          </w:p>
        </w:tc>
      </w:tr>
    </w:tbl>
    <w:p w14:paraId="12E5633F" w14:textId="77777777" w:rsidR="006454EB" w:rsidRDefault="00000000">
      <w:pPr>
        <w:spacing w:before="400" w:after="200"/>
      </w:pPr>
      <w:r>
        <w:rPr>
          <w:b/>
          <w:bCs/>
          <w:color w:val="1F4E79"/>
          <w:sz w:val="26"/>
          <w:szCs w:val="26"/>
        </w:rPr>
        <w:t>SKIN IN THE GAME SUBTOTAL: 6/6</w:t>
      </w:r>
    </w:p>
    <w:p w14:paraId="051D2DF3" w14:textId="77777777" w:rsidR="006454EB" w:rsidRDefault="00000000">
      <w:pPr>
        <w:pStyle w:val="Heading1"/>
      </w:pPr>
      <w:r>
        <w:t>SECTION 4: VALUATION</w:t>
      </w:r>
    </w:p>
    <w:p w14:paraId="4B787062" w14:textId="77777777" w:rsidR="006454EB" w:rsidRDefault="00000000">
      <w:pPr>
        <w:spacing w:after="200"/>
      </w:pPr>
      <w:r>
        <w:t>Valuation reflects growth premium but not egregious. P/E ratio: 49-53x (TTM), down from 62x 12-month average. Forward P/E: 31-34x on ~$24 EPS guidance. 10-year average P/E: 52-57x, so current valuation is within historical range. P/E compressed significantly from 80-90x peaks in 2023-2024. PEG ratio: 1.07 (reasonable for growth). EV/EBITDA: 34.8x. First pharma to reach $1T market cap (Nov 2025). Premium vs. pharma peers (industry median ~15-20x) justified by 54% revenue growth and GLP-1 dominance.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6454EB" w14:paraId="410AB423" w14:textId="77777777">
        <w:tc>
          <w:tcPr>
            <w:tcW w:w="8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C46C7" w14:textId="77777777" w:rsidR="006454EB" w:rsidRDefault="00000000">
            <w:r>
              <w:rPr>
                <w:b/>
                <w:bCs/>
                <w:color w:val="FFFFFF"/>
                <w:sz w:val="20"/>
                <w:szCs w:val="20"/>
              </w:rPr>
              <w:t>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B41EB4" w14:textId="77777777" w:rsidR="006454EB" w:rsidRDefault="00000000">
            <w:pPr>
              <w:jc w:val="center"/>
            </w:pPr>
            <w:r>
              <w:rPr>
                <w:b/>
                <w:bCs/>
                <w:color w:val="FFFFFF"/>
                <w:sz w:val="20"/>
                <w:szCs w:val="20"/>
              </w:rPr>
              <w:t>Score</w:t>
            </w:r>
          </w:p>
        </w:tc>
      </w:tr>
      <w:tr w:rsidR="006454EB" w14:paraId="0B74A3F8" w14:textId="77777777">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66E6" w14:textId="77777777" w:rsidR="006454EB" w:rsidRDefault="00000000">
            <w:r w:rsidRPr="002C177D">
              <w:rPr>
                <w:color w:val="000000"/>
                <w:sz w:val="20"/>
                <w:szCs w:val="20"/>
                <w:lang w:val="es-ES"/>
              </w:rPr>
              <w:t xml:space="preserve">P/E 49-53x (historical avg 52-57x). </w:t>
            </w:r>
            <w:r>
              <w:rPr>
                <w:color w:val="000000"/>
                <w:sz w:val="20"/>
                <w:szCs w:val="20"/>
              </w:rPr>
              <w:t>Forward P/E 31-34x. PEG 1.07.</w:t>
            </w:r>
          </w:p>
        </w:tc>
        <w:tc>
          <w:tcPr>
            <w:tcW w:w="200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61516AA2" w14:textId="77777777" w:rsidR="006454EB" w:rsidRDefault="00000000">
            <w:pPr>
              <w:jc w:val="center"/>
            </w:pPr>
            <w:r>
              <w:rPr>
                <w:b/>
                <w:bCs/>
              </w:rPr>
              <w:t>+2</w:t>
            </w:r>
          </w:p>
        </w:tc>
      </w:tr>
    </w:tbl>
    <w:p w14:paraId="14C30FC7" w14:textId="77777777" w:rsidR="006454EB" w:rsidRDefault="00000000">
      <w:pPr>
        <w:spacing w:before="400" w:after="200"/>
      </w:pPr>
      <w:r>
        <w:rPr>
          <w:b/>
          <w:bCs/>
          <w:color w:val="1F4E79"/>
          <w:sz w:val="26"/>
          <w:szCs w:val="26"/>
        </w:rPr>
        <w:t>VALUATION SCORE: 2/2</w:t>
      </w:r>
    </w:p>
    <w:p w14:paraId="1A40FEFE" w14:textId="77777777" w:rsidR="006454EB" w:rsidRDefault="00000000">
      <w:pPr>
        <w:pStyle w:val="Heading1"/>
      </w:pPr>
      <w:r>
        <w:t>SUMMARY SCORECARD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680"/>
        <w:gridCol w:w="1680"/>
        <w:gridCol w:w="1680"/>
      </w:tblGrid>
      <w:tr w:rsidR="006454EB" w14:paraId="7640A0C4" w14:textId="77777777">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830481" w14:textId="77777777" w:rsidR="006454EB" w:rsidRDefault="00000000">
            <w:r>
              <w:rPr>
                <w:b/>
                <w:bCs/>
                <w:color w:val="FFFFFF"/>
                <w:sz w:val="20"/>
                <w:szCs w:val="20"/>
              </w:rPr>
              <w:t>Category</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50A57A" w14:textId="77777777" w:rsidR="006454EB" w:rsidRDefault="00000000">
            <w:pPr>
              <w:jc w:val="center"/>
            </w:pPr>
            <w:r>
              <w:rPr>
                <w:b/>
                <w:bCs/>
                <w:color w:val="FFFFFF"/>
                <w:sz w:val="20"/>
                <w:szCs w:val="20"/>
              </w:rPr>
              <w:t>Score</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90046" w14:textId="77777777" w:rsidR="006454EB" w:rsidRDefault="00000000">
            <w:pPr>
              <w:jc w:val="center"/>
            </w:pPr>
            <w:r>
              <w:rPr>
                <w:b/>
                <w:bCs/>
                <w:color w:val="FFFFFF"/>
                <w:sz w:val="20"/>
                <w:szCs w:val="20"/>
              </w:rPr>
              <w:t>Max</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BC7E28" w14:textId="77777777" w:rsidR="006454EB" w:rsidRDefault="00000000">
            <w:pPr>
              <w:jc w:val="center"/>
            </w:pPr>
            <w:r>
              <w:rPr>
                <w:b/>
                <w:bCs/>
                <w:color w:val="FFFFFF"/>
                <w:sz w:val="20"/>
                <w:szCs w:val="20"/>
              </w:rPr>
              <w:t>Notes</w:t>
            </w:r>
          </w:p>
        </w:tc>
      </w:tr>
      <w:tr w:rsidR="006454EB" w14:paraId="226F545E"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700C" w14:textId="77777777" w:rsidR="006454EB" w:rsidRDefault="00000000">
            <w:r>
              <w:rPr>
                <w:color w:val="000000"/>
                <w:sz w:val="20"/>
                <w:szCs w:val="20"/>
              </w:rPr>
              <w:t>Mission</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302B451E"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51B0"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92D9" w14:textId="77777777" w:rsidR="006454EB" w:rsidRDefault="00000000">
            <w:pPr>
              <w:jc w:val="center"/>
            </w:pPr>
            <w:r>
              <w:rPr>
                <w:color w:val="000000"/>
                <w:sz w:val="20"/>
                <w:szCs w:val="20"/>
              </w:rPr>
              <w:t>Excellent</w:t>
            </w:r>
          </w:p>
        </w:tc>
      </w:tr>
      <w:tr w:rsidR="006454EB" w14:paraId="3C055898"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6335" w14:textId="77777777" w:rsidR="006454EB" w:rsidRDefault="00000000">
            <w:r>
              <w:rPr>
                <w:color w:val="000000"/>
                <w:sz w:val="20"/>
                <w:szCs w:val="20"/>
              </w:rPr>
              <w:lastRenderedPageBreak/>
              <w:t>Moat - Network Effects</w:t>
            </w:r>
          </w:p>
        </w:tc>
        <w:tc>
          <w:tcPr>
            <w:tcW w:w="16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tcPr>
          <w:p w14:paraId="575E9F8D" w14:textId="77777777" w:rsidR="006454EB" w:rsidRDefault="00000000">
            <w:pPr>
              <w:jc w:val="center"/>
            </w:pPr>
            <w:r>
              <w:rPr>
                <w:b/>
                <w:bCs/>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C002"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FA20" w14:textId="77777777" w:rsidR="006454EB" w:rsidRDefault="00000000">
            <w:pPr>
              <w:jc w:val="center"/>
            </w:pPr>
            <w:r>
              <w:rPr>
                <w:color w:val="000000"/>
                <w:sz w:val="20"/>
                <w:szCs w:val="20"/>
              </w:rPr>
              <w:t>Limited</w:t>
            </w:r>
          </w:p>
        </w:tc>
      </w:tr>
      <w:tr w:rsidR="006454EB" w14:paraId="577544B8"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49730" w14:textId="77777777" w:rsidR="006454EB" w:rsidRDefault="00000000">
            <w:r>
              <w:rPr>
                <w:color w:val="000000"/>
                <w:sz w:val="20"/>
                <w:szCs w:val="20"/>
              </w:rPr>
              <w:t>Moat - Switching Costs</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C8C95A" w14:textId="77777777" w:rsidR="006454EB" w:rsidRDefault="00000000">
            <w:pPr>
              <w:jc w:val="center"/>
            </w:pPr>
            <w:r>
              <w:rPr>
                <w:b/>
                <w:bCs/>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7563"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1BD2" w14:textId="77777777" w:rsidR="006454EB" w:rsidRDefault="00000000">
            <w:pPr>
              <w:jc w:val="center"/>
            </w:pPr>
            <w:r>
              <w:rPr>
                <w:color w:val="000000"/>
                <w:sz w:val="20"/>
                <w:szCs w:val="20"/>
              </w:rPr>
              <w:t>Moderate</w:t>
            </w:r>
          </w:p>
        </w:tc>
      </w:tr>
      <w:tr w:rsidR="006454EB" w14:paraId="21908FBA"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A2361" w14:textId="77777777" w:rsidR="006454EB" w:rsidRDefault="00000000">
            <w:r>
              <w:rPr>
                <w:color w:val="000000"/>
                <w:sz w:val="20"/>
                <w:szCs w:val="20"/>
              </w:rPr>
              <w:t>Moat - Low-Cost Production</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8C2696" w14:textId="77777777" w:rsidR="006454EB" w:rsidRDefault="00000000">
            <w:pPr>
              <w:jc w:val="center"/>
            </w:pPr>
            <w:r>
              <w:rPr>
                <w:b/>
                <w:bCs/>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4D57"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DE64" w14:textId="77777777" w:rsidR="006454EB" w:rsidRDefault="00000000">
            <w:pPr>
              <w:jc w:val="center"/>
            </w:pPr>
            <w:r>
              <w:rPr>
                <w:color w:val="000000"/>
                <w:sz w:val="20"/>
                <w:szCs w:val="20"/>
              </w:rPr>
              <w:t>Scale focus</w:t>
            </w:r>
          </w:p>
        </w:tc>
      </w:tr>
      <w:tr w:rsidR="006454EB" w14:paraId="2BCAB365"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68D8A" w14:textId="77777777" w:rsidR="006454EB" w:rsidRDefault="00000000">
            <w:r>
              <w:rPr>
                <w:color w:val="000000"/>
                <w:sz w:val="20"/>
                <w:szCs w:val="20"/>
              </w:rPr>
              <w:t>Moat - Intangibles</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44D0BF19"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055D"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8E1D" w14:textId="77777777" w:rsidR="006454EB" w:rsidRDefault="00000000">
            <w:pPr>
              <w:jc w:val="center"/>
            </w:pPr>
            <w:r>
              <w:rPr>
                <w:color w:val="000000"/>
                <w:sz w:val="20"/>
                <w:szCs w:val="20"/>
              </w:rPr>
              <w:t>Excellent</w:t>
            </w:r>
          </w:p>
        </w:tc>
      </w:tr>
      <w:tr w:rsidR="006454EB" w14:paraId="34A4C814"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100C3" w14:textId="77777777" w:rsidR="006454EB" w:rsidRDefault="00000000">
            <w:r>
              <w:rPr>
                <w:color w:val="000000"/>
                <w:sz w:val="20"/>
                <w:szCs w:val="20"/>
              </w:rPr>
              <w:t>Moat - Counter-Positioning</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3096EEDD"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6CB4"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F5C0" w14:textId="77777777" w:rsidR="006454EB" w:rsidRDefault="00000000">
            <w:pPr>
              <w:jc w:val="center"/>
            </w:pPr>
            <w:r>
              <w:rPr>
                <w:color w:val="000000"/>
                <w:sz w:val="20"/>
                <w:szCs w:val="20"/>
              </w:rPr>
              <w:t>Strong vs Novo</w:t>
            </w:r>
          </w:p>
        </w:tc>
      </w:tr>
      <w:tr w:rsidR="006454EB" w14:paraId="151DCF1A"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C6E86" w14:textId="77777777" w:rsidR="006454EB" w:rsidRDefault="00000000">
            <w:r>
              <w:rPr>
                <w:color w:val="000000"/>
                <w:sz w:val="20"/>
                <w:szCs w:val="20"/>
              </w:rPr>
              <w:t>Optionality</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7C48DA8D"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4531"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26EC" w14:textId="77777777" w:rsidR="006454EB" w:rsidRDefault="00000000">
            <w:pPr>
              <w:jc w:val="center"/>
            </w:pPr>
            <w:r>
              <w:rPr>
                <w:color w:val="000000"/>
                <w:sz w:val="20"/>
                <w:szCs w:val="20"/>
              </w:rPr>
              <w:t>Deep pipeline</w:t>
            </w:r>
          </w:p>
        </w:tc>
      </w:tr>
      <w:tr w:rsidR="006454EB" w14:paraId="78C3F0FB"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39EE818" w14:textId="77777777" w:rsidR="006454EB" w:rsidRDefault="00000000">
            <w:r>
              <w:rPr>
                <w:b/>
                <w:bCs/>
                <w:sz w:val="20"/>
                <w:szCs w:val="20"/>
              </w:rPr>
              <w:t>Barbell Method Subtotal</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23ABDC7" w14:textId="77777777" w:rsidR="006454EB" w:rsidRDefault="00000000">
            <w:pPr>
              <w:jc w:val="center"/>
            </w:pPr>
            <w:r>
              <w:rPr>
                <w:b/>
                <w:bCs/>
                <w:sz w:val="20"/>
                <w:szCs w:val="20"/>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28F6C0F" w14:textId="77777777" w:rsidR="006454EB" w:rsidRDefault="00000000">
            <w:pPr>
              <w:jc w:val="center"/>
            </w:pPr>
            <w:r>
              <w:rPr>
                <w:b/>
                <w:bCs/>
                <w:sz w:val="20"/>
                <w:szCs w:val="20"/>
              </w:rPr>
              <w:t>14</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316386" w14:textId="77777777" w:rsidR="006454EB" w:rsidRDefault="00000000">
            <w:pPr>
              <w:jc w:val="center"/>
            </w:pPr>
            <w:r>
              <w:rPr>
                <w:b/>
                <w:bCs/>
                <w:sz w:val="20"/>
                <w:szCs w:val="20"/>
              </w:rPr>
              <w:t>71%</w:t>
            </w:r>
          </w:p>
        </w:tc>
      </w:tr>
      <w:tr w:rsidR="006454EB" w14:paraId="15156A06"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BD34" w14:textId="77777777" w:rsidR="006454EB" w:rsidRDefault="00000000">
            <w:r>
              <w:rPr>
                <w:color w:val="000000"/>
                <w:sz w:val="20"/>
                <w:szCs w:val="20"/>
              </w:rPr>
              <w:t>Cash/Debt/FCF</w:t>
            </w:r>
          </w:p>
        </w:tc>
        <w:tc>
          <w:tcPr>
            <w:tcW w:w="1680" w:type="dxa"/>
            <w:tcBorders>
              <w:top w:val="single" w:sz="1" w:space="0" w:color="CCCCCC"/>
              <w:left w:val="single" w:sz="1" w:space="0" w:color="CCCCCC"/>
              <w:bottom w:val="single" w:sz="1" w:space="0" w:color="CCCCCC"/>
              <w:right w:val="single" w:sz="1" w:space="0" w:color="CCCCCC"/>
            </w:tcBorders>
            <w:shd w:val="clear" w:color="auto" w:fill="FFEB9C"/>
            <w:tcMar>
              <w:top w:w="80" w:type="dxa"/>
              <w:left w:w="120" w:type="dxa"/>
              <w:bottom w:w="80" w:type="dxa"/>
              <w:right w:w="120" w:type="dxa"/>
            </w:tcMar>
          </w:tcPr>
          <w:p w14:paraId="07673CA6" w14:textId="77777777" w:rsidR="006454EB" w:rsidRDefault="00000000">
            <w:pPr>
              <w:jc w:val="center"/>
            </w:pPr>
            <w:r>
              <w:rPr>
                <w:b/>
                <w:bCs/>
              </w:rPr>
              <w:t>+0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6E18"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254A0" w14:textId="77777777" w:rsidR="006454EB" w:rsidRDefault="00000000">
            <w:pPr>
              <w:jc w:val="center"/>
            </w:pPr>
            <w:r>
              <w:rPr>
                <w:color w:val="000000"/>
                <w:sz w:val="20"/>
                <w:szCs w:val="20"/>
              </w:rPr>
              <w:t>Leveraged</w:t>
            </w:r>
          </w:p>
        </w:tc>
      </w:tr>
      <w:tr w:rsidR="006454EB" w14:paraId="146B98E9"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1313B" w14:textId="77777777" w:rsidR="006454EB" w:rsidRDefault="00000000">
            <w:r>
              <w:rPr>
                <w:color w:val="000000"/>
                <w:sz w:val="20"/>
                <w:szCs w:val="20"/>
              </w:rPr>
              <w:t>Single Point of Failure</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1AA874" w14:textId="77777777" w:rsidR="006454EB" w:rsidRDefault="00000000">
            <w:pPr>
              <w:jc w:val="center"/>
            </w:pPr>
            <w:r>
              <w:rPr>
                <w:b/>
                <w:bCs/>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6C72"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60005" w14:textId="77777777" w:rsidR="006454EB" w:rsidRDefault="00000000">
            <w:pPr>
              <w:jc w:val="center"/>
            </w:pPr>
            <w:r>
              <w:rPr>
                <w:color w:val="000000"/>
                <w:sz w:val="20"/>
                <w:szCs w:val="20"/>
              </w:rPr>
              <w:t>GLP-1 conc.</w:t>
            </w:r>
          </w:p>
        </w:tc>
      </w:tr>
      <w:tr w:rsidR="006454EB" w14:paraId="7C4B423B"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D5D4FE" w14:textId="77777777" w:rsidR="006454EB" w:rsidRDefault="00000000">
            <w:r>
              <w:rPr>
                <w:b/>
                <w:bCs/>
                <w:sz w:val="20"/>
                <w:szCs w:val="20"/>
              </w:rPr>
              <w:t>Financial Fortitude Subtotal</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5916DF" w14:textId="77777777" w:rsidR="006454EB" w:rsidRDefault="00000000">
            <w:pPr>
              <w:jc w:val="center"/>
            </w:pPr>
            <w:r>
              <w:rPr>
                <w:b/>
                <w:bCs/>
                <w:sz w:val="20"/>
                <w:szCs w:val="20"/>
              </w:rPr>
              <w:t>1</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0CF59EE" w14:textId="77777777" w:rsidR="006454EB" w:rsidRDefault="00000000">
            <w:pPr>
              <w:jc w:val="center"/>
            </w:pPr>
            <w:r>
              <w:rPr>
                <w:b/>
                <w:bCs/>
                <w:sz w:val="20"/>
                <w:szCs w:val="20"/>
              </w:rPr>
              <w:t>4</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B9CF1D" w14:textId="77777777" w:rsidR="006454EB" w:rsidRDefault="00000000">
            <w:pPr>
              <w:jc w:val="center"/>
            </w:pPr>
            <w:r>
              <w:rPr>
                <w:b/>
                <w:bCs/>
                <w:sz w:val="20"/>
                <w:szCs w:val="20"/>
              </w:rPr>
              <w:t>25%</w:t>
            </w:r>
          </w:p>
        </w:tc>
      </w:tr>
      <w:tr w:rsidR="006454EB" w14:paraId="631575DA"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C233" w14:textId="77777777" w:rsidR="006454EB" w:rsidRDefault="00000000">
            <w:r>
              <w:rPr>
                <w:color w:val="000000"/>
                <w:sz w:val="20"/>
                <w:szCs w:val="20"/>
              </w:rPr>
              <w:t>Founder Involved</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127F069B"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D2753"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6BC7" w14:textId="77777777" w:rsidR="006454EB" w:rsidRDefault="00000000">
            <w:pPr>
              <w:jc w:val="center"/>
            </w:pPr>
            <w:r>
              <w:rPr>
                <w:color w:val="000000"/>
                <w:sz w:val="20"/>
                <w:szCs w:val="20"/>
              </w:rPr>
              <w:t>Endowment</w:t>
            </w:r>
          </w:p>
        </w:tc>
      </w:tr>
      <w:tr w:rsidR="006454EB" w14:paraId="4C248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0DC0" w14:textId="77777777" w:rsidR="006454EB" w:rsidRDefault="00000000">
            <w:r>
              <w:rPr>
                <w:color w:val="000000"/>
                <w:sz w:val="20"/>
                <w:szCs w:val="20"/>
              </w:rPr>
              <w:t>Insider Ownership</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2BB76B9F"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89AE"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6A6A8" w14:textId="77777777" w:rsidR="006454EB" w:rsidRDefault="00000000">
            <w:pPr>
              <w:jc w:val="center"/>
            </w:pPr>
            <w:r>
              <w:rPr>
                <w:color w:val="000000"/>
                <w:sz w:val="20"/>
                <w:szCs w:val="20"/>
              </w:rPr>
              <w:t>10.5%</w:t>
            </w:r>
          </w:p>
        </w:tc>
      </w:tr>
      <w:tr w:rsidR="006454EB" w14:paraId="6E0592C6"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E12DA" w14:textId="77777777" w:rsidR="006454EB" w:rsidRDefault="00000000">
            <w:r>
              <w:rPr>
                <w:color w:val="000000"/>
                <w:sz w:val="20"/>
                <w:szCs w:val="20"/>
              </w:rPr>
              <w:t>Glassdoor Ratings</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5E45FEC6"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BDA01"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3DAA" w14:textId="77777777" w:rsidR="006454EB" w:rsidRDefault="00000000">
            <w:pPr>
              <w:jc w:val="center"/>
            </w:pPr>
            <w:r>
              <w:rPr>
                <w:color w:val="000000"/>
                <w:sz w:val="20"/>
                <w:szCs w:val="20"/>
              </w:rPr>
              <w:t>4.0/5.0</w:t>
            </w:r>
          </w:p>
        </w:tc>
      </w:tr>
      <w:tr w:rsidR="006454EB" w14:paraId="09192E88"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6DCA50C" w14:textId="77777777" w:rsidR="006454EB" w:rsidRDefault="00000000">
            <w:r>
              <w:rPr>
                <w:b/>
                <w:bCs/>
                <w:sz w:val="20"/>
                <w:szCs w:val="20"/>
              </w:rPr>
              <w:t>Skin in the Game Subtotal</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B4A596" w14:textId="77777777" w:rsidR="006454EB" w:rsidRDefault="00000000">
            <w:pPr>
              <w:jc w:val="center"/>
            </w:pPr>
            <w:r>
              <w:rPr>
                <w:b/>
                <w:bCs/>
                <w:sz w:val="20"/>
                <w:szCs w:val="20"/>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41385E" w14:textId="77777777" w:rsidR="006454EB" w:rsidRDefault="00000000">
            <w:pPr>
              <w:jc w:val="center"/>
            </w:pPr>
            <w:r>
              <w:rPr>
                <w:b/>
                <w:bCs/>
                <w:sz w:val="20"/>
                <w:szCs w:val="20"/>
              </w:rPr>
              <w:t>6</w:t>
            </w:r>
          </w:p>
        </w:tc>
        <w:tc>
          <w:tcPr>
            <w:tcW w:w="1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B1C55EC" w14:textId="77777777" w:rsidR="006454EB" w:rsidRDefault="00000000">
            <w:pPr>
              <w:jc w:val="center"/>
            </w:pPr>
            <w:r>
              <w:rPr>
                <w:b/>
                <w:bCs/>
                <w:sz w:val="20"/>
                <w:szCs w:val="20"/>
              </w:rPr>
              <w:t>100%</w:t>
            </w:r>
          </w:p>
        </w:tc>
      </w:tr>
      <w:tr w:rsidR="006454EB" w14:paraId="1B9B1C8E"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CB2F" w14:textId="77777777" w:rsidR="006454EB" w:rsidRDefault="00000000">
            <w:r>
              <w:rPr>
                <w:color w:val="000000"/>
                <w:sz w:val="20"/>
                <w:szCs w:val="20"/>
              </w:rPr>
              <w:t>Valuation</w:t>
            </w:r>
          </w:p>
        </w:tc>
        <w:tc>
          <w:tcPr>
            <w:tcW w:w="1680" w:type="dxa"/>
            <w:tcBorders>
              <w:top w:val="single" w:sz="1" w:space="0" w:color="CCCCCC"/>
              <w:left w:val="single" w:sz="1" w:space="0" w:color="CCCCCC"/>
              <w:bottom w:val="single" w:sz="1" w:space="0" w:color="CCCCCC"/>
              <w:right w:val="single" w:sz="1" w:space="0" w:color="CCCCCC"/>
            </w:tcBorders>
            <w:shd w:val="clear" w:color="auto" w:fill="C6EFCE"/>
            <w:tcMar>
              <w:top w:w="80" w:type="dxa"/>
              <w:left w:w="120" w:type="dxa"/>
              <w:bottom w:w="80" w:type="dxa"/>
              <w:right w:w="120" w:type="dxa"/>
            </w:tcMar>
          </w:tcPr>
          <w:p w14:paraId="6CF19141" w14:textId="77777777" w:rsidR="006454EB" w:rsidRDefault="00000000">
            <w:pPr>
              <w:jc w:val="center"/>
            </w:pPr>
            <w:r>
              <w:rPr>
                <w:b/>
                <w:bCs/>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59E3" w14:textId="77777777" w:rsidR="006454EB" w:rsidRDefault="00000000">
            <w:pPr>
              <w:jc w:val="center"/>
            </w:pPr>
            <w:r>
              <w:rPr>
                <w:color w:val="000000"/>
                <w:sz w:val="20"/>
                <w:szCs w:val="20"/>
              </w:rPr>
              <w:t>2</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02E6" w14:textId="77777777" w:rsidR="006454EB" w:rsidRDefault="00000000">
            <w:pPr>
              <w:jc w:val="center"/>
            </w:pPr>
            <w:r>
              <w:rPr>
                <w:color w:val="000000"/>
                <w:sz w:val="20"/>
                <w:szCs w:val="20"/>
              </w:rPr>
              <w:t>Historical</w:t>
            </w:r>
          </w:p>
        </w:tc>
      </w:tr>
      <w:tr w:rsidR="006454EB" w14:paraId="6F638715" w14:textId="77777777">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8A335C0" w14:textId="77777777" w:rsidR="006454EB" w:rsidRDefault="00000000">
            <w:r>
              <w:rPr>
                <w:b/>
                <w:bCs/>
                <w:color w:val="FFFFFF"/>
                <w:sz w:val="24"/>
                <w:szCs w:val="24"/>
              </w:rPr>
              <w:t>TOTAL SCORE</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851C924" w14:textId="77777777" w:rsidR="006454EB" w:rsidRDefault="00000000">
            <w:pPr>
              <w:jc w:val="center"/>
            </w:pPr>
            <w:r>
              <w:rPr>
                <w:b/>
                <w:bCs/>
                <w:color w:val="FFFFFF"/>
                <w:sz w:val="24"/>
                <w:szCs w:val="24"/>
              </w:rPr>
              <w:t>19</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49E1B02" w14:textId="77777777" w:rsidR="006454EB" w:rsidRDefault="00000000">
            <w:pPr>
              <w:jc w:val="center"/>
            </w:pPr>
            <w:r>
              <w:rPr>
                <w:b/>
                <w:bCs/>
                <w:color w:val="FFFFFF"/>
                <w:sz w:val="24"/>
                <w:szCs w:val="24"/>
              </w:rPr>
              <w:t>26</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07EE6A8" w14:textId="77777777" w:rsidR="006454EB" w:rsidRDefault="00000000">
            <w:pPr>
              <w:jc w:val="center"/>
            </w:pPr>
            <w:r>
              <w:rPr>
                <w:b/>
                <w:bCs/>
                <w:color w:val="FFFFFF"/>
                <w:sz w:val="24"/>
                <w:szCs w:val="24"/>
              </w:rPr>
              <w:t>73%</w:t>
            </w:r>
          </w:p>
        </w:tc>
      </w:tr>
    </w:tbl>
    <w:p w14:paraId="5842187A" w14:textId="77777777" w:rsidR="006454EB" w:rsidRDefault="00000000">
      <w:pPr>
        <w:pStyle w:val="Heading1"/>
        <w:spacing w:before="500"/>
      </w:pPr>
      <w:r>
        <w:t>ANTIFRAGILITY ASSESSMENT</w:t>
      </w:r>
    </w:p>
    <w:p w14:paraId="7AB1F73A" w14:textId="77777777" w:rsidR="006454EB" w:rsidRDefault="00000000">
      <w:pPr>
        <w:pStyle w:val="Heading2"/>
      </w:pPr>
      <w:r>
        <w:t>Key Strengths (What Makes LLY Antifragile)</w:t>
      </w:r>
    </w:p>
    <w:p w14:paraId="18667664" w14:textId="77777777" w:rsidR="006454EB" w:rsidRDefault="00000000">
      <w:pPr>
        <w:spacing w:after="80"/>
      </w:pPr>
      <w:r>
        <w:t>1. Counter-positioning creates durable competitive advantage. Tirzepatide's dual mechanism delivers superior efficacy that Novo Nordisk cannot easily replicate, allowing Lilly to capture market share even during supply constraints.</w:t>
      </w:r>
    </w:p>
    <w:p w14:paraId="2DD899CB" w14:textId="77777777" w:rsidR="006454EB" w:rsidRDefault="00000000">
      <w:pPr>
        <w:spacing w:after="80"/>
      </w:pPr>
      <w:r>
        <w:t xml:space="preserve">2. </w:t>
      </w:r>
      <w:proofErr w:type="gramStart"/>
      <w:r>
        <w:t>Optionality depth</w:t>
      </w:r>
      <w:proofErr w:type="gramEnd"/>
      <w:r>
        <w:t xml:space="preserve"> provides resilience. The 70+ molecule pipeline across 5 therapeutic areas means any single trial failure is absorbable. Alzheimer's (Kisunla), oral GLP-1 (</w:t>
      </w:r>
      <w:proofErr w:type="spellStart"/>
      <w:r>
        <w:t>orforglipron</w:t>
      </w:r>
      <w:proofErr w:type="spellEnd"/>
      <w:r>
        <w:t xml:space="preserve">), and </w:t>
      </w:r>
      <w:proofErr w:type="spellStart"/>
      <w:r>
        <w:t>retatrutide</w:t>
      </w:r>
      <w:proofErr w:type="spellEnd"/>
      <w:r>
        <w:t xml:space="preserve"> represent diversified upside.</w:t>
      </w:r>
    </w:p>
    <w:p w14:paraId="6990D4D0" w14:textId="77777777" w:rsidR="006454EB" w:rsidRDefault="00000000">
      <w:pPr>
        <w:spacing w:after="80"/>
      </w:pPr>
      <w:r>
        <w:t>3. Lilly Endowment provides unique long-term alignment. Unlike typical institutional shareholders, the philanthropic foundation enables patient capital deployment and resistance to activist pressure.</w:t>
      </w:r>
    </w:p>
    <w:p w14:paraId="7441281F" w14:textId="77777777" w:rsidR="006454EB" w:rsidRDefault="00000000">
      <w:pPr>
        <w:spacing w:after="200"/>
      </w:pPr>
      <w:r>
        <w:t>4. CEO tenure and insider ownership create aligned incentives. Dave Ricks' 30-year tenure, $731M ownership, and named "CEO of the Year" 2025 demonstrate exceptional execution capability.</w:t>
      </w:r>
    </w:p>
    <w:p w14:paraId="02AD1112" w14:textId="77777777" w:rsidR="006454EB" w:rsidRDefault="00000000">
      <w:pPr>
        <w:pStyle w:val="Heading2"/>
      </w:pPr>
      <w:r>
        <w:t>Key Risks (What Could Make LLY Fragile)</w:t>
      </w:r>
    </w:p>
    <w:p w14:paraId="447490EB" w14:textId="77777777" w:rsidR="006454EB" w:rsidRDefault="00000000">
      <w:pPr>
        <w:spacing w:after="80"/>
      </w:pPr>
      <w:r>
        <w:t>1. GLP-1 concentration (~70% of revenue growth). A safety signal, competitive breakthrough, or regulatory/pricing shock to tirzepatide would be devastating. This is the primary fragility risk.</w:t>
      </w:r>
    </w:p>
    <w:p w14:paraId="46E855C0" w14:textId="77777777" w:rsidR="006454EB" w:rsidRDefault="00000000">
      <w:pPr>
        <w:spacing w:after="80"/>
      </w:pPr>
      <w:r>
        <w:t>2. Balance sheet optimized for growth, not crisis. $42.6B debt and 178% debt-to-equity ratio means less cushion in a downturn vs. fortress balance sheet peers.</w:t>
      </w:r>
    </w:p>
    <w:p w14:paraId="5A2E7114" w14:textId="77777777" w:rsidR="006454EB" w:rsidRDefault="00000000">
      <w:pPr>
        <w:spacing w:after="200"/>
      </w:pPr>
      <w:r>
        <w:t>3. Pricing pressure intensifying. Medicare Part D negotiations, Trump administration pricing deals, and CVS formulary decisions demonstrate vulnerability to external pricing power.</w:t>
      </w:r>
    </w:p>
    <w:p w14:paraId="42B4ED4C" w14:textId="77777777" w:rsidR="006454EB" w:rsidRDefault="00000000">
      <w:pPr>
        <w:pStyle w:val="Heading2"/>
      </w:pPr>
      <w:r>
        <w:lastRenderedPageBreak/>
        <w:t>Chaos Scenario Test</w:t>
      </w:r>
    </w:p>
    <w:p w14:paraId="32005F11" w14:textId="77777777" w:rsidR="006454EB" w:rsidRDefault="00000000">
      <w:pPr>
        <w:spacing w:after="200"/>
      </w:pPr>
      <w:r>
        <w:t>If a major market disruption occurred (recession, competitive breakthrough, regulatory change), Eli Lilly would likely SURVIVE BUT NOT NECESSARILY STRENGTHEN (resilient but not antifragile). Evidence: The leveraged balance sheet provides less cushion than peers. GLP-1 concentration means a single product issue could materially impair results. However, the pipeline depth, Lilly Endowment anchor, and manufacturing scale provide recovery mechanisms. In a severe GLP-1 shock, Lilly would rely on non-incretin franchises (</w:t>
      </w:r>
      <w:proofErr w:type="spellStart"/>
      <w:r>
        <w:t>Verzenio</w:t>
      </w:r>
      <w:proofErr w:type="spellEnd"/>
      <w:r>
        <w:t xml:space="preserve">, Taltz, </w:t>
      </w:r>
      <w:proofErr w:type="spellStart"/>
      <w:r>
        <w:t>Omvoh</w:t>
      </w:r>
      <w:proofErr w:type="spellEnd"/>
      <w:r>
        <w:t>) plus accelerated pipeline development, but this would represent significant value destruction before recovery.</w:t>
      </w:r>
    </w:p>
    <w:p w14:paraId="534BDC93" w14:textId="77777777" w:rsidR="006454EB" w:rsidRDefault="00000000">
      <w:pPr>
        <w:pStyle w:val="Heading2"/>
      </w:pPr>
      <w:r>
        <w:t>Investment Conclusion</w:t>
      </w:r>
    </w:p>
    <w:p w14:paraId="2059E598" w14:textId="77777777" w:rsidR="006454EB" w:rsidRDefault="00000000">
      <w:pPr>
        <w:spacing w:after="200"/>
      </w:pPr>
      <w:r>
        <w:t xml:space="preserve">Eli Lilly scores 19/26 (73%) on the Antifragile Scoring System, placing it in the "Moderate-High" antifragility tier. The company represents an exceptional growth story with strong competitive positioning but does not exhibit the fortress-like characteristics of true </w:t>
      </w:r>
      <w:proofErr w:type="gramStart"/>
      <w:r>
        <w:t>antifragile</w:t>
      </w:r>
      <w:proofErr w:type="gramEnd"/>
      <w:r>
        <w:t xml:space="preserve"> compounders. The leveraged balance sheet and GLP-1 concentration create meaningful downside risk in severe stress scenarios. For investors: LLY is appropriate for growth-oriented portfolios seeking GLP-1 market exposure, but position sizing should reflect the concentrated thesis risk. Compared to ISRG (85% score, zero debt), LLY trades more growth for less resilience.</w:t>
      </w:r>
    </w:p>
    <w:p w14:paraId="33C9CB2A" w14:textId="77777777" w:rsidR="006454EB" w:rsidRDefault="00000000">
      <w:pPr>
        <w:pStyle w:val="Heading2"/>
      </w:pPr>
      <w:r>
        <w:t>Comparative Analysis: LLY vs ISRG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6454EB" w14:paraId="6B2F6FFE" w14:textId="77777777">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3E704" w14:textId="77777777" w:rsidR="006454EB" w:rsidRDefault="00000000">
            <w:r>
              <w:rPr>
                <w:b/>
                <w:bCs/>
                <w:color w:val="FFFFFF"/>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27FB5" w14:textId="77777777" w:rsidR="006454EB" w:rsidRDefault="00000000">
            <w:pPr>
              <w:jc w:val="center"/>
            </w:pPr>
            <w:r>
              <w:rPr>
                <w:b/>
                <w:bCs/>
                <w:color w:val="FFFFFF"/>
                <w:sz w:val="20"/>
                <w:szCs w:val="20"/>
              </w:rPr>
              <w:t>Eli Lilly (LLY)</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2A3B3D" w14:textId="77777777" w:rsidR="006454EB" w:rsidRDefault="00000000">
            <w:pPr>
              <w:jc w:val="center"/>
            </w:pPr>
            <w:r>
              <w:rPr>
                <w:b/>
                <w:bCs/>
                <w:color w:val="FFFFFF"/>
                <w:sz w:val="20"/>
                <w:szCs w:val="20"/>
              </w:rPr>
              <w:t>Intuitive (ISRG)</w:t>
            </w:r>
          </w:p>
        </w:tc>
      </w:tr>
      <w:tr w:rsidR="006454EB" w14:paraId="3C95C63D"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6580" w14:textId="77777777" w:rsidR="006454EB" w:rsidRDefault="00000000">
            <w:r>
              <w:rPr>
                <w:color w:val="000000"/>
                <w:sz w:val="20"/>
                <w:szCs w:val="20"/>
              </w:rPr>
              <w:t>Total Score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ADA7" w14:textId="77777777" w:rsidR="006454EB" w:rsidRDefault="00000000">
            <w:pPr>
              <w:jc w:val="center"/>
            </w:pPr>
            <w:r>
              <w:rPr>
                <w:color w:val="000000"/>
                <w:sz w:val="20"/>
                <w:szCs w:val="20"/>
              </w:rPr>
              <w:t>19/26 (73%)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4A473" w14:textId="77777777" w:rsidR="006454EB" w:rsidRDefault="00000000">
            <w:pPr>
              <w:jc w:val="center"/>
            </w:pPr>
            <w:r>
              <w:rPr>
                <w:color w:val="000000"/>
                <w:sz w:val="20"/>
                <w:szCs w:val="20"/>
              </w:rPr>
              <w:t>22/26 (85%)</w:t>
            </w:r>
          </w:p>
        </w:tc>
      </w:tr>
      <w:tr w:rsidR="006454EB" w14:paraId="0483B9A6"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2F2AB" w14:textId="77777777" w:rsidR="006454EB" w:rsidRDefault="00000000">
            <w:r>
              <w:rPr>
                <w:color w:val="000000"/>
                <w:sz w:val="20"/>
                <w:szCs w:val="20"/>
              </w:rPr>
              <w:t>Debt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622A" w14:textId="77777777" w:rsidR="006454EB" w:rsidRDefault="00000000">
            <w:pPr>
              <w:jc w:val="center"/>
            </w:pPr>
            <w:r>
              <w:rPr>
                <w:color w:val="000000"/>
                <w:sz w:val="20"/>
                <w:szCs w:val="20"/>
              </w:rPr>
              <w:t>$42.6B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A925" w14:textId="77777777" w:rsidR="006454EB" w:rsidRDefault="00000000">
            <w:pPr>
              <w:jc w:val="center"/>
            </w:pPr>
            <w:r>
              <w:rPr>
                <w:color w:val="000000"/>
                <w:sz w:val="20"/>
                <w:szCs w:val="20"/>
              </w:rPr>
              <w:t>$0</w:t>
            </w:r>
          </w:p>
        </w:tc>
      </w:tr>
      <w:tr w:rsidR="006454EB" w14:paraId="43D4A790"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5DA8A" w14:textId="77777777" w:rsidR="006454EB" w:rsidRDefault="00000000">
            <w:r>
              <w:rPr>
                <w:color w:val="000000"/>
                <w:sz w:val="20"/>
                <w:szCs w:val="20"/>
              </w:rPr>
              <w:t>Cash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B3AD" w14:textId="77777777" w:rsidR="006454EB" w:rsidRDefault="00000000">
            <w:pPr>
              <w:jc w:val="center"/>
            </w:pPr>
            <w:r>
              <w:rPr>
                <w:color w:val="000000"/>
                <w:sz w:val="20"/>
                <w:szCs w:val="20"/>
              </w:rPr>
              <w:t>$9.9B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E1FF" w14:textId="77777777" w:rsidR="006454EB" w:rsidRDefault="00000000">
            <w:pPr>
              <w:jc w:val="center"/>
            </w:pPr>
            <w:r>
              <w:rPr>
                <w:color w:val="000000"/>
                <w:sz w:val="20"/>
                <w:szCs w:val="20"/>
              </w:rPr>
              <w:t>$4.9B</w:t>
            </w:r>
          </w:p>
        </w:tc>
      </w:tr>
      <w:tr w:rsidR="006454EB" w14:paraId="621274BC"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146E" w14:textId="77777777" w:rsidR="006454EB" w:rsidRDefault="00000000">
            <w:r>
              <w:rPr>
                <w:color w:val="000000"/>
                <w:sz w:val="20"/>
                <w:szCs w:val="20"/>
              </w:rPr>
              <w:t>Recurring Revenue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A6FC" w14:textId="77777777" w:rsidR="006454EB" w:rsidRDefault="00000000">
            <w:pPr>
              <w:jc w:val="center"/>
            </w:pPr>
            <w:r>
              <w:rPr>
                <w:color w:val="000000"/>
                <w:sz w:val="20"/>
                <w:szCs w:val="20"/>
              </w:rPr>
              <w:t>~20% (chronic meds)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0861" w14:textId="77777777" w:rsidR="006454EB" w:rsidRDefault="00000000">
            <w:pPr>
              <w:jc w:val="center"/>
            </w:pPr>
            <w:r>
              <w:rPr>
                <w:color w:val="000000"/>
                <w:sz w:val="20"/>
                <w:szCs w:val="20"/>
              </w:rPr>
              <w:t>85%</w:t>
            </w:r>
          </w:p>
        </w:tc>
      </w:tr>
      <w:tr w:rsidR="006454EB" w14:paraId="429E7722"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481B" w14:textId="77777777" w:rsidR="006454EB" w:rsidRDefault="00000000">
            <w:r>
              <w:rPr>
                <w:color w:val="000000"/>
                <w:sz w:val="20"/>
                <w:szCs w:val="20"/>
              </w:rPr>
              <w:t>Revenue Concentration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C1EA8" w14:textId="77777777" w:rsidR="006454EB" w:rsidRDefault="00000000">
            <w:pPr>
              <w:jc w:val="center"/>
            </w:pPr>
            <w:r>
              <w:rPr>
                <w:color w:val="000000"/>
                <w:sz w:val="20"/>
                <w:szCs w:val="20"/>
              </w:rPr>
              <w:t>GLP-1 ~70% of growth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EDC4" w14:textId="77777777" w:rsidR="006454EB" w:rsidRDefault="00000000">
            <w:pPr>
              <w:jc w:val="center"/>
            </w:pPr>
            <w:r>
              <w:rPr>
                <w:color w:val="000000"/>
                <w:sz w:val="20"/>
                <w:szCs w:val="20"/>
              </w:rPr>
              <w:t>da Vinci ~90%</w:t>
            </w:r>
          </w:p>
        </w:tc>
      </w:tr>
      <w:tr w:rsidR="006454EB" w14:paraId="5D10C6BC" w14:textId="77777777">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21CD" w14:textId="77777777" w:rsidR="006454EB" w:rsidRDefault="00000000">
            <w:r>
              <w:rPr>
                <w:color w:val="000000"/>
                <w:sz w:val="20"/>
                <w:szCs w:val="20"/>
              </w:rPr>
              <w:t>Chaos Scenario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69622" w14:textId="77777777" w:rsidR="006454EB" w:rsidRDefault="00000000">
            <w:pPr>
              <w:jc w:val="center"/>
            </w:pPr>
            <w:r>
              <w:rPr>
                <w:color w:val="000000"/>
                <w:sz w:val="20"/>
                <w:szCs w:val="20"/>
              </w:rPr>
              <w:t>Resilient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55F7" w14:textId="77777777" w:rsidR="006454EB" w:rsidRDefault="00000000">
            <w:pPr>
              <w:jc w:val="center"/>
            </w:pPr>
            <w:r>
              <w:rPr>
                <w:color w:val="000000"/>
                <w:sz w:val="20"/>
                <w:szCs w:val="20"/>
              </w:rPr>
              <w:t>Antifragile</w:t>
            </w:r>
          </w:p>
        </w:tc>
      </w:tr>
    </w:tbl>
    <w:p w14:paraId="67A50A9D" w14:textId="77777777" w:rsidR="006454EB" w:rsidRDefault="00000000">
      <w:pPr>
        <w:pStyle w:val="Heading1"/>
        <w:spacing w:before="400"/>
      </w:pPr>
      <w:r>
        <w:t>DATA SOURCES</w:t>
      </w:r>
    </w:p>
    <w:p w14:paraId="41950D97" w14:textId="77777777" w:rsidR="006454EB" w:rsidRDefault="00000000">
      <w:pPr>
        <w:spacing w:after="60"/>
      </w:pPr>
      <w:r>
        <w:rPr>
          <w:color w:val="666666"/>
          <w:sz w:val="20"/>
          <w:szCs w:val="20"/>
        </w:rPr>
        <w:t>Company filings: Q3 2025 10-Q, 2024 10-K, Q4 2024 earnings release</w:t>
      </w:r>
    </w:p>
    <w:p w14:paraId="0E372A8E" w14:textId="77777777" w:rsidR="006454EB" w:rsidRDefault="00000000">
      <w:pPr>
        <w:spacing w:after="60"/>
      </w:pPr>
      <w:r>
        <w:rPr>
          <w:color w:val="666666"/>
          <w:sz w:val="20"/>
          <w:szCs w:val="20"/>
        </w:rPr>
        <w:t>Earnings: Q3 2025 earnings call (Oct 30, 2025), Q4 2024 guidance (Feb 6, 2025)</w:t>
      </w:r>
    </w:p>
    <w:p w14:paraId="7568551C" w14:textId="77777777" w:rsidR="006454EB" w:rsidRDefault="00000000">
      <w:pPr>
        <w:spacing w:after="60"/>
      </w:pPr>
      <w:r>
        <w:rPr>
          <w:color w:val="666666"/>
          <w:sz w:val="20"/>
          <w:szCs w:val="20"/>
        </w:rPr>
        <w:t>Glassdoor: Employee reviews (5,100+ reviews, accessed Feb 2026)</w:t>
      </w:r>
    </w:p>
    <w:p w14:paraId="3E9616F9" w14:textId="77777777" w:rsidR="006454EB" w:rsidRDefault="00000000">
      <w:pPr>
        <w:spacing w:after="60"/>
      </w:pPr>
      <w:r>
        <w:rPr>
          <w:color w:val="666666"/>
          <w:sz w:val="20"/>
          <w:szCs w:val="20"/>
        </w:rPr>
        <w:t xml:space="preserve">Ownership: </w:t>
      </w:r>
      <w:proofErr w:type="spellStart"/>
      <w:r>
        <w:rPr>
          <w:color w:val="666666"/>
          <w:sz w:val="20"/>
          <w:szCs w:val="20"/>
        </w:rPr>
        <w:t>WallStreetZen</w:t>
      </w:r>
      <w:proofErr w:type="spellEnd"/>
      <w:r>
        <w:rPr>
          <w:color w:val="666666"/>
          <w:sz w:val="20"/>
          <w:szCs w:val="20"/>
        </w:rPr>
        <w:t xml:space="preserve">, </w:t>
      </w:r>
      <w:proofErr w:type="spellStart"/>
      <w:r>
        <w:rPr>
          <w:color w:val="666666"/>
          <w:sz w:val="20"/>
          <w:szCs w:val="20"/>
        </w:rPr>
        <w:t>TipRanks</w:t>
      </w:r>
      <w:proofErr w:type="spellEnd"/>
      <w:r>
        <w:rPr>
          <w:color w:val="666666"/>
          <w:sz w:val="20"/>
          <w:szCs w:val="20"/>
        </w:rPr>
        <w:t xml:space="preserve">, </w:t>
      </w:r>
      <w:proofErr w:type="spellStart"/>
      <w:r>
        <w:rPr>
          <w:color w:val="666666"/>
          <w:sz w:val="20"/>
          <w:szCs w:val="20"/>
        </w:rPr>
        <w:t>GuruFocus</w:t>
      </w:r>
      <w:proofErr w:type="spellEnd"/>
      <w:r>
        <w:rPr>
          <w:color w:val="666666"/>
          <w:sz w:val="20"/>
          <w:szCs w:val="20"/>
        </w:rPr>
        <w:t xml:space="preserve"> insider data</w:t>
      </w:r>
    </w:p>
    <w:p w14:paraId="1EFC156B" w14:textId="77777777" w:rsidR="006454EB" w:rsidRDefault="00000000">
      <w:r>
        <w:rPr>
          <w:color w:val="666666"/>
          <w:sz w:val="20"/>
          <w:szCs w:val="20"/>
        </w:rPr>
        <w:t>Competitive: S&amp;P Global, Fierce Pharma, GLP-1 market share reports</w:t>
      </w:r>
    </w:p>
    <w:sectPr w:rsidR="006454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5E02"/>
    <w:multiLevelType w:val="hybridMultilevel"/>
    <w:tmpl w:val="9134245C"/>
    <w:lvl w:ilvl="0" w:tplc="5036B934">
      <w:start w:val="1"/>
      <w:numFmt w:val="bullet"/>
      <w:lvlText w:val="●"/>
      <w:lvlJc w:val="left"/>
      <w:pPr>
        <w:ind w:left="720" w:hanging="360"/>
      </w:pPr>
    </w:lvl>
    <w:lvl w:ilvl="1" w:tplc="8E12EFE4">
      <w:start w:val="1"/>
      <w:numFmt w:val="bullet"/>
      <w:lvlText w:val="○"/>
      <w:lvlJc w:val="left"/>
      <w:pPr>
        <w:ind w:left="1440" w:hanging="360"/>
      </w:pPr>
    </w:lvl>
    <w:lvl w:ilvl="2" w:tplc="85F0B70C">
      <w:start w:val="1"/>
      <w:numFmt w:val="bullet"/>
      <w:lvlText w:val="■"/>
      <w:lvlJc w:val="left"/>
      <w:pPr>
        <w:ind w:left="2160" w:hanging="360"/>
      </w:pPr>
    </w:lvl>
    <w:lvl w:ilvl="3" w:tplc="D8A6113E">
      <w:start w:val="1"/>
      <w:numFmt w:val="bullet"/>
      <w:lvlText w:val="●"/>
      <w:lvlJc w:val="left"/>
      <w:pPr>
        <w:ind w:left="2880" w:hanging="360"/>
      </w:pPr>
    </w:lvl>
    <w:lvl w:ilvl="4" w:tplc="F8965CE6">
      <w:start w:val="1"/>
      <w:numFmt w:val="bullet"/>
      <w:lvlText w:val="○"/>
      <w:lvlJc w:val="left"/>
      <w:pPr>
        <w:ind w:left="3600" w:hanging="360"/>
      </w:pPr>
    </w:lvl>
    <w:lvl w:ilvl="5" w:tplc="6E2A9F12">
      <w:start w:val="1"/>
      <w:numFmt w:val="bullet"/>
      <w:lvlText w:val="■"/>
      <w:lvlJc w:val="left"/>
      <w:pPr>
        <w:ind w:left="4320" w:hanging="360"/>
      </w:pPr>
    </w:lvl>
    <w:lvl w:ilvl="6" w:tplc="02304C40">
      <w:start w:val="1"/>
      <w:numFmt w:val="bullet"/>
      <w:lvlText w:val="●"/>
      <w:lvlJc w:val="left"/>
      <w:pPr>
        <w:ind w:left="5040" w:hanging="360"/>
      </w:pPr>
    </w:lvl>
    <w:lvl w:ilvl="7" w:tplc="825A3288">
      <w:start w:val="1"/>
      <w:numFmt w:val="bullet"/>
      <w:lvlText w:val="●"/>
      <w:lvlJc w:val="left"/>
      <w:pPr>
        <w:ind w:left="5760" w:hanging="360"/>
      </w:pPr>
    </w:lvl>
    <w:lvl w:ilvl="8" w:tplc="06DC9602">
      <w:start w:val="1"/>
      <w:numFmt w:val="bullet"/>
      <w:lvlText w:val="●"/>
      <w:lvlJc w:val="left"/>
      <w:pPr>
        <w:ind w:left="6480" w:hanging="360"/>
      </w:pPr>
    </w:lvl>
  </w:abstractNum>
  <w:num w:numId="1" w16cid:durableId="1810127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EB"/>
    <w:rsid w:val="002C177D"/>
    <w:rsid w:val="002F18A6"/>
    <w:rsid w:val="00447B10"/>
    <w:rsid w:val="004651EE"/>
    <w:rsid w:val="00586425"/>
    <w:rsid w:val="0059186E"/>
    <w:rsid w:val="005B7A32"/>
    <w:rsid w:val="006454EB"/>
    <w:rsid w:val="0067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C7C2"/>
  <w15:docId w15:val="{16550278-0ECF-4ADE-8E44-A52E16EB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6</Pages>
  <Words>1780</Words>
  <Characters>11237</Characters>
  <Application>Microsoft Office Word</Application>
  <DocSecurity>0</DocSecurity>
  <Lines>291</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4</cp:revision>
  <dcterms:created xsi:type="dcterms:W3CDTF">2026-02-05T00:36:00Z</dcterms:created>
  <dcterms:modified xsi:type="dcterms:W3CDTF">2026-02-06T02:30:00Z</dcterms:modified>
</cp:coreProperties>
</file>