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2E75B6"/>
          <w:sz w:val="28"/>
          <w:szCs w:val="28"/>
        </w:rPr>
        <w:t xml:space="preserve">SaaS ANTIFRAGILITY ASSESSMENT</w:t>
      </w:r>
    </w:p>
    <w:p>
      <w:pPr>
        <w:spacing w:after="60"/>
        <w:jc w:val="center"/>
      </w:pPr>
      <w:r>
        <w:rPr>
          <w:rFonts w:ascii="Arial" w:cs="Arial" w:eastAsia="Arial" w:hAnsi="Arial"/>
          <w:color w:val="1B3A5C"/>
          <w:sz w:val="22"/>
          <w:szCs w:val="22"/>
        </w:rPr>
        <w:t xml:space="preserve">Stoffel-Feroldi × Bustamante Integration — Stage 1 + Stage 2</w:t>
      </w:r>
    </w:p>
    <w:p>
      <w:pPr>
        <w:spacing w:after="400"/>
        <w:jc w:val="center"/>
      </w:pPr>
      <w:r>
        <w:rPr>
          <w:rFonts w:ascii="Arial" w:cs="Arial" w:eastAsia="Arial" w:hAnsi="Arial"/>
          <w:color w:val="666666"/>
          <w:sz w:val="20"/>
          <w:szCs w:val="20"/>
        </w:rPr>
        <w:t xml:space="preserve">Framework v2.0 — February 2026</w:t>
      </w:r>
    </w:p>
    <w:p>
      <w:pPr>
        <w:spacing w:after="60"/>
        <w:jc w:val="center"/>
      </w:pPr>
      <w:r>
        <w:rPr>
          <w:rFonts w:ascii="Arial" w:cs="Arial" w:eastAsia="Arial" w:hAnsi="Arial"/>
          <w:b/>
          <w:bCs/>
          <w:color w:val="1B3A5C"/>
          <w:sz w:val="48"/>
          <w:szCs w:val="48"/>
        </w:rPr>
        <w:t xml:space="preserve">RUBRIK, INC.</w:t>
      </w:r>
    </w:p>
    <w:p>
      <w:pPr>
        <w:spacing w:after="200"/>
        <w:jc w:val="center"/>
      </w:pPr>
      <w:r>
        <w:rPr>
          <w:rFonts w:ascii="Arial" w:cs="Arial" w:eastAsia="Arial" w:hAnsi="Arial"/>
          <w:color w:val="2E75B6"/>
          <w:sz w:val="28"/>
          <w:szCs w:val="28"/>
        </w:rPr>
        <w:t xml:space="preserve">NYSE: RBRK</w:t>
      </w:r>
    </w:p>
    <w:p>
      <w:pPr>
        <w:spacing w:after="600"/>
        <w:jc w:val="center"/>
      </w:pPr>
      <w:r>
        <w:rPr>
          <w:rFonts w:ascii="Arial" w:cs="Arial" w:eastAsia="Arial" w:hAnsi="Arial"/>
          <w:color w:val="666666"/>
          <w:sz w:val="22"/>
          <w:szCs w:val="22"/>
        </w:rPr>
        <w:t xml:space="preserve">March 19, 2026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2E75B6" w:sz="3"/>
              <w:left w:val="single" w:color="2E75B6" w:sz="3"/>
              <w:bottom w:val="single" w:color="2E75B6" w:sz="3"/>
              <w:right w:val="single" w:color="2E75B6" w:sz="3"/>
            </w:tcBorders>
            <w:shd w:fill="E3F2FD" w:val="clear"/>
            <w:tcMar>
              <w:top w:type="dxa" w:w="200"/>
              <w:left w:type="dxa" w:w="300"/>
              <w:bottom w:type="dxa" w:w="200"/>
              <w:right w:type="dxa" w:w="300"/>
            </w:tcMar>
          </w:tcPr>
          <w:p>
            <w:pPr>
              <w:spacing w:after="60"/>
              <w:jc w:val="center"/>
            </w:pPr>
            <w:r>
              <w:rPr>
                <w:rFonts w:ascii="Arial" w:cs="Arial" w:eastAsia="Arial" w:hAnsi="Arial"/>
                <w:color w:val="2E75B6"/>
                <w:sz w:val="20"/>
                <w:szCs w:val="20"/>
              </w:rPr>
              <w:t xml:space="preserve">FINAL CLASSIFICATION</w:t>
            </w:r>
          </w:p>
          <w:p>
            <w:pPr>
              <w:spacing w:after="60"/>
              <w:jc w:val="center"/>
            </w:pPr>
            <w:r>
              <w:rPr>
                <w:rFonts w:ascii="Arial" w:cs="Arial" w:eastAsia="Arial" w:hAnsi="Arial"/>
                <w:b/>
                <w:bCs/>
                <w:color w:val="2E75B6"/>
                <w:sz w:val="40"/>
                <w:szCs w:val="40"/>
              </w:rPr>
              <w:t xml:space="preserve">ROBUST</w:t>
            </w:r>
          </w:p>
          <w:p>
            <w:pPr>
              <w:jc w:val="center"/>
            </w:pPr>
            <w:r>
              <w:rPr>
                <w:rFonts w:ascii="Arial" w:cs="Arial" w:eastAsia="Arial" w:hAnsi="Arial"/>
                <w:color w:val="1B3A5C"/>
                <w:sz w:val="20"/>
                <w:szCs w:val="20"/>
              </w:rPr>
              <w:t xml:space="preserve">Final Composite: 6.70 / 10.0  |  MDI Pre-Screen: 3/5 Intact (HIGH Confidence)</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Market Cap</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(FY2026)</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Subscription ARR</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NRR / Growth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~$10.2B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$1.32B (+48%)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$1.46B (+34%)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&gt;120% / 82% GM</w:t>
            </w:r>
          </w:p>
        </w:tc>
      </w:tr>
    </w:tbl>
    <w:p>
      <w:r>
        <w:br w:type="page"/>
      </w:r>
    </w:p>
    <w:p>
      <w:pPr>
        <w:pStyle w:val="Heading1"/>
        <w:spacing w:after="150" w:before="300"/>
      </w:pPr>
      <w:r>
        <w:rPr>
          <w:rFonts w:ascii="Arial" w:cs="Arial" w:eastAsia="Arial" w:hAnsi="Arial"/>
        </w:rPr>
        <w:t xml:space="preserve">STAGE 1: MDI PRE-SCREEN</w:t>
      </w:r>
    </w:p>
    <w:p>
      <w:pPr>
        <w:spacing w:after="120"/>
      </w:pPr>
      <w:r>
        <w:rPr>
          <w:rFonts w:ascii="Arial" w:cs="Arial" w:eastAsia="Arial" w:hAnsi="Arial"/>
          <w:b w:val="false"/>
          <w:bCs w:val="false"/>
          <w:i w:val="false"/>
          <w:iCs w:val="false"/>
          <w:color w:val="000000"/>
          <w:sz w:val="22"/>
          <w:szCs w:val="22"/>
        </w:rPr>
        <w:t xml:space="preserve">The Bustamante 10-Moat Taxonomy applied to Rubrik’s competitive position in the data protection and cyber resilience market. Each moat is assessed as Intact, Partial, Weak, or Absent relative to LLM/AI disruption risk.</w:t>
      </w:r>
    </w:p>
    <w:p>
      <w:pPr>
        <w:pStyle w:val="Heading2"/>
        <w:spacing w:after="150" w:before="300"/>
      </w:pPr>
      <w:r>
        <w:rPr>
          <w:rFonts w:ascii="Arial" w:cs="Arial" w:eastAsia="Arial" w:hAnsi="Arial"/>
        </w:rPr>
        <w:t xml:space="preserve">10-Moat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Moat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 Workflow Embedding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Backup policies, snapshots, recovery orchestration run through Rubrik console daily. IT operations designed around the platform. But primarily infrastructure, not end-user workflow.</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 Data Model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Proprietary Atlas distributed file system creates native logical air gap. Immutable architecture spans data center, multi-cloud, and SaaS. Cannot be replicated with an LLM layer.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 Integration Depth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Deep connectors for VMware, Hyper-V, AWS, Azure, GCP, Oracle, SQL Server, SAP HANA, M365, Google Workspace, Kubernetes. Each requires specific certification. Years to build.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4. Brand / Trust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Intact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Gartner MQ leader. 2,805 customers with $100K+ ARR. “System of record of last resort” — trust is paramount when your data survival depends on the vendor.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 Scale Economics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$1.32B revenue, 82% gross margin. But competitors (Veeam, Cohesity-Veritas, Commvault) also have meaningful scale. Shared advantage, not exclusive.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6. Proprietary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Security intelligence from analyzing backup data across customer base is proprietary. But underlying data belongs to customers. Intelligence layer, not exclusive data relationships.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7. Regulatory Lock-in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HIPAA, SOX, GDPR mandate data protection. But regulations require HAVING backup, not USING Rubrik specifically. No FDA-type product certification.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8. Network Effects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Weak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Minimal cross-participant effects. More customers = marginally better threat detection, but value is primarily single-tenant. No marketplace or community dynamics.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9. Transaction Embedding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888888"/>
                <w:sz w:val="20"/>
                <w:szCs w:val="20"/>
              </w:rPr>
              <w:t xml:space="preserve">Absent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Rubrik does not process financial transactions. It is infrastructure, not a transaction layer. Mission-critical but not transaction-embedded.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10. Community / Ecosystem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Partial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MSP partner program growing. Technology alliances with AWS/Azure/Google. But not a community-driven moat with user-generated content or network dynamics.</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50" w:before="300"/>
      </w:pPr>
      <w:r>
        <w:rPr>
          <w:rFonts w:ascii="Arial" w:cs="Arial" w:eastAsia="Arial" w:hAnsi="Arial"/>
        </w:rPr>
        <w:t xml:space="preserve">Pre-Screen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MDI Score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 5 Intact Moats (Workflow, Data Model, Integration + Brand/Trust borderline)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Three-Question Score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2.5 / 3 → HIGH Confidence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Disruption Stage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Early — AI-native backup/recovery competitors have not emerged meaningfully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Horizontal Platform Threat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Medium — AWS/Azure/Google native backup improving but lacks Rubrik depth (cross-platform, air-gapped, ransomware recovery)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Critical Finding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Rubrik’s moat is infrastructure-based (proprietary file system, integration depth, mission-critical trust), not intelligence-based. LLMs cannot replicate physical data protection.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Red Flags for Stage 2</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Weak network effects (D4 vulnerability). No regulatory certification (DIP limitation). Cohesity-Veritas merger creates formidable combined competitor.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Pre-Screen Verdict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548235"/>
                <w:sz w:val="20"/>
                <w:szCs w:val="20"/>
              </w:rPr>
              <w:t xml:space="preserve">HIGH Confidence — Core moats structurally resistant to LLM disruption. Product IS the infrastructure, not an intelligence layer.</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50" w:before="300"/>
      </w:pPr>
      <w:r>
        <w:rPr>
          <w:rFonts w:ascii="Arial" w:cs="Arial" w:eastAsia="Arial" w:hAnsi="Arial"/>
        </w:rPr>
        <w:t xml:space="preserve">Three-Question Detail</w:t>
      </w:r>
    </w:p>
    <w:p>
      <w:pPr>
        <w:pStyle w:val="Heading3"/>
        <w:spacing w:after="150" w:before="300"/>
      </w:pPr>
      <w:r>
        <w:rPr>
          <w:rFonts w:ascii="Arial" w:cs="Arial" w:eastAsia="Arial" w:hAnsi="Arial"/>
        </w:rPr>
        <w:t xml:space="preserve">Q1: Can an AI/LLM replicate the core value proposition? — NO (1/1)</w:t>
      </w:r>
    </w:p>
    <w:p>
      <w:pPr>
        <w:spacing w:after="120"/>
      </w:pPr>
      <w:r>
        <w:rPr>
          <w:rFonts w:ascii="Arial" w:cs="Arial" w:eastAsia="Arial" w:hAnsi="Arial"/>
          <w:b w:val="false"/>
          <w:bCs w:val="false"/>
          <w:i w:val="false"/>
          <w:iCs w:val="false"/>
          <w:color w:val="000000"/>
          <w:sz w:val="22"/>
          <w:szCs w:val="22"/>
        </w:rPr>
        <w:t xml:space="preserve">Backup and recovery requires deep infrastructure integration, immutable storage at petabyte scale, and physical data management across hundreds of workload types. An LLM cannot back up a VMware environment, create an air-gapped immutable snapshot of an Oracle database, or orchestrate cross-cloud recovery after a ransomware attack. The core value proposition is infrastructure management, not information processing. The LLM can sit on top as a better operational interface (natural language queries against backup status), but it cannot replace the platform.</w:t>
      </w:r>
    </w:p>
    <w:p>
      <w:pPr>
        <w:pStyle w:val="Heading3"/>
        <w:spacing w:after="150" w:before="300"/>
      </w:pPr>
      <w:r>
        <w:rPr>
          <w:rFonts w:ascii="Arial" w:cs="Arial" w:eastAsia="Arial" w:hAnsi="Arial"/>
        </w:rPr>
        <w:t xml:space="preserve">Q2: Can a startup with $10M and frontier AI replicate 80% of the product? — NO (1/1)</w:t>
      </w:r>
    </w:p>
    <w:p>
      <w:pPr>
        <w:spacing w:after="120"/>
      </w:pPr>
      <w:r>
        <w:rPr>
          <w:rFonts w:ascii="Arial" w:cs="Arial" w:eastAsia="Arial" w:hAnsi="Arial"/>
          <w:b w:val="false"/>
          <w:bCs w:val="false"/>
          <w:i w:val="false"/>
          <w:iCs w:val="false"/>
          <w:color w:val="000000"/>
          <w:sz w:val="22"/>
          <w:szCs w:val="22"/>
        </w:rPr>
        <w:t xml:space="preserve">Rubrik’s Atlas file system is a proprietary distributed, immutable file system purpose-built for backup data. Building equivalent coverage across VMware, Hyper-V, AWS, Azure, GCP, Oracle, SQL Server, SAP HANA, NAS, M365, Google Workspace, and Kubernetes would require hundreds of engineering-years and enterprise certifications. The trust required for mission-critical data recovery (would a Fortune 500 trust a startup with their ransomware recovery?) creates an additional barrier that no amount of AI capability overcomes. Cohesity spent 10+ years and $1B+ in funding to build a competitive product.</w:t>
      </w:r>
    </w:p>
    <w:p>
      <w:pPr>
        <w:pStyle w:val="Heading3"/>
        <w:spacing w:after="150" w:before="300"/>
      </w:pPr>
      <w:r>
        <w:rPr>
          <w:rFonts w:ascii="Arial" w:cs="Arial" w:eastAsia="Arial" w:hAnsi="Arial"/>
        </w:rPr>
        <w:t xml:space="preserve">Q3: Has the competitive landscape materially changed in 24 months? — PARTIALLY (0.5/1)</w:t>
      </w:r>
    </w:p>
    <w:p>
      <w:pPr>
        <w:spacing w:after="120"/>
      </w:pPr>
      <w:r>
        <w:rPr>
          <w:rFonts w:ascii="Arial" w:cs="Arial" w:eastAsia="Arial" w:hAnsi="Arial"/>
          <w:b w:val="false"/>
          <w:bCs w:val="false"/>
          <w:i w:val="false"/>
          <w:iCs w:val="false"/>
          <w:color w:val="000000"/>
          <w:sz w:val="22"/>
          <w:szCs w:val="22"/>
        </w:rPr>
        <w:t xml:space="preserve">The core competitive set (Veeam, Cohesity, Commvault) has not changed, but the Cohesity-Veritas merger (closed 2024) created a combined entity with the largest data protection market share, deep enterprise relationships, and expanded product breadth. This is the most significant competitive development. AI-native backup startups have not emerged meaningfully — Gartner estimates &lt;2% of enterprises use agentic AI for autonomous backup operations in 2025, rising to 35% by 2029. The threat vector is not AI disruption but traditional competitive consolidation.</w:t>
      </w:r>
    </w:p>
    <w:p>
      <w:r>
        <w:br w:type="page"/>
      </w:r>
    </w:p>
    <w:p>
      <w:pPr>
        <w:pStyle w:val="Heading1"/>
        <w:spacing w:after="150" w:before="300"/>
      </w:pPr>
      <w:r>
        <w:rPr>
          <w:rFonts w:ascii="Arial" w:cs="Arial" w:eastAsia="Arial" w:hAnsi="Arial"/>
        </w:rPr>
        <w:t xml:space="preserve">STAGE 2: FOUR-DIMENSION SCORING</w:t>
      </w:r>
    </w:p>
    <w:p>
      <w:pPr>
        <w:spacing w:after="120"/>
      </w:pPr>
      <w:r>
        <w:rPr>
          <w:rFonts w:ascii="Arial" w:cs="Arial" w:eastAsia="Arial" w:hAnsi="Arial"/>
          <w:b/>
          <w:bCs/>
          <w:sz w:val="22"/>
          <w:szCs w:val="22"/>
        </w:rPr>
        <w:t xml:space="preserve">Stage 2 Starting Posture: </w:t>
      </w:r>
      <w:r>
        <w:rPr>
          <w:rFonts w:ascii="Arial" w:cs="Arial" w:eastAsia="Arial" w:hAnsi="Arial"/>
          <w:sz w:val="22"/>
          <w:szCs w:val="22"/>
        </w:rPr>
        <w:t xml:space="preserve">HIGH confidence from pre-screen. Approach scoring openly; look for genuine antifragility signals. The pre-screen indicates core moats are structurally resistant to LLM disruption.</w:t>
      </w:r>
    </w:p>
    <w:p>
      <w:pPr>
        <w:pStyle w:val="Heading2"/>
        <w:spacing w:after="150" w:before="300"/>
      </w:pPr>
      <w:r>
        <w:rPr>
          <w:rFonts w:ascii="Arial" w:cs="Arial" w:eastAsia="Arial" w:hAnsi="Arial"/>
        </w:rPr>
        <w:t xml:space="preserve">DIMENSION 1: LIABILITY SHIELD (15% Weight) — Score: 7/10</w:t>
      </w:r>
    </w:p>
    <w:p>
      <w:pPr>
        <w:spacing w:after="120"/>
      </w:pPr>
      <w:r>
        <w:rPr>
          <w:rFonts w:ascii="Arial" w:cs="Arial" w:eastAsia="Arial" w:hAnsi="Arial"/>
          <w:b w:val="false"/>
          <w:bCs w:val="false"/>
          <w:i w:val="false"/>
          <w:iCs w:val="false"/>
          <w:color w:val="000000"/>
          <w:sz w:val="22"/>
          <w:szCs w:val="22"/>
        </w:rPr>
        <w:t xml:space="preserve">The question: How catastrophic is failure of this software?</w:t>
      </w:r>
    </w:p>
    <w:p>
      <w:pPr>
        <w:spacing w:after="120"/>
      </w:pPr>
      <w:r>
        <w:rPr>
          <w:rFonts w:ascii="Arial" w:cs="Arial" w:eastAsia="Arial" w:hAnsi="Arial"/>
          <w:b w:val="false"/>
          <w:bCs w:val="false"/>
          <w:i w:val="false"/>
          <w:iCs w:val="false"/>
          <w:color w:val="000000"/>
          <w:sz w:val="22"/>
          <w:szCs w:val="22"/>
        </w:rPr>
        <w:t xml:space="preserve">Failure of Rubrik means inability to recover from ransomware, data loss, or infrastructure failure. The average cost of a ransomware incident is $4.5M+, and recovery failure can multiply that by 10x or more. For regulated industries: HIPAA violations (healthcare data loss) carry fines of $100K–$1.5M per incident; SOX non-compliance (financial data backup failure) can result in criminal prosecution; GDPR violations carry fines up to 4% of global revenue.</w:t>
      </w:r>
    </w:p>
    <w:p>
      <w:pPr>
        <w:spacing w:after="120"/>
      </w:pPr>
      <w:r>
        <w:rPr>
          <w:rFonts w:ascii="Arial" w:cs="Arial" w:eastAsia="Arial" w:hAnsi="Arial"/>
          <w:b w:val="false"/>
          <w:bCs w:val="false"/>
          <w:i w:val="false"/>
          <w:iCs w:val="false"/>
          <w:color w:val="000000"/>
          <w:sz w:val="22"/>
          <w:szCs w:val="22"/>
        </w:rPr>
        <w:t xml:space="preserve">However, Rubrik itself is not FDA-validated or specifically certified by a regulatory body. The liability is indirect: regulations require data protection, and Rubrik satisfies that requirement, but the regulation doesn’t name or certify Rubrik specifically. An LLM cannot replace the recovery infrastructure, but a competitor’s product could satisfy the same regulatory requirement. This prevents a score of 8–10 (which requires “FDA-validated, HIPAA-regulated” the product itself, not just the industry).</w:t>
      </w:r>
    </w:p>
    <w:p>
      <w:pPr>
        <w:spacing w:after="120"/>
      </w:pPr>
      <w:r>
        <w:rPr>
          <w:rFonts w:ascii="Arial" w:cs="Arial" w:eastAsia="Arial" w:hAnsi="Arial"/>
          <w:b/>
          <w:bCs/>
          <w:sz w:val="22"/>
          <w:szCs w:val="22"/>
        </w:rPr>
        <w:t xml:space="preserve">Pre-Screen Cross-Reference: </w:t>
      </w:r>
      <w:r>
        <w:rPr>
          <w:rFonts w:ascii="Arial" w:cs="Arial" w:eastAsia="Arial" w:hAnsi="Arial"/>
          <w:sz w:val="22"/>
          <w:szCs w:val="22"/>
        </w:rPr>
        <w:t xml:space="preserve">Moat 7 (Regulatory Lock-in) rated “Partial” — consistent with a 5–7 range.</w:t>
      </w:r>
    </w:p>
    <w:p>
      <w:pPr>
        <w:spacing w:after="120"/>
      </w:pPr>
      <w:r>
        <w:rPr>
          <w:rFonts w:ascii="Arial" w:cs="Arial" w:eastAsia="Arial" w:hAnsi="Arial"/>
          <w:b/>
          <w:bCs/>
          <w:sz w:val="22"/>
          <w:szCs w:val="22"/>
        </w:rPr>
        <w:t xml:space="preserve">D1 Score: </w:t>
      </w:r>
      <w:r>
        <w:rPr>
          <w:rFonts w:ascii="Arial" w:cs="Arial" w:eastAsia="Arial" w:hAnsi="Arial"/>
          <w:sz w:val="22"/>
          <w:szCs w:val="22"/>
        </w:rPr>
        <w:t xml:space="preserve">7 / 10</w:t>
      </w:r>
    </w:p>
    <w:p>
      <w:pPr>
        <w:pStyle w:val="Heading2"/>
        <w:spacing w:after="150" w:before="300"/>
      </w:pPr>
      <w:r>
        <w:rPr>
          <w:rFonts w:ascii="Arial" w:cs="Arial" w:eastAsia="Arial" w:hAnsi="Arial"/>
        </w:rPr>
        <w:t xml:space="preserve">DIMENSION 2: BUSINESS MODEL STRUCTURE (30% Weight) — Score: 7/10</w:t>
      </w:r>
    </w:p>
    <w:p>
      <w:pPr>
        <w:spacing w:after="120"/>
      </w:pPr>
      <w:r>
        <w:rPr>
          <w:rFonts w:ascii="Arial" w:cs="Arial" w:eastAsia="Arial" w:hAnsi="Arial"/>
          <w:b w:val="false"/>
          <w:bCs w:val="false"/>
          <w:i w:val="false"/>
          <w:iCs w:val="false"/>
          <w:color w:val="000000"/>
          <w:sz w:val="22"/>
          <w:szCs w:val="22"/>
        </w:rPr>
        <w:t xml:space="preserve">The question: Does the pricing model structurally grow or shrink as AI agents proliferate?</w:t>
      </w:r>
    </w:p>
    <w:p>
      <w:pPr>
        <w:spacing w:after="120"/>
      </w:pPr>
      <w:r>
        <w:rPr>
          <w:rFonts w:ascii="Arial" w:cs="Arial" w:eastAsia="Arial" w:hAnsi="Arial"/>
          <w:b w:val="false"/>
          <w:bCs w:val="false"/>
          <w:i w:val="false"/>
          <w:iCs w:val="false"/>
          <w:color w:val="000000"/>
          <w:sz w:val="22"/>
          <w:szCs w:val="22"/>
        </w:rPr>
        <w:t xml:space="preserve">Rubrik’s pricing is subscription-based, tied to data volume protected (terabytes/capacity), not per-seat. This is structurally favorable: AI agents do not reduce the amount of data that needs to be protected. If anything, AI proliferation increases data volume (more models, more training data, more AI-generated content, more agent activity logs) which drives higher Rubrik subscription value. The company’s recent MSP consumption-based licensing model is an additional positive signal.</w:t>
      </w:r>
    </w:p>
    <w:p>
      <w:pPr>
        <w:spacing w:after="120"/>
      </w:pPr>
      <w:r>
        <w:rPr>
          <w:rFonts w:ascii="Arial" w:cs="Arial" w:eastAsia="Arial" w:hAnsi="Arial"/>
          <w:b w:val="false"/>
          <w:bCs w:val="false"/>
          <w:i w:val="false"/>
          <w:iCs w:val="false"/>
          <w:color w:val="000000"/>
          <w:sz w:val="22"/>
          <w:szCs w:val="22"/>
        </w:rPr>
        <w:t xml:space="preserve">NRR remains above 120%, with security product adoption now contributing 45% of NRR (up from 32% YoY) — meaning expansion is increasingly driven by new security use cases layered onto the existing backup platform, not just capacity growth. This is a genuine upsell engine. New logo growth is healthy: 2,805 customers with $100K+ ARR, up 25% YoY.</w:t>
      </w:r>
    </w:p>
    <w:p>
      <w:pPr>
        <w:spacing w:after="120"/>
      </w:pPr>
      <w:r>
        <w:rPr>
          <w:rFonts w:ascii="Arial" w:cs="Arial" w:eastAsia="Arial" w:hAnsi="Arial"/>
          <w:b w:val="false"/>
          <w:bCs w:val="false"/>
          <w:i w:val="false"/>
          <w:iCs w:val="false"/>
          <w:color w:val="000000"/>
          <w:sz w:val="22"/>
          <w:szCs w:val="22"/>
        </w:rPr>
        <w:t xml:space="preserve">The score is 7 rather than 8–10 because: (a) the pricing is capacity-based subscription, not truly usage/outcome-based (each additional TB is priced, but there’s no per-transaction or per-outcome fee); (b) revenue growth is decelerating from 48% (FY2026) to ~21% guided (FY2027); (c) the competitive landscape includes well-funded alternatives (Cohesity-Veritas, Veeam) that exert pricing pressure.</w:t>
      </w:r>
    </w:p>
    <w:p>
      <w:pPr>
        <w:spacing w:after="120"/>
      </w:pPr>
      <w:r>
        <w:rPr>
          <w:rFonts w:ascii="Arial" w:cs="Arial" w:eastAsia="Arial" w:hAnsi="Arial"/>
          <w:b/>
          <w:bCs/>
          <w:sz w:val="22"/>
          <w:szCs w:val="22"/>
        </w:rPr>
        <w:t xml:space="preserve">NRR: </w:t>
      </w:r>
      <w:r>
        <w:rPr>
          <w:rFonts w:ascii="Arial" w:cs="Arial" w:eastAsia="Arial" w:hAnsi="Arial"/>
          <w:sz w:val="22"/>
          <w:szCs w:val="22"/>
        </w:rPr>
        <w:t xml:space="preserve">&gt;120% (Q4 FY2026, source: Rubrik Q4 FY2026 earnings release, March 12, 2026)</w:t>
      </w:r>
    </w:p>
    <w:p>
      <w:pPr>
        <w:spacing w:after="120"/>
      </w:pPr>
      <w:r>
        <w:rPr>
          <w:rFonts w:ascii="Arial" w:cs="Arial" w:eastAsia="Arial" w:hAnsi="Arial"/>
          <w:b/>
          <w:bCs/>
          <w:sz w:val="22"/>
          <w:szCs w:val="22"/>
        </w:rPr>
        <w:t xml:space="preserve">Competition from Pre-Screen: </w:t>
      </w:r>
      <w:r>
        <w:rPr>
          <w:rFonts w:ascii="Arial" w:cs="Arial" w:eastAsia="Arial" w:hAnsi="Arial"/>
          <w:sz w:val="22"/>
          <w:szCs w:val="22"/>
        </w:rPr>
        <w:t xml:space="preserve">4 major competitors (Veeam, Cohesity-Veritas, Commvault, Druva). No AI-native entrants at scale.</w:t>
      </w:r>
    </w:p>
    <w:p>
      <w:pPr>
        <w:spacing w:after="120"/>
      </w:pPr>
      <w:r>
        <w:rPr>
          <w:rFonts w:ascii="Arial" w:cs="Arial" w:eastAsia="Arial" w:hAnsi="Arial"/>
          <w:b/>
          <w:bCs/>
          <w:sz w:val="22"/>
          <w:szCs w:val="22"/>
        </w:rPr>
        <w:t xml:space="preserve">D2 Score: </w:t>
      </w:r>
      <w:r>
        <w:rPr>
          <w:rFonts w:ascii="Arial" w:cs="Arial" w:eastAsia="Arial" w:hAnsi="Arial"/>
          <w:sz w:val="22"/>
          <w:szCs w:val="22"/>
        </w:rPr>
        <w:t xml:space="preserve">7 / 10</w:t>
      </w:r>
    </w:p>
    <w:p>
      <w:pPr>
        <w:pStyle w:val="Heading2"/>
        <w:spacing w:after="150" w:before="300"/>
      </w:pPr>
      <w:r>
        <w:rPr>
          <w:rFonts w:ascii="Arial" w:cs="Arial" w:eastAsia="Arial" w:hAnsi="Arial"/>
        </w:rPr>
        <w:t xml:space="preserve">DIMENSION 3: PHYSICAL WORLD INTEGRATION (15% Weight) — Score: 7/10</w:t>
      </w:r>
    </w:p>
    <w:p>
      <w:pPr>
        <w:spacing w:after="120"/>
      </w:pPr>
      <w:r>
        <w:rPr>
          <w:rFonts w:ascii="Arial" w:cs="Arial" w:eastAsia="Arial" w:hAnsi="Arial"/>
          <w:b w:val="false"/>
          <w:bCs w:val="false"/>
          <w:i w:val="false"/>
          <w:iCs w:val="false"/>
          <w:color w:val="000000"/>
          <w:sz w:val="22"/>
          <w:szCs w:val="22"/>
        </w:rPr>
        <w:t xml:space="preserve">The question: Does the software sit in the transaction or in the information layer?</w:t>
      </w:r>
    </w:p>
    <w:p>
      <w:pPr>
        <w:spacing w:after="120"/>
      </w:pPr>
      <w:r>
        <w:rPr>
          <w:rFonts w:ascii="Arial" w:cs="Arial" w:eastAsia="Arial" w:hAnsi="Arial"/>
          <w:b w:val="false"/>
          <w:bCs w:val="false"/>
          <w:i w:val="false"/>
          <w:iCs w:val="false"/>
          <w:color w:val="000000"/>
          <w:sz w:val="22"/>
          <w:szCs w:val="22"/>
        </w:rPr>
        <w:t xml:space="preserve">Rubrik’s Atlas file system manages actual physical and virtual data storage. The product connects to physical servers, storage arrays, hypervisors, cloud instances, and SaaS applications. Turning off Rubrik immediately eliminates the ability to recover any protected workload from ransomware, hardware failure, or human error. For enterprise customers managing petabytes of data across hybrid cloud environments, this is as close to “turning it off halts operations” as infrastructure software gets.</w:t>
      </w:r>
    </w:p>
    <w:p>
      <w:pPr>
        <w:spacing w:after="120"/>
      </w:pPr>
      <w:r>
        <w:rPr>
          <w:rFonts w:ascii="Arial" w:cs="Arial" w:eastAsia="Arial" w:hAnsi="Arial"/>
          <w:b w:val="false"/>
          <w:bCs w:val="false"/>
          <w:i w:val="false"/>
          <w:iCs w:val="false"/>
          <w:color w:val="000000"/>
          <w:sz w:val="22"/>
          <w:szCs w:val="22"/>
        </w:rPr>
        <w:t xml:space="preserve">However, Rubrik is not processing financial transactions, controlling physical devices (IoT/OT), or embedded in money flows. It is managing data infrastructure — coordinating physical operations (backup, replication, recovery) but not being the transaction itself. This places it squarely in the 5–7 range: “software coordinates physical operations but isn’t the transaction itself.”</w:t>
      </w:r>
    </w:p>
    <w:p>
      <w:pPr>
        <w:spacing w:after="120"/>
      </w:pPr>
      <w:r>
        <w:rPr>
          <w:rFonts w:ascii="Arial" w:cs="Arial" w:eastAsia="Arial" w:hAnsi="Arial"/>
          <w:b/>
          <w:bCs/>
          <w:sz w:val="22"/>
          <w:szCs w:val="22"/>
        </w:rPr>
        <w:t xml:space="preserve">Pre-Screen Cross-Reference: </w:t>
      </w:r>
      <w:r>
        <w:rPr>
          <w:rFonts w:ascii="Arial" w:cs="Arial" w:eastAsia="Arial" w:hAnsi="Arial"/>
          <w:sz w:val="22"/>
          <w:szCs w:val="22"/>
        </w:rPr>
        <w:t xml:space="preserve">Moat 9 (Transaction Embedding) rated “Absent.” Rubrik is mission-critical infrastructure, not a transaction layer. Consistent with 5–7.</w:t>
      </w:r>
    </w:p>
    <w:p>
      <w:pPr>
        <w:spacing w:after="120"/>
      </w:pPr>
      <w:r>
        <w:rPr>
          <w:rFonts w:ascii="Arial" w:cs="Arial" w:eastAsia="Arial" w:hAnsi="Arial"/>
          <w:b/>
          <w:bCs/>
          <w:sz w:val="22"/>
          <w:szCs w:val="22"/>
        </w:rPr>
        <w:t xml:space="preserve">D3 Score: </w:t>
      </w:r>
      <w:r>
        <w:rPr>
          <w:rFonts w:ascii="Arial" w:cs="Arial" w:eastAsia="Arial" w:hAnsi="Arial"/>
          <w:sz w:val="22"/>
          <w:szCs w:val="22"/>
        </w:rPr>
        <w:t xml:space="preserve">7 / 10</w:t>
      </w:r>
    </w:p>
    <w:p>
      <w:pPr>
        <w:pStyle w:val="Heading2"/>
        <w:spacing w:after="150" w:before="300"/>
      </w:pPr>
      <w:r>
        <w:rPr>
          <w:rFonts w:ascii="Arial" w:cs="Arial" w:eastAsia="Arial" w:hAnsi="Arial"/>
        </w:rPr>
        <w:t xml:space="preserve">DIMENSION 4: NETWORK EFFECTS &amp; DATA GRAVITY (40% Weight) — Score: 5/10</w:t>
      </w:r>
    </w:p>
    <w:p>
      <w:pPr>
        <w:spacing w:after="120"/>
      </w:pPr>
      <w:r>
        <w:rPr>
          <w:rFonts w:ascii="Arial" w:cs="Arial" w:eastAsia="Arial" w:hAnsi="Arial"/>
          <w:b w:val="false"/>
          <w:bCs w:val="false"/>
          <w:i w:val="false"/>
          <w:iCs w:val="false"/>
          <w:color w:val="000000"/>
          <w:sz w:val="22"/>
          <w:szCs w:val="22"/>
        </w:rPr>
        <w:t xml:space="preserve">The question: Does the platform get harder to leave as more participants join, and does proprietary data accumulate in ways that cannot be replicated?</w:t>
      </w:r>
    </w:p>
    <w:p>
      <w:pPr>
        <w:spacing w:after="120"/>
      </w:pPr>
      <w:r>
        <w:rPr>
          <w:rFonts w:ascii="Arial" w:cs="Arial" w:eastAsia="Arial" w:hAnsi="Arial"/>
          <w:b w:val="false"/>
          <w:bCs w:val="false"/>
          <w:i w:val="false"/>
          <w:iCs w:val="false"/>
          <w:color w:val="000000"/>
          <w:sz w:val="22"/>
          <w:szCs w:val="22"/>
        </w:rPr>
        <w:t xml:space="preserve">This is the critical dimension and Rubrik’s relative weakness. There are two components:</w:t>
      </w:r>
    </w:p>
    <w:p>
      <w:pPr>
        <w:spacing w:after="120"/>
      </w:pPr>
      <w:r>
        <w:rPr>
          <w:rFonts w:ascii="Arial" w:cs="Arial" w:eastAsia="Arial" w:hAnsi="Arial"/>
          <w:b w:val="false"/>
          <w:bCs w:val="false"/>
          <w:i w:val="false"/>
          <w:iCs w:val="false"/>
          <w:color w:val="000000"/>
          <w:sz w:val="22"/>
          <w:szCs w:val="22"/>
        </w:rPr>
        <w:t xml:space="preserve">Data Gravity (Moderate): Once enterprise backup data is managed through Rubrik, migration is extremely painful. Petabytes of backup data, thousands of configured policies, retention schedules, SLA domains, and compliance configurations would need to be rebuilt. The switching cost is high in practice (6–12 months of parallel operation). However, this is workflow/interface-driven switching cost, not proprietary data lock-in. The backup data belongs to customers.</w:t>
      </w:r>
    </w:p>
    <w:p>
      <w:pPr>
        <w:spacing w:after="120"/>
      </w:pPr>
      <w:r>
        <w:rPr>
          <w:rFonts w:ascii="Arial" w:cs="Arial" w:eastAsia="Arial" w:hAnsi="Arial"/>
          <w:b w:val="false"/>
          <w:bCs w:val="false"/>
          <w:i w:val="false"/>
          <w:iCs w:val="false"/>
          <w:color w:val="000000"/>
          <w:sz w:val="22"/>
          <w:szCs w:val="22"/>
        </w:rPr>
        <w:t xml:space="preserve">Network Effects (Weak): Rubrik’s value does not meaningfully increase because more companies use Rubrik. There are no cross-participant effects (Company A’s backup doesn’t benefit from Company B’s presence). The security intelligence layer (threat detection patterns learned across the customer base) creates a weak data network effect, but this is supplementary, not core.</w:t>
      </w:r>
    </w:p>
    <w:p>
      <w:pPr>
        <w:spacing w:after="120"/>
      </w:pPr>
      <w:r>
        <w:rPr>
          <w:rFonts w:ascii="Arial" w:cs="Arial" w:eastAsia="Arial" w:hAnsi="Arial"/>
          <w:b/>
          <w:bCs/>
          <w:sz w:val="22"/>
          <w:szCs w:val="22"/>
        </w:rPr>
        <w:t xml:space="preserve">Bustamante Data Test: </w:t>
      </w:r>
      <w:r>
        <w:rPr>
          <w:rFonts w:ascii="Arial" w:cs="Arial" w:eastAsia="Arial" w:hAnsi="Arial"/>
          <w:sz w:val="22"/>
          <w:szCs w:val="22"/>
        </w:rPr>
        <w:t xml:space="preserve">Can this data be obtained, licensed, or synthesized by someone else? YES, with significant barriers (migration cost, time, operational risk). A well-funded competitor could replicate Rubrik’s capabilities within 3–5 years. Partial moat. Score: 4–6.</w:t>
      </w:r>
    </w:p>
    <w:p>
      <w:pPr>
        <w:spacing w:after="120"/>
      </w:pPr>
      <w:r>
        <w:rPr>
          <w:rFonts w:ascii="Arial" w:cs="Arial" w:eastAsia="Arial" w:hAnsi="Arial"/>
          <w:b/>
          <w:bCs/>
          <w:sz w:val="22"/>
          <w:szCs w:val="22"/>
        </w:rPr>
        <w:t xml:space="preserve">Aggregation Theory Risk: </w:t>
      </w:r>
      <w:r>
        <w:rPr>
          <w:rFonts w:ascii="Arial" w:cs="Arial" w:eastAsia="Arial" w:hAnsi="Arial"/>
          <w:sz w:val="22"/>
          <w:szCs w:val="22"/>
        </w:rPr>
        <w:t xml:space="preserve">Medium. Cloud providers (AWS Backup, Azure Backup) could become “good enough” data protection for most workloads, commoditizing the backup layer. Rubrik’s defense is cross-platform coverage and security intelligence that cloud-native tools lack. But the risk is real over a 5-year horizon.</w:t>
      </w:r>
    </w:p>
    <w:p>
      <w:pPr>
        <w:spacing w:after="120"/>
      </w:pPr>
      <w:r>
        <w:rPr>
          <w:rFonts w:ascii="Arial" w:cs="Arial" w:eastAsia="Arial" w:hAnsi="Arial"/>
          <w:b/>
          <w:bCs/>
          <w:sz w:val="22"/>
          <w:szCs w:val="22"/>
        </w:rPr>
        <w:t xml:space="preserve">D4 Score: </w:t>
      </w:r>
      <w:r>
        <w:rPr>
          <w:rFonts w:ascii="Arial" w:cs="Arial" w:eastAsia="Arial" w:hAnsi="Arial"/>
          <w:sz w:val="22"/>
          <w:szCs w:val="22"/>
        </w:rPr>
        <w:t xml:space="preserve">5 / 10</w:t>
      </w:r>
    </w:p>
    <w:p>
      <w:r>
        <w:br w:type="page"/>
      </w:r>
    </w:p>
    <w:p>
      <w:pPr>
        <w:pStyle w:val="Heading1"/>
        <w:spacing w:after="150" w:before="300"/>
      </w:pPr>
      <w:r>
        <w:rPr>
          <w:rFonts w:ascii="Arial" w:cs="Arial" w:eastAsia="Arial" w:hAnsi="Arial"/>
        </w:rPr>
        <w:t xml:space="preserve">STEP 3: RAW COMPOSITE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Weighted</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Classification Range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D1: Liability Shield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5–7 range (indirect liability)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D2: Business Model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Capacity-based, not seat-based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D3: Physical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Coordinates physical ops, not txn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D4: Network Effects &amp; Data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5/10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gravity yes, network effects 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6.20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ROBUST (5.0–7.4)</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Pre-Screen Consistency Check: </w:t>
      </w:r>
      <w:r>
        <w:rPr>
          <w:rFonts w:ascii="Arial" w:cs="Arial" w:eastAsia="Arial" w:hAnsi="Arial"/>
          <w:sz w:val="22"/>
          <w:szCs w:val="22"/>
        </w:rPr>
        <w:t xml:space="preserve">Pre-screen returned HIGH confidence. Raw composite is 6.20 (Robust). These are consistent. A HIGH-confidence pre-screen with infrastructure-based moats and weak network effects maps naturally to the upper end of Robust. No discrepancy to resolve.</w:t>
      </w:r>
    </w:p>
    <w:p>
      <w:r>
        <w:br w:type="page"/>
      </w:r>
    </w:p>
    <w:p>
      <w:pPr>
        <w:pStyle w:val="Heading1"/>
        <w:spacing w:after="150" w:before="300"/>
      </w:pPr>
      <w:r>
        <w:rPr>
          <w:rFonts w:ascii="Arial" w:cs="Arial" w:eastAsia="Arial" w:hAnsi="Arial"/>
        </w:rPr>
        <w:t xml:space="preserve">STEP 4: DATA INTEGRITY PREMIUM (DIP) MODIFIER</w:t>
      </w:r>
    </w:p>
    <w:p>
      <w:pPr>
        <w:spacing w:after="120"/>
      </w:pPr>
      <w:r>
        <w:rPr>
          <w:rFonts w:ascii="Arial" w:cs="Arial" w:eastAsia="Arial" w:hAnsi="Arial"/>
          <w:b w:val="false"/>
          <w:bCs w:val="false"/>
          <w:i w:val="false"/>
          <w:iCs w:val="false"/>
          <w:color w:val="000000"/>
          <w:sz w:val="22"/>
          <w:szCs w:val="22"/>
        </w:rPr>
        <w:t xml:space="preserve">Measures the degree to which customers cannot accept probabilistic AI outputs in place of deterministic, auditable, compliance-grade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800"/>
        <w:gridCol w:w="3060"/>
      </w:tblGrid>
      <w:tr>
        <w:tc>
          <w:tcPr>
            <w:tcW w:type="dxa" w:w="5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Regulation mandates output format/accuracy/audit trail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SOX requires immutable audit trails for financial data retention. HIPAA mandates specific backup retention periods with verifiable integrity.</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Outputs used in legally binding documents/submissions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Backup/recovery logs are evidence in compliance audits, e-discovery, and regulatory examinations.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Software has regulatory certification a new entrant needs years to get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 FDA or equivalent product-specific certification. Rubrik is a tool to satisfy compliance, not a certified product.</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Customer compliance requires immutable audit trail of every action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SOX Section 404, HIPAA Security Rule, and GDPR Article 30 require demonstrable, auditable data protection with immutable records.</w:t>
            </w:r>
          </w:p>
        </w:tc>
      </w:tr>
      <w:tr>
        <w:tc>
          <w:tcPr>
            <w:tcW w:type="dxa" w:w="5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Switching to unvalidated LLM alternative = compliance violation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Switching backup vendors requires re-validation but is not itself a violation. The regulation mandates the capability, not the vendor.</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DIP Score: </w:t>
      </w:r>
      <w:r>
        <w:rPr>
          <w:rFonts w:ascii="Arial" w:cs="Arial" w:eastAsia="Arial" w:hAnsi="Arial"/>
          <w:sz w:val="22"/>
          <w:szCs w:val="22"/>
        </w:rPr>
        <w:t xml:space="preserve">3 / 5 → +0.5 modifier</w:t>
      </w:r>
    </w:p>
    <w:p>
      <w:pPr>
        <w:spacing w:after="120"/>
      </w:pPr>
      <w:r>
        <w:rPr>
          <w:rFonts w:ascii="Arial" w:cs="Arial" w:eastAsia="Arial" w:hAnsi="Arial"/>
          <w:b/>
          <w:bCs/>
          <w:sz w:val="22"/>
          <w:szCs w:val="22"/>
        </w:rPr>
        <w:t xml:space="preserve">DIP Expiration Estimate: </w:t>
      </w:r>
      <w:r>
        <w:rPr>
          <w:rFonts w:ascii="Arial" w:cs="Arial" w:eastAsia="Arial" w:hAnsi="Arial"/>
          <w:sz w:val="22"/>
          <w:szCs w:val="22"/>
        </w:rPr>
        <w:t xml:space="preserve">7–10+ years. Compliance requirements for immutable, auditable data protection are regulatory in nature and not amenable to AI disruption. SOX/HIPAA/GDPR are expanding, not contracting. AI may change HOW backup is orchestrated but not THAT it must be deterministic and auditable.</w:t>
      </w:r>
    </w:p>
    <w:p>
      <w:pPr>
        <w:spacing w:after="120"/>
      </w:pPr>
      <w:r>
        <w:rPr>
          <w:rFonts w:ascii="Arial" w:cs="Arial" w:eastAsia="Arial" w:hAnsi="Arial"/>
          <w:b/>
          <w:bCs/>
          <w:sz w:val="22"/>
          <w:szCs w:val="22"/>
        </w:rPr>
        <w:t xml:space="preserve">DIP Guardrail: </w:t>
      </w:r>
      <w:r>
        <w:rPr>
          <w:rFonts w:ascii="Arial" w:cs="Arial" w:eastAsia="Arial" w:hAnsi="Arial"/>
          <w:sz w:val="22"/>
          <w:szCs w:val="22"/>
        </w:rPr>
        <w:t xml:space="preserve">DIP modifier does not change the classification (6.20 → 6.70, both Robust). New logo growth healthy (25% YoY in $100K+ accounts). DIP is based on industry regulation, not product certification — noted as limitation.</w:t>
      </w:r>
    </w:p>
    <w:p>
      <w:r>
        <w:br w:type="page"/>
      </w:r>
    </w:p>
    <w:p>
      <w:pPr>
        <w:pStyle w:val="Heading1"/>
        <w:spacing w:after="150" w:before="300"/>
      </w:pPr>
      <w:r>
        <w:rPr>
          <w:rFonts w:ascii="Arial" w:cs="Arial" w:eastAsia="Arial" w:hAnsi="Arial"/>
        </w:rPr>
        <w:t xml:space="preserve">STEP 5: COUNTER-POSITIONING POTENTIAL (CPP) MODIFIER</w:t>
      </w:r>
    </w:p>
    <w:p>
      <w:pPr>
        <w:spacing w:after="120"/>
      </w:pPr>
      <w:r>
        <w:rPr>
          <w:rFonts w:ascii="Arial" w:cs="Arial" w:eastAsia="Arial" w:hAnsi="Arial"/>
          <w:b w:val="false"/>
          <w:bCs w:val="false"/>
          <w:i w:val="false"/>
          <w:iCs w:val="false"/>
          <w:color w:val="000000"/>
          <w:sz w:val="22"/>
          <w:szCs w:val="22"/>
        </w:rPr>
        <w:t xml:space="preserve">Measures whether management is willing and able to cannibalize existing revenue with AI-native, consumption-priced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800"/>
        <w:gridCol w:w="4060"/>
      </w:tblGrid>
      <w:tr>
        <w:tc>
          <w:tcPr>
            <w:tcW w:type="dxa" w:w="4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Criterion</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Standalone AI-native product with consumption pricing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Rubrik Agent Cloud exists (GA after beta). Governs AI agents, not backup. Not consumption-priced. Score 1 (exists but limited scope).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Management committed to cannibalizing seat revenue (direct quote)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Sinha: Agent Cloud is “completely separate product suite.” No cannibalization intent. This is additive, not substitutive.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AI revenue growing faster than core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Agent Cloud ARR not separately disclosed. Multiple POCs with Fortune 500 but no verifiable revenue figures.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Lower-priced AI entry point for SMBs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MSP consumption-based licensing launched 2026. Lower barrier to entry for managed service providers.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Sales comp aligned to consumption metrics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verified in proxy or earnings commentary.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 Company deploying AI internally with leverage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C00000"/>
                <w:sz w:val="20"/>
                <w:szCs w:val="20"/>
              </w:rPr>
              <w:t xml:space="preserve">0/2</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Acquired Predibase (AI/LLM startup) mid-2025. Signal of intent, not documented operational leverage yet.</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CPP Score: </w:t>
      </w:r>
      <w:r>
        <w:rPr>
          <w:rFonts w:ascii="Arial" w:cs="Arial" w:eastAsia="Arial" w:hAnsi="Arial"/>
          <w:sz w:val="22"/>
          <w:szCs w:val="22"/>
        </w:rPr>
        <w:t xml:space="preserve">2 / 12 → +0.0 modifier</w:t>
      </w:r>
    </w:p>
    <w:p>
      <w:pPr>
        <w:spacing w:after="120"/>
      </w:pPr>
      <w:r>
        <w:rPr>
          <w:rFonts w:ascii="Arial" w:cs="Arial" w:eastAsia="Arial" w:hAnsi="Arial"/>
          <w:b w:val="false"/>
          <w:bCs w:val="false"/>
          <w:i/>
          <w:iCs/>
          <w:color w:val="000000"/>
          <w:sz w:val="22"/>
          <w:szCs w:val="22"/>
        </w:rPr>
        <w:t xml:space="preserve">The low CPP is not a negative signal for Rubrik specifically. The company’s moat is infrastructure-based, not intelligence-based. The CPP framework measures willingness to cannibalize seat revenue with AI alternatives — Rubrik doesn’t have seat-based pricing to cannibalize. The low CPP reflects a framework limitation when applied to infrastructure companies, not a strategic deficiency.</w:t>
      </w:r>
    </w:p>
    <w:p>
      <w:r>
        <w:br w:type="page"/>
      </w:r>
    </w:p>
    <w:p>
      <w:pPr>
        <w:pStyle w:val="Heading1"/>
        <w:spacing w:after="150" w:before="300"/>
      </w:pPr>
      <w:r>
        <w:rPr>
          <w:rFonts w:ascii="Arial" w:cs="Arial" w:eastAsia="Arial" w:hAnsi="Arial"/>
        </w:rPr>
        <w:t xml:space="preserve">STEP 6: FINAL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DIP Modifier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+0.50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CPP Modifier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w:t>
            </w:r>
          </w:p>
        </w:tc>
      </w:tr>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FINAL COMPOSITE</w:t>
            </w:r>
          </w:p>
        </w:tc>
        <w:tc>
          <w:tcPr>
            <w:tcW w:type="dxa" w:w="468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6.70 — ROBUST</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DIP/CPP Profile: </w:t>
      </w:r>
      <w:r>
        <w:rPr>
          <w:rFonts w:ascii="Arial" w:cs="Arial" w:eastAsia="Arial" w:hAnsi="Arial"/>
          <w:sz w:val="22"/>
          <w:szCs w:val="22"/>
        </w:rPr>
        <w:t xml:space="preserve">Low DIP (3/5) + Low CPP (2/12)</w:t>
      </w:r>
    </w:p>
    <w:p>
      <w:pPr>
        <w:spacing w:after="120"/>
      </w:pPr>
      <w:r>
        <w:rPr>
          <w:rFonts w:ascii="Arial" w:cs="Arial" w:eastAsia="Arial" w:hAnsi="Arial"/>
          <w:b/>
          <w:bCs/>
          <w:i/>
          <w:iCs/>
          <w:color w:val="000000"/>
          <w:sz w:val="22"/>
          <w:szCs w:val="22"/>
        </w:rPr>
        <w:t xml:space="preserve">Framework matrix says: “Avoid regardless of multiple. Do not rationalize.” However, this profile mapping has a structural blind spot for infrastructure companies whose moat is physical/complexity-based rather than regulatory (DIP) or AI-strategy (CPP). Rubrik’s defense against disruption comes from its proprietary file system, integration depth, and mission-critical trust — none of which the DIP/CPP modifiers capture. The raw composite of 6.20 is the more reliable signal for this company type.</w:t>
      </w:r>
    </w:p>
    <w:p>
      <w:r>
        <w:br w:type="page"/>
      </w:r>
    </w:p>
    <w:p>
      <w:pPr>
        <w:pStyle w:val="Heading1"/>
        <w:spacing w:after="150" w:before="300"/>
      </w:pPr>
      <w:r>
        <w:rPr>
          <w:rFonts w:ascii="Arial" w:cs="Arial" w:eastAsia="Arial" w:hAnsi="Arial"/>
        </w:rPr>
        <w:t xml:space="preserve">STEP 7: AI DISRUPTION SCENARIO MODELING</w:t>
      </w:r>
    </w:p>
    <w:p>
      <w:pPr>
        <w:pStyle w:val="Heading2"/>
        <w:spacing w:after="150" w:before="300"/>
      </w:pPr>
      <w:r>
        <w:rPr>
          <w:rFonts w:ascii="Arial" w:cs="Arial" w:eastAsia="Arial" w:hAnsi="Arial"/>
        </w:rPr>
        <w:t xml:space="preserve">Bull Case (AI Tailwind) — 40% probability</w:t>
      </w:r>
    </w:p>
    <w:p>
      <w:pPr>
        <w:spacing w:after="120"/>
      </w:pPr>
      <w:r>
        <w:rPr>
          <w:rFonts w:ascii="Arial" w:cs="Arial" w:eastAsia="Arial" w:hAnsi="Arial"/>
          <w:b w:val="false"/>
          <w:bCs w:val="false"/>
          <w:i w:val="false"/>
          <w:iCs w:val="false"/>
          <w:color w:val="000000"/>
          <w:sz w:val="22"/>
          <w:szCs w:val="22"/>
        </w:rPr>
        <w:t xml:space="preserve">Specific mechanism: AI proliferation drives exponential data growth (training datasets, model weights, agent activity logs, synthetic data). Every AI agent operating in an enterprise generates data that must be protected, backed up, and made recoverable. Rubrik Agent Cloud matures into a meaningful product line as enterprises need to discover, govern, and roll back AI agents acting on production data. Security product adoption (currently 45% of NRR) accelerates as AI increases attack surface and ransomware sophistication. Revenue sustains 25–30% growth through FY2028, operating margins expand to 20%+, and Rubrik earns a premium multiple as the “cyber resilience platform for the AI era.”</w:t>
      </w:r>
    </w:p>
    <w:p>
      <w:pPr>
        <w:spacing w:after="120"/>
      </w:pPr>
      <w:r>
        <w:rPr>
          <w:rFonts w:ascii="Arial" w:cs="Arial" w:eastAsia="Arial" w:hAnsi="Arial"/>
          <w:b/>
          <w:bCs/>
          <w:sz w:val="22"/>
          <w:szCs w:val="22"/>
        </w:rPr>
        <w:t xml:space="preserve">What has to be true: </w:t>
      </w:r>
      <w:r>
        <w:rPr>
          <w:rFonts w:ascii="Arial" w:cs="Arial" w:eastAsia="Arial" w:hAnsi="Arial"/>
          <w:sz w:val="22"/>
          <w:szCs w:val="22"/>
        </w:rPr>
        <w:t xml:space="preserve">Agent Cloud achieves $100M+ ARR within 2 years. AI data protection becomes a distinct budget category for CIOs. Cohesity-Veritas integration stumbles, preserving Rubrik’s share gains.</w:t>
      </w:r>
    </w:p>
    <w:p>
      <w:pPr>
        <w:pStyle w:val="Heading2"/>
        <w:spacing w:after="150" w:before="300"/>
      </w:pPr>
      <w:r>
        <w:rPr>
          <w:rFonts w:ascii="Arial" w:cs="Arial" w:eastAsia="Arial" w:hAnsi="Arial"/>
        </w:rPr>
        <w:t xml:space="preserve">Base Case (Managed Transition) — 45% probability</w:t>
      </w:r>
    </w:p>
    <w:p>
      <w:pPr>
        <w:spacing w:after="120"/>
      </w:pPr>
      <w:r>
        <w:rPr>
          <w:rFonts w:ascii="Arial" w:cs="Arial" w:eastAsia="Arial" w:hAnsi="Arial"/>
          <w:b w:val="false"/>
          <w:bCs w:val="false"/>
          <w:i w:val="false"/>
          <w:iCs w:val="false"/>
          <w:color w:val="000000"/>
          <w:sz w:val="22"/>
          <w:szCs w:val="22"/>
        </w:rPr>
        <w:t xml:space="preserve">Revenue growth decelerates to 20–25% as guided (FY2027). Security upsell remains healthy but NRR moderates to 110–115% over 3 years. Agent Cloud contributes modest revenue ($20–50M ARR). Competition from Cohesity-Veritas intensifies, resulting in some pricing pressure on new deals but stable retention of existing customers. Company reaches non-GAAP profitability, FCF margin expands to 15–20%. Multiple compresses from current levels to 6–8x NTM revenue.</w:t>
      </w:r>
    </w:p>
    <w:p>
      <w:pPr>
        <w:spacing w:after="120"/>
      </w:pPr>
      <w:r>
        <w:rPr>
          <w:rFonts w:ascii="Arial" w:cs="Arial" w:eastAsia="Arial" w:hAnsi="Arial"/>
          <w:b/>
          <w:bCs/>
          <w:sz w:val="22"/>
          <w:szCs w:val="22"/>
        </w:rPr>
        <w:t xml:space="preserve">Key milestones: </w:t>
      </w:r>
      <w:r>
        <w:rPr>
          <w:rFonts w:ascii="Arial" w:cs="Arial" w:eastAsia="Arial" w:hAnsi="Arial"/>
          <w:sz w:val="22"/>
          <w:szCs w:val="22"/>
        </w:rPr>
        <w:t xml:space="preserve">Maintain NRR above 110%. Security product mix exceeds 50% of NRR. Non-GAAP operating income positive by FY2028.</w:t>
      </w:r>
    </w:p>
    <w:p>
      <w:pPr>
        <w:pStyle w:val="Heading2"/>
        <w:spacing w:after="150" w:before="300"/>
      </w:pPr>
      <w:r>
        <w:rPr>
          <w:rFonts w:ascii="Arial" w:cs="Arial" w:eastAsia="Arial" w:hAnsi="Arial"/>
        </w:rPr>
        <w:t xml:space="preserve">Bear Case (Displacement) — 15% probability</w:t>
      </w:r>
    </w:p>
    <w:p>
      <w:pPr>
        <w:spacing w:after="120"/>
      </w:pPr>
      <w:r>
        <w:rPr>
          <w:rFonts w:ascii="Arial" w:cs="Arial" w:eastAsia="Arial" w:hAnsi="Arial"/>
          <w:b w:val="false"/>
          <w:bCs w:val="false"/>
          <w:i w:val="false"/>
          <w:iCs w:val="false"/>
          <w:color w:val="000000"/>
          <w:sz w:val="22"/>
          <w:szCs w:val="22"/>
        </w:rPr>
        <w:t xml:space="preserve">Cloud providers (AWS Backup, Azure Site Recovery, Google Backup) expand native capabilities to “good enough” for most enterprise workloads. Cohesity-Veritas leverages combined scale to compete aggressively on price and feature parity. Revenue growth decelerates to 10–15%. NRR falls below 110%. Gross margins compress as Rubrik discounts to retain customers. Multiple compresses to 4–5x.</w:t>
      </w:r>
    </w:p>
    <w:p>
      <w:pPr>
        <w:spacing w:after="120"/>
      </w:pPr>
      <w:r>
        <w:rPr>
          <w:rFonts w:ascii="Arial" w:cs="Arial" w:eastAsia="Arial" w:hAnsi="Arial"/>
          <w:b/>
          <w:bCs/>
          <w:sz w:val="22"/>
          <w:szCs w:val="22"/>
        </w:rPr>
        <w:t xml:space="preserve">Displacement mechanism: </w:t>
      </w:r>
      <w:r>
        <w:rPr>
          <w:rFonts w:ascii="Arial" w:cs="Arial" w:eastAsia="Arial" w:hAnsi="Arial"/>
          <w:sz w:val="22"/>
          <w:szCs w:val="22"/>
        </w:rPr>
        <w:t xml:space="preserve">Not AI disruption but traditional competitive erosion from cloud-native bundling + mega-competitor consolidation.</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Bustamante Timing Overlay: </w:t>
      </w:r>
      <w:r>
        <w:rPr>
          <w:rFonts w:ascii="Arial" w:cs="Arial" w:eastAsia="Arial" w:hAnsi="Arial"/>
          <w:sz w:val="22"/>
          <w:szCs w:val="22"/>
        </w:rPr>
        <w:t xml:space="preserve">Current disruption timeline position: Year 0–1 of AI-native competition. The AI threat to backup/recovery is theoretical, not operational. No AI-native backup startup has emerged with meaningful traction. Bear case mechanism is primarily: multiple compression from traditional competitive dynamics, not AI displacement.</w:t>
      </w:r>
    </w:p>
    <w:p>
      <w:r>
        <w:br w:type="page"/>
      </w:r>
    </w:p>
    <w:p>
      <w:pPr>
        <w:pStyle w:val="Heading1"/>
        <w:spacing w:after="150" w:before="300"/>
      </w:pPr>
      <w:r>
        <w:rPr>
          <w:rFonts w:ascii="Arial" w:cs="Arial" w:eastAsia="Arial" w:hAnsi="Arial"/>
        </w:rPr>
        <w:t xml:space="preserve">STEP 8: VALUATION GATE</w:t>
      </w:r>
    </w:p>
    <w:p>
      <w:pPr>
        <w:pStyle w:val="Heading2"/>
        <w:spacing w:after="150" w:before="300"/>
      </w:pPr>
      <w:r>
        <w:rPr>
          <w:rFonts w:ascii="Arial" w:cs="Arial" w:eastAsia="Arial" w:hAnsi="Arial"/>
        </w:rPr>
        <w:t xml:space="preserve">8A. Current Valuation</w:t>
      </w:r>
    </w:p>
    <w:p>
      <w:pPr>
        <w:spacing w:after="120"/>
      </w:pPr>
      <w:r>
        <w:rPr>
          <w:rFonts w:ascii="Arial" w:cs="Arial" w:eastAsia="Arial" w:hAnsi="Arial"/>
          <w:b/>
          <w:bCs/>
          <w:sz w:val="22"/>
          <w:szCs w:val="22"/>
        </w:rPr>
        <w:t xml:space="preserve">Enterprise Value: </w:t>
      </w:r>
      <w:r>
        <w:rPr>
          <w:rFonts w:ascii="Arial" w:cs="Arial" w:eastAsia="Arial" w:hAnsi="Arial"/>
          <w:sz w:val="22"/>
          <w:szCs w:val="22"/>
        </w:rPr>
        <w:t xml:space="preserve">~$10.15B (market cap ~$10.2B, cash $1.68B, convertible debt $1.1B)</w:t>
      </w:r>
    </w:p>
    <w:p>
      <w:pPr>
        <w:spacing w:after="120"/>
      </w:pPr>
      <w:r>
        <w:rPr>
          <w:rFonts w:ascii="Arial" w:cs="Arial" w:eastAsia="Arial" w:hAnsi="Arial"/>
          <w:b/>
          <w:bCs/>
          <w:sz w:val="22"/>
          <w:szCs w:val="22"/>
        </w:rPr>
        <w:t xml:space="preserve">NTM Revenue (FY2027 guidance midpoint): </w:t>
      </w:r>
      <w:r>
        <w:rPr>
          <w:rFonts w:ascii="Arial" w:cs="Arial" w:eastAsia="Arial" w:hAnsi="Arial"/>
          <w:sz w:val="22"/>
          <w:szCs w:val="22"/>
        </w:rPr>
        <w:t xml:space="preserve">$1.60B</w:t>
      </w:r>
    </w:p>
    <w:p>
      <w:pPr>
        <w:spacing w:after="120"/>
      </w:pPr>
      <w:r>
        <w:rPr>
          <w:rFonts w:ascii="Arial" w:cs="Arial" w:eastAsia="Arial" w:hAnsi="Arial"/>
          <w:b/>
          <w:bCs/>
          <w:sz w:val="22"/>
          <w:szCs w:val="22"/>
        </w:rPr>
        <w:t xml:space="preserve">Current NTM EV/Revenue: </w:t>
      </w:r>
      <w:r>
        <w:rPr>
          <w:rFonts w:ascii="Arial" w:cs="Arial" w:eastAsia="Arial" w:hAnsi="Arial"/>
          <w:sz w:val="22"/>
          <w:szCs w:val="22"/>
        </w:rPr>
        <w:t xml:space="preserve">~6.3x</w:t>
      </w:r>
    </w:p>
    <w:p>
      <w:pPr>
        <w:pStyle w:val="Heading2"/>
        <w:spacing w:after="150" w:before="300"/>
      </w:pPr>
      <w:r>
        <w:rPr>
          <w:rFonts w:ascii="Arial" w:cs="Arial" w:eastAsia="Arial" w:hAnsi="Arial"/>
        </w:rPr>
        <w:t xml:space="preserve">8B. Implied Growth Check</w:t>
      </w:r>
    </w:p>
    <w:p>
      <w:pPr>
        <w:spacing w:after="120"/>
      </w:pPr>
      <w:r>
        <w:rPr>
          <w:rFonts w:ascii="Arial" w:cs="Arial" w:eastAsia="Arial" w:hAnsi="Arial"/>
          <w:b w:val="false"/>
          <w:bCs w:val="false"/>
          <w:i w:val="false"/>
          <w:iCs w:val="false"/>
          <w:color w:val="000000"/>
          <w:sz w:val="22"/>
          <w:szCs w:val="22"/>
        </w:rPr>
        <w:t xml:space="preserve">At the current EV of $10.15B, assuming a 5x terminal EV/Revenue multiple in year 10, the implied 10-year revenue CAGR required is approximately 12–15%.</w:t>
      </w:r>
    </w:p>
    <w:p>
      <w:pPr>
        <w:spacing w:after="120"/>
      </w:pPr>
      <w:r>
        <w:rPr>
          <w:rFonts w:ascii="Arial" w:cs="Arial" w:eastAsia="Arial" w:hAnsi="Arial"/>
          <w:b/>
          <w:bCs/>
          <w:sz w:val="22"/>
          <w:szCs w:val="22"/>
        </w:rPr>
        <w:t xml:space="preserve">Current growth rate: </w:t>
      </w:r>
      <w:r>
        <w:rPr>
          <w:rFonts w:ascii="Arial" w:cs="Arial" w:eastAsia="Arial" w:hAnsi="Arial"/>
          <w:sz w:val="22"/>
          <w:szCs w:val="22"/>
        </w:rPr>
        <w:t xml:space="preserve">21% guided (FY2027), decelerating from 48% (FY2026)</w:t>
      </w:r>
    </w:p>
    <w:p>
      <w:pPr>
        <w:spacing w:after="120"/>
      </w:pPr>
      <w:r>
        <w:rPr>
          <w:rFonts w:ascii="Arial" w:cs="Arial" w:eastAsia="Arial" w:hAnsi="Arial"/>
          <w:b/>
          <w:bCs/>
          <w:sz w:val="22"/>
          <w:szCs w:val="22"/>
        </w:rPr>
        <w:t xml:space="preserve">Is implied CAGR achievable? </w:t>
      </w:r>
      <w:r>
        <w:rPr>
          <w:rFonts w:ascii="Arial" w:cs="Arial" w:eastAsia="Arial" w:hAnsi="Arial"/>
          <w:sz w:val="22"/>
          <w:szCs w:val="22"/>
        </w:rPr>
        <w:t xml:space="preserve">Yes. Even with deceleration to 15–20% growth, the implied CAGR is achievable given the secular tailwind of ransomware/cyber resilience spending and the company’s current trajectory.</w:t>
      </w:r>
    </w:p>
    <w:p>
      <w:pPr>
        <w:pStyle w:val="Heading2"/>
        <w:spacing w:after="150" w:before="300"/>
      </w:pPr>
      <w:r>
        <w:rPr>
          <w:rFonts w:ascii="Arial" w:cs="Arial" w:eastAsia="Arial" w:hAnsi="Arial"/>
        </w:rPr>
        <w:t xml:space="preserve">8C. Margin-of-Safety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Acceptable Entry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Multiple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ROBUST (5.0–7.4)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Up to 8x NTM revenue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~6.3x NTM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 PASS</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Valuation Gate: </w:t>
      </w:r>
      <w:r>
        <w:rPr>
          <w:rFonts w:ascii="Arial" w:cs="Arial" w:eastAsia="Arial" w:hAnsi="Arial"/>
          <w:sz w:val="22"/>
          <w:szCs w:val="22"/>
        </w:rPr>
        <w:t xml:space="preserve">PASS. At 6.3x NTM EV/Revenue, Rubrik is trading below the 8x acceptable entry threshold for a Robust classification. The stock has pulled back from $70+ highs to ~$51, creating a more attractive entry point.</w:t>
      </w:r>
    </w:p>
    <w:p>
      <w:pPr>
        <w:pStyle w:val="Heading2"/>
        <w:spacing w:after="150" w:before="300"/>
      </w:pPr>
      <w:r>
        <w:rPr>
          <w:rFonts w:ascii="Arial" w:cs="Arial" w:eastAsia="Arial" w:hAnsi="Arial"/>
        </w:rPr>
        <w:t xml:space="preserve">8D. Historical Multiple Context</w:t>
      </w:r>
    </w:p>
    <w:p>
      <w:pPr>
        <w:spacing w:after="120"/>
      </w:pPr>
      <w:r>
        <w:rPr>
          <w:rFonts w:ascii="Arial" w:cs="Arial" w:eastAsia="Arial" w:hAnsi="Arial"/>
          <w:b/>
          <w:bCs/>
          <w:sz w:val="22"/>
          <w:szCs w:val="22"/>
        </w:rPr>
        <w:t xml:space="preserve">IPO (April 2024): </w:t>
      </w:r>
      <w:r>
        <w:rPr>
          <w:rFonts w:ascii="Arial" w:cs="Arial" w:eastAsia="Arial" w:hAnsi="Arial"/>
          <w:sz w:val="22"/>
          <w:szCs w:val="22"/>
        </w:rPr>
        <w:t xml:space="preserve">~$5.6B market cap at ~32x NTM EV/Revenue</w:t>
      </w:r>
    </w:p>
    <w:p>
      <w:pPr>
        <w:spacing w:after="120"/>
      </w:pPr>
      <w:r>
        <w:rPr>
          <w:rFonts w:ascii="Arial" w:cs="Arial" w:eastAsia="Arial" w:hAnsi="Arial"/>
          <w:b/>
          <w:bCs/>
          <w:sz w:val="22"/>
          <w:szCs w:val="22"/>
        </w:rPr>
        <w:t xml:space="preserve">Peak (late 2024): </w:t>
      </w:r>
      <w:r>
        <w:rPr>
          <w:rFonts w:ascii="Arial" w:cs="Arial" w:eastAsia="Arial" w:hAnsi="Arial"/>
          <w:sz w:val="22"/>
          <w:szCs w:val="22"/>
        </w:rPr>
        <w:t xml:space="preserve">~$16B+ market cap at ~15x+ NTM EV/Revenue</w:t>
      </w:r>
    </w:p>
    <w:p>
      <w:pPr>
        <w:spacing w:after="120"/>
      </w:pPr>
      <w:r>
        <w:rPr>
          <w:rFonts w:ascii="Arial" w:cs="Arial" w:eastAsia="Arial" w:hAnsi="Arial"/>
          <w:b/>
          <w:bCs/>
          <w:sz w:val="22"/>
          <w:szCs w:val="22"/>
        </w:rPr>
        <w:t xml:space="preserve">Current: </w:t>
      </w:r>
      <w:r>
        <w:rPr>
          <w:rFonts w:ascii="Arial" w:cs="Arial" w:eastAsia="Arial" w:hAnsi="Arial"/>
          <w:sz w:val="22"/>
          <w:szCs w:val="22"/>
        </w:rPr>
        <w:t xml:space="preserve">~$10.2B market cap at ~6.3x NTM EV/Revenue</w:t>
      </w:r>
    </w:p>
    <w:p>
      <w:pPr>
        <w:spacing w:after="120"/>
      </w:pPr>
      <w:r>
        <w:rPr>
          <w:rFonts w:ascii="Arial" w:cs="Arial" w:eastAsia="Arial" w:hAnsi="Arial"/>
          <w:b w:val="false"/>
          <w:bCs w:val="false"/>
          <w:i w:val="false"/>
          <w:iCs w:val="false"/>
          <w:color w:val="000000"/>
          <w:sz w:val="22"/>
          <w:szCs w:val="22"/>
        </w:rPr>
        <w:t xml:space="preserve">The stock has derated significantly from post-IPO and peak levels. The current multiple represents a ~60% discount to peak levels. Given that revenue growth has accelerated (not decelerated) during this period, the de-rating appears driven by sector-wide multiple compression and profit-taking rather than fundamental deterioration. This suggests a potential margin-of-safety entry, not a value trap.</w:t>
      </w:r>
    </w:p>
    <w:p>
      <w:r>
        <w:br w:type="page"/>
      </w:r>
    </w:p>
    <w:p>
      <w:pPr>
        <w:pStyle w:val="Heading1"/>
        <w:spacing w:after="150" w:before="300"/>
      </w:pPr>
      <w:r>
        <w:rPr>
          <w:rFonts w:ascii="Arial" w:cs="Arial" w:eastAsia="Arial" w:hAnsi="Arial"/>
        </w:rPr>
        <w:t xml:space="preserve">STEP 9: FINAL VERDICT</w:t>
      </w:r>
    </w:p>
    <w:p>
      <w:pPr>
        <w:spacing w:after="120"/>
      </w:pPr>
      <w:r>
        <w:rPr>
          <w:rFonts w:ascii="Arial" w:cs="Arial" w:eastAsia="Arial" w:hAnsi="Arial"/>
          <w:b/>
          <w:bCs/>
          <w:sz w:val="22"/>
          <w:szCs w:val="22"/>
        </w:rPr>
        <w:t xml:space="preserve">Company: </w:t>
      </w:r>
      <w:r>
        <w:rPr>
          <w:rFonts w:ascii="Arial" w:cs="Arial" w:eastAsia="Arial" w:hAnsi="Arial"/>
          <w:sz w:val="22"/>
          <w:szCs w:val="22"/>
        </w:rPr>
        <w:t xml:space="preserve">Rubrik, Inc.</w:t>
      </w:r>
    </w:p>
    <w:p>
      <w:pPr>
        <w:spacing w:after="120"/>
      </w:pPr>
      <w:r>
        <w:rPr>
          <w:rFonts w:ascii="Arial" w:cs="Arial" w:eastAsia="Arial" w:hAnsi="Arial"/>
          <w:b/>
          <w:bCs/>
          <w:sz w:val="22"/>
          <w:szCs w:val="22"/>
        </w:rPr>
        <w:t xml:space="preserve">Ticker: </w:t>
      </w:r>
      <w:r>
        <w:rPr>
          <w:rFonts w:ascii="Arial" w:cs="Arial" w:eastAsia="Arial" w:hAnsi="Arial"/>
          <w:sz w:val="22"/>
          <w:szCs w:val="22"/>
        </w:rPr>
        <w:t xml:space="preserve">RBRK (NYSE)</w:t>
      </w:r>
    </w:p>
    <w:p>
      <w:pPr>
        <w:spacing w:after="120"/>
      </w:pPr>
      <w:r>
        <w:rPr>
          <w:rFonts w:ascii="Arial" w:cs="Arial" w:eastAsia="Arial" w:hAnsi="Arial"/>
          <w:b/>
          <w:bCs/>
          <w:sz w:val="22"/>
          <w:szCs w:val="22"/>
        </w:rPr>
        <w:t xml:space="preserve">Date of Assessment: </w:t>
      </w:r>
      <w:r>
        <w:rPr>
          <w:rFonts w:ascii="Arial" w:cs="Arial" w:eastAsia="Arial" w:hAnsi="Arial"/>
          <w:sz w:val="22"/>
          <w:szCs w:val="22"/>
        </w:rPr>
        <w:t xml:space="preserve">March 19, 2026</w:t>
      </w:r>
    </w:p>
    <w:p>
      <w:pPr>
        <w:pStyle w:val="Heading2"/>
        <w:spacing w:after="150" w:before="300"/>
      </w:pPr>
      <w:r>
        <w:rPr>
          <w:rFonts w:ascii="Arial" w:cs="Arial" w:eastAsia="Arial" w:hAnsi="Arial"/>
        </w:rPr>
        <w:t xml:space="preserve">Integrated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Weight/Mod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MDI Pre-Screen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3/5 intact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48235"/>
                <w:sz w:val="20"/>
                <w:szCs w:val="20"/>
              </w:rPr>
              <w:t xml:space="preserve">HIGH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Infrastructure moats hold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D1: Liability Shield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Recovery failure = massive loss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D2: Business Model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Capacity-based, AI-neutral pricing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D3: Physical Integration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Infrastructure, not information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D4: Network Effects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5/10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40%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Data gravity yes, network no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6.20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DIP Modifier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48235"/>
                <w:sz w:val="20"/>
                <w:szCs w:val="20"/>
              </w:rPr>
              <w:t xml:space="preserve">+0.50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Compliance audit trails required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CPP Modifier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2/12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+0.00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applicable (infra, not SaaS)</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FINAL COMPOSITE</w:t>
            </w:r>
          </w:p>
        </w:tc>
        <w:tc>
          <w:tcPr>
            <w:tcW w:type="dxa" w:w="16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2E75B6"/>
                <w:sz w:val="22"/>
                <w:szCs w:val="22"/>
              </w:rPr>
              <w:t xml:space="preserve">6.70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2E75B6"/>
                <w:sz w:val="20"/>
                <w:szCs w:val="20"/>
              </w:rPr>
              <w:t xml:space="preserve">ROBUST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Can withstand AI disruption</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Classification: </w:t>
      </w:r>
      <w:r>
        <w:rPr>
          <w:rFonts w:ascii="Arial" w:cs="Arial" w:eastAsia="Arial" w:hAnsi="Arial"/>
          <w:sz w:val="22"/>
          <w:szCs w:val="22"/>
        </w:rPr>
        <w:t xml:space="preserve">ROBUST — Can withstand disruption with execution</w:t>
      </w:r>
    </w:p>
    <w:p>
      <w:pPr>
        <w:spacing w:after="120"/>
      </w:pPr>
      <w:r>
        <w:rPr>
          <w:rFonts w:ascii="Arial" w:cs="Arial" w:eastAsia="Arial" w:hAnsi="Arial"/>
          <w:b/>
          <w:bCs/>
          <w:sz w:val="22"/>
          <w:szCs w:val="22"/>
        </w:rPr>
        <w:t xml:space="preserve">Scenarios: </w:t>
      </w:r>
      <w:r>
        <w:rPr>
          <w:rFonts w:ascii="Arial" w:cs="Arial" w:eastAsia="Arial" w:hAnsi="Arial"/>
          <w:sz w:val="22"/>
          <w:szCs w:val="22"/>
        </w:rPr>
        <w:t xml:space="preserve">Bull: 40% | Base: 45% | Bear: 15%</w:t>
      </w:r>
    </w:p>
    <w:p>
      <w:pPr>
        <w:spacing w:after="120"/>
      </w:pPr>
      <w:r>
        <w:rPr>
          <w:rFonts w:ascii="Arial" w:cs="Arial" w:eastAsia="Arial" w:hAnsi="Arial"/>
          <w:b/>
          <w:bCs/>
          <w:sz w:val="22"/>
          <w:szCs w:val="22"/>
        </w:rPr>
        <w:t xml:space="preserve">NTM EV/Revenue: </w:t>
      </w:r>
      <w:r>
        <w:rPr>
          <w:rFonts w:ascii="Arial" w:cs="Arial" w:eastAsia="Arial" w:hAnsi="Arial"/>
          <w:sz w:val="22"/>
          <w:szCs w:val="22"/>
        </w:rPr>
        <w:t xml:space="preserve">~6.3x (acceptable for Robust: up to 8x). Valuation Gate: PASS.</w:t>
      </w:r>
    </w:p>
    <w:p>
      <w:pPr>
        <w:pStyle w:val="Heading2"/>
        <w:spacing w:after="150" w:before="300"/>
      </w:pPr>
      <w:r>
        <w:rPr>
          <w:rFonts w:ascii="Arial" w:cs="Arial" w:eastAsia="Arial" w:hAnsi="Arial"/>
        </w:rPr>
        <w:t xml:space="preserve">Investment Rating &amp; Sizing</w:t>
      </w:r>
    </w:p>
    <w:p>
      <w:pPr>
        <w:spacing w:after="120"/>
      </w:pPr>
      <w:r>
        <w:rPr>
          <w:rFonts w:ascii="Arial" w:cs="Arial" w:eastAsia="Arial" w:hAnsi="Arial"/>
          <w:b/>
          <w:bCs/>
          <w:sz w:val="22"/>
          <w:szCs w:val="22"/>
        </w:rPr>
        <w:t xml:space="preserve">Rating: </w:t>
      </w:r>
      <w:r>
        <w:rPr>
          <w:rFonts w:ascii="Arial" w:cs="Arial" w:eastAsia="Arial" w:hAnsi="Arial"/>
          <w:sz w:val="22"/>
          <w:szCs w:val="22"/>
        </w:rPr>
        <w:t xml:space="preserve">HOLD / ACCUMULATE on weakness</w:t>
      </w:r>
    </w:p>
    <w:p>
      <w:pPr>
        <w:spacing w:after="120"/>
      </w:pPr>
      <w:r>
        <w:rPr>
          <w:rFonts w:ascii="Arial" w:cs="Arial" w:eastAsia="Arial" w:hAnsi="Arial"/>
          <w:b/>
          <w:bCs/>
          <w:sz w:val="22"/>
          <w:szCs w:val="22"/>
        </w:rPr>
        <w:t xml:space="preserve">Position Size: </w:t>
      </w:r>
      <w:r>
        <w:rPr>
          <w:rFonts w:ascii="Arial" w:cs="Arial" w:eastAsia="Arial" w:hAnsi="Arial"/>
          <w:sz w:val="22"/>
          <w:szCs w:val="22"/>
        </w:rPr>
        <w:t xml:space="preserve">2–3% of portfolio</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Thesis in Two Sentences:</w:t>
      </w:r>
    </w:p>
    <w:p>
      <w:pPr>
        <w:spacing w:after="120"/>
      </w:pPr>
      <w:r>
        <w:rPr>
          <w:rFonts w:ascii="Arial" w:cs="Arial" w:eastAsia="Arial" w:hAnsi="Arial"/>
          <w:b w:val="false"/>
          <w:bCs w:val="false"/>
          <w:i w:val="false"/>
          <w:iCs w:val="false"/>
          <w:color w:val="000000"/>
          <w:sz w:val="22"/>
          <w:szCs w:val="22"/>
        </w:rPr>
        <w:t xml:space="preserve">Rubrik is a Robust infrastructure company whose moat (proprietary file system, integration depth, mission-critical trust) is structurally resistant to LLM disruption because the core value proposition is physical data protection, not information processing. At 6.3x NTM revenue with 21%+ growth, 82% gross margins, and expanding FCF, the risk/reward is favorable if competitive execution against Cohesity-Veritas holds.</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Biggest Risk the market may be underpricing:</w:t>
      </w:r>
    </w:p>
    <w:p>
      <w:pPr>
        <w:spacing w:after="120"/>
      </w:pPr>
      <w:r>
        <w:rPr>
          <w:rFonts w:ascii="Arial" w:cs="Arial" w:eastAsia="Arial" w:hAnsi="Arial"/>
          <w:b w:val="false"/>
          <w:bCs w:val="false"/>
          <w:i w:val="false"/>
          <w:iCs w:val="false"/>
          <w:color w:val="000000"/>
          <w:sz w:val="22"/>
          <w:szCs w:val="22"/>
        </w:rPr>
        <w:t xml:space="preserve">Cohesity-Veritas integration succeeds, creating a competitor with larger installed base, broader product portfolio, and aggressive pricing that erodes Rubrik’s new logo win rates. This is a competitive risk, not an AI risk, and the market is pricing Rubrik primarily on AI disruption fears rather than competitive consolidation dynamics.</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Kill Switch — Sell immediately if:</w:t>
      </w:r>
    </w:p>
    <w:p>
      <w:pPr>
        <w:spacing w:after="120"/>
      </w:pPr>
      <w:r>
        <w:rPr>
          <w:rFonts w:ascii="Arial" w:cs="Arial" w:eastAsia="Arial" w:hAnsi="Arial"/>
          <w:b w:val="false"/>
          <w:bCs w:val="false"/>
          <w:i w:val="false"/>
          <w:iCs w:val="false"/>
          <w:color w:val="000000"/>
          <w:sz w:val="22"/>
          <w:szCs w:val="22"/>
        </w:rPr>
        <w:t xml:space="preserve">NRR falls below 105% for two consecutive quarters (signals customer base erosion, not just deceleration). OR: Subscription ARR growth decelerates below 15% (signals loss of competitive momentum). OR: A major cloud provider (AWS/Azure) announces a comprehensive, cross-platform backup/recovery product with air-gap and ransomware recovery capabilities that match Rubrik’s breadth.</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Review Trigger:</w:t>
      </w:r>
    </w:p>
    <w:p>
      <w:pPr>
        <w:spacing w:after="120"/>
      </w:pPr>
      <w:r>
        <w:rPr>
          <w:rFonts w:ascii="Arial" w:cs="Arial" w:eastAsia="Arial" w:hAnsi="Arial"/>
          <w:b w:val="false"/>
          <w:bCs w:val="false"/>
          <w:i w:val="false"/>
          <w:iCs w:val="false"/>
          <w:color w:val="000000"/>
          <w:sz w:val="22"/>
          <w:szCs w:val="22"/>
        </w:rPr>
        <w:t xml:space="preserve">Re-run full assessment if: Cohesity-Veritas reports combined financials showing accelerating market share gains. OR: An AI-native backup startup raises $100M+ at scale. OR: Gartner’s 35%-by-2029 agentic backup prediction shows faster-than-expected adoption. OR: Rubrik Agent Cloud discloses ARR above $50M (would improve CPP score significantly).</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iCs/>
          <w:color w:val="888888"/>
          <w:sz w:val="22"/>
          <w:szCs w:val="22"/>
        </w:rPr>
        <w:t xml:space="preserve">— End of Analysis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i/>
        <w:iCs/>
        <w:color w:val="2E75B6"/>
        <w:sz w:val="18"/>
        <w:szCs w:val="18"/>
      </w:rPr>
      <w:t xml:space="preserve">Stoffel-Feroldi × Bustamante Antifragility Framework v2.0</w:t>
    </w:r>
    <w:r>
      <w:rPr>
        <w:rFonts w:ascii="Arial" w:cs="Arial" w:eastAsia="Arial" w:hAnsi="Arial"/>
        <w:i/>
        <w:iCs/>
        <w:color w:val="2E75B6"/>
        <w:sz w:val="18"/>
        <w:szCs w:val="18"/>
      </w:rPr>
      <w:t xml:space="preserve">	Rubrik, Inc. (RBRK)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2026-03-20T04:22:13.070Z</dcterms:created>
  <dcterms:modified xsi:type="dcterms:W3CDTF">2026-03-20T04:22:13.070Z</dcterms:modified>
</cp:coreProperties>
</file>

<file path=docProps/custom.xml><?xml version="1.0" encoding="utf-8"?>
<Properties xmlns="http://schemas.openxmlformats.org/officeDocument/2006/custom-properties" xmlns:vt="http://schemas.openxmlformats.org/officeDocument/2006/docPropsVTypes"/>
</file>