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DEF8B" w14:textId="77777777" w:rsidR="009D3388" w:rsidRDefault="009D3388">
      <w:pPr>
        <w:spacing w:before="2400"/>
      </w:pPr>
    </w:p>
    <w:p w14:paraId="471B83E2" w14:textId="77777777" w:rsidR="009D3388" w:rsidRDefault="00000000">
      <w:pPr>
        <w:spacing w:after="100"/>
        <w:jc w:val="center"/>
      </w:pPr>
      <w:r>
        <w:rPr>
          <w:b/>
          <w:bCs/>
          <w:color w:val="2E75B6"/>
          <w:sz w:val="28"/>
          <w:szCs w:val="28"/>
        </w:rPr>
        <w:t>MEDICAL DEVICE PLATFORM FRAMEWORK v1.0</w:t>
      </w:r>
    </w:p>
    <w:p w14:paraId="059F4D85" w14:textId="77777777" w:rsidR="009D3388" w:rsidRDefault="00000000">
      <w:pPr>
        <w:spacing w:after="400"/>
        <w:jc w:val="center"/>
      </w:pPr>
      <w:r>
        <w:rPr>
          <w:color w:val="1B3A5C"/>
          <w:sz w:val="24"/>
          <w:szCs w:val="24"/>
        </w:rPr>
        <w:t>Investment Analysis</w:t>
      </w:r>
    </w:p>
    <w:p w14:paraId="4B6DA7AE" w14:textId="77777777" w:rsidR="009D3388" w:rsidRDefault="00000000">
      <w:pPr>
        <w:spacing w:after="60"/>
        <w:jc w:val="center"/>
      </w:pPr>
      <w:r>
        <w:rPr>
          <w:b/>
          <w:bCs/>
          <w:color w:val="1B3A5C"/>
          <w:sz w:val="48"/>
          <w:szCs w:val="48"/>
        </w:rPr>
        <w:t>TRANSMEDICS GROUP, INC.</w:t>
      </w:r>
    </w:p>
    <w:p w14:paraId="48C6992C" w14:textId="77777777" w:rsidR="009D3388" w:rsidRDefault="00000000">
      <w:pPr>
        <w:spacing w:after="200"/>
        <w:jc w:val="center"/>
      </w:pPr>
      <w:r>
        <w:rPr>
          <w:color w:val="2E75B6"/>
          <w:sz w:val="28"/>
          <w:szCs w:val="28"/>
        </w:rPr>
        <w:t>NASDAQ: TMDX</w:t>
      </w:r>
    </w:p>
    <w:p w14:paraId="05EF1A75" w14:textId="77777777" w:rsidR="009D3388" w:rsidRDefault="00000000">
      <w:pPr>
        <w:spacing w:after="600"/>
        <w:jc w:val="center"/>
      </w:pPr>
      <w:r>
        <w:rPr>
          <w:color w:val="666666"/>
        </w:rPr>
        <w:t>March 19, 2026</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9D3388" w14:paraId="78B430A2" w14:textId="77777777">
        <w:tblPrEx>
          <w:tblCellMar>
            <w:top w:w="0" w:type="dxa"/>
            <w:bottom w:w="0" w:type="dxa"/>
          </w:tblCellMar>
        </w:tblPrEx>
        <w:tc>
          <w:tcPr>
            <w:tcW w:w="5000" w:type="dxa"/>
            <w:tcBorders>
              <w:top w:val="single" w:sz="3" w:space="0" w:color="2E75B6"/>
              <w:left w:val="single" w:sz="3" w:space="0" w:color="2E75B6"/>
              <w:bottom w:val="single" w:sz="3" w:space="0" w:color="2E75B6"/>
              <w:right w:val="single" w:sz="3" w:space="0" w:color="2E75B6"/>
            </w:tcBorders>
            <w:shd w:val="clear" w:color="auto" w:fill="E3F2FD"/>
            <w:tcMar>
              <w:top w:w="200" w:type="dxa"/>
              <w:left w:w="300" w:type="dxa"/>
              <w:bottom w:w="200" w:type="dxa"/>
              <w:right w:w="300" w:type="dxa"/>
            </w:tcMar>
          </w:tcPr>
          <w:p w14:paraId="40D6BC71" w14:textId="77777777" w:rsidR="009D3388" w:rsidRDefault="00000000">
            <w:pPr>
              <w:spacing w:after="60"/>
              <w:jc w:val="center"/>
            </w:pPr>
            <w:r>
              <w:rPr>
                <w:color w:val="2E75B6"/>
                <w:sz w:val="20"/>
                <w:szCs w:val="20"/>
              </w:rPr>
              <w:t>FINAL CLASSIFICATION</w:t>
            </w:r>
          </w:p>
          <w:p w14:paraId="09080EE6" w14:textId="77777777" w:rsidR="009D3388" w:rsidRDefault="00000000">
            <w:pPr>
              <w:spacing w:after="60"/>
              <w:jc w:val="center"/>
            </w:pPr>
            <w:r>
              <w:rPr>
                <w:b/>
                <w:bCs/>
                <w:color w:val="2E75B6"/>
                <w:sz w:val="36"/>
                <w:szCs w:val="36"/>
              </w:rPr>
              <w:t>GROWTH DEVICE</w:t>
            </w:r>
          </w:p>
          <w:p w14:paraId="15304AD9" w14:textId="77777777" w:rsidR="009D3388" w:rsidRDefault="00000000">
            <w:pPr>
              <w:jc w:val="center"/>
            </w:pPr>
            <w:r>
              <w:rPr>
                <w:color w:val="1B3A5C"/>
                <w:sz w:val="20"/>
                <w:szCs w:val="20"/>
              </w:rPr>
              <w:t>Adjusted Composite: 7.34 / 10.0  |  IBPMI: 11 / 16 (Strong Platform)</w:t>
            </w:r>
          </w:p>
        </w:tc>
      </w:tr>
    </w:tbl>
    <w:p w14:paraId="33BAB3D5" w14:textId="77777777" w:rsidR="009D3388" w:rsidRDefault="009D3388">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D3388" w14:paraId="2FFC77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91CB52" w14:textId="77777777" w:rsidR="009D3388" w:rsidRDefault="00000000">
            <w:pPr>
              <w:jc w:val="center"/>
            </w:pPr>
            <w:r>
              <w:rPr>
                <w:b/>
                <w:bCs/>
                <w:color w:val="FFFFFF"/>
                <w:sz w:val="20"/>
                <w:szCs w:val="20"/>
              </w:rPr>
              <w:t>Market Cap</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31D392" w14:textId="77777777" w:rsidR="009D3388" w:rsidRDefault="00000000">
            <w:pPr>
              <w:jc w:val="center"/>
            </w:pPr>
            <w:r>
              <w:rPr>
                <w:b/>
                <w:bCs/>
                <w:color w:val="FFFFFF"/>
                <w:sz w:val="20"/>
                <w:szCs w:val="20"/>
              </w:rPr>
              <w:t>Revenue (FY2025)</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8E4628" w14:textId="77777777" w:rsidR="009D3388" w:rsidRDefault="00000000">
            <w:pPr>
              <w:jc w:val="center"/>
            </w:pPr>
            <w:r>
              <w:rPr>
                <w:b/>
                <w:bCs/>
                <w:color w:val="FFFFFF"/>
                <w:sz w:val="20"/>
                <w:szCs w:val="20"/>
              </w:rPr>
              <w:t>NOP Infrastructure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263643" w14:textId="77777777" w:rsidR="009D3388" w:rsidRDefault="00000000">
            <w:pPr>
              <w:jc w:val="center"/>
            </w:pPr>
            <w:r>
              <w:rPr>
                <w:b/>
                <w:bCs/>
                <w:color w:val="FFFFFF"/>
                <w:sz w:val="20"/>
                <w:szCs w:val="20"/>
              </w:rPr>
              <w:t>US OCS Cases (2025)</w:t>
            </w:r>
          </w:p>
        </w:tc>
      </w:tr>
      <w:tr w:rsidR="009D3388" w14:paraId="6CAAB6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401FA" w14:textId="77777777" w:rsidR="009D3388" w:rsidRDefault="00000000">
            <w:pPr>
              <w:jc w:val="center"/>
            </w:pPr>
            <w:r>
              <w:rPr>
                <w:b/>
                <w:bCs/>
                <w:color w:val="000000"/>
                <w:sz w:val="20"/>
                <w:szCs w:val="20"/>
              </w:rPr>
              <w:t>~$4.3B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1C77DC" w14:textId="77777777" w:rsidR="009D3388" w:rsidRDefault="00000000">
            <w:pPr>
              <w:jc w:val="center"/>
            </w:pPr>
            <w:r>
              <w:rPr>
                <w:b/>
                <w:bCs/>
                <w:color w:val="000000"/>
                <w:sz w:val="20"/>
                <w:szCs w:val="20"/>
              </w:rPr>
              <w:t>$605.5M (+37%)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F1AEC" w14:textId="77777777" w:rsidR="009D3388" w:rsidRDefault="00000000">
            <w:pPr>
              <w:jc w:val="center"/>
            </w:pPr>
            <w:r>
              <w:rPr>
                <w:b/>
                <w:bCs/>
                <w:color w:val="000000"/>
                <w:sz w:val="20"/>
                <w:szCs w:val="20"/>
              </w:rPr>
              <w:t>17 Hubs / 22 Aircraft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8AE13" w14:textId="77777777" w:rsidR="009D3388" w:rsidRDefault="00000000">
            <w:pPr>
              <w:jc w:val="center"/>
            </w:pPr>
            <w:r>
              <w:rPr>
                <w:b/>
                <w:bCs/>
                <w:color w:val="000000"/>
                <w:sz w:val="20"/>
                <w:szCs w:val="20"/>
              </w:rPr>
              <w:t>5,139 (+38% YoY)</w:t>
            </w:r>
          </w:p>
        </w:tc>
      </w:tr>
    </w:tbl>
    <w:p w14:paraId="6C2109BB" w14:textId="77777777" w:rsidR="009D3388" w:rsidRDefault="00000000">
      <w:r>
        <w:br w:type="page"/>
      </w:r>
    </w:p>
    <w:p w14:paraId="4A7F2FB6" w14:textId="77777777" w:rsidR="009D3388" w:rsidRDefault="00000000">
      <w:pPr>
        <w:pStyle w:val="Heading1"/>
        <w:spacing w:before="300" w:after="150"/>
      </w:pPr>
      <w:r>
        <w:lastRenderedPageBreak/>
        <w:t>EXECUTIVE SUMMARY</w:t>
      </w:r>
    </w:p>
    <w:p w14:paraId="0C563ECC" w14:textId="77777777" w:rsidR="009D3388" w:rsidRDefault="00000000">
      <w:pPr>
        <w:spacing w:after="120"/>
      </w:pPr>
      <w:proofErr w:type="spellStart"/>
      <w:r>
        <w:rPr>
          <w:color w:val="000000"/>
        </w:rPr>
        <w:t>TransMedics</w:t>
      </w:r>
      <w:proofErr w:type="spellEnd"/>
      <w:r>
        <w:rPr>
          <w:color w:val="000000"/>
        </w:rPr>
        <w:t xml:space="preserve"> is a unique medical device platform company that has built a vertically integrated organ transplant ecosystem combining its proprietary Organ Care System (OCS) — a warm perfusion technology for heart, lung, and liver transplantation — with the National OCS Program (NOP), a dedicated aviation and ground logistics network for organ procurement and transport. The company scores 11/16 on the Installed Base &amp; Platform Moat Index (Strong Platform) and achieves an adjusted composite of 7.34/10.0, earning a classification of Growth Device.</w:t>
      </w:r>
    </w:p>
    <w:p w14:paraId="63B3DE3E" w14:textId="77777777" w:rsidR="009D3388" w:rsidRDefault="00000000">
      <w:pPr>
        <w:spacing w:after="120"/>
      </w:pPr>
      <w:r>
        <w:rPr>
          <w:color w:val="000000"/>
        </w:rPr>
        <w:t xml:space="preserve">The investment thesis rests on three pillars: (1) </w:t>
      </w:r>
      <w:proofErr w:type="spellStart"/>
      <w:r>
        <w:rPr>
          <w:color w:val="000000"/>
        </w:rPr>
        <w:t>TransMedics</w:t>
      </w:r>
      <w:proofErr w:type="spellEnd"/>
      <w:r>
        <w:rPr>
          <w:color w:val="000000"/>
        </w:rPr>
        <w:t xml:space="preserve"> has created a new category — the only end-to-end organ transplant logistics platform in the world, with 17 NOP hubs, 22 owned aircraft, and a 24/7 command center that no competitor can replicate; (2) the OCS platform’s warm perfusion technology, backed by multiple FDA PMA approvals across three organs, expands the donor pool (particularly DCD hearts) and improves transplant outcomes, driving 38% procedure growth in 2025; and (3) international expansion (starting with Italy’s NOP launch in partnership with Mercedes-Benz) could nearly double the addressable market over time.</w:t>
      </w:r>
    </w:p>
    <w:p w14:paraId="0661CAF7" w14:textId="77777777" w:rsidR="009D3388" w:rsidRDefault="00000000">
      <w:pPr>
        <w:spacing w:after="120"/>
      </w:pPr>
      <w:r>
        <w:rPr>
          <w:color w:val="000000"/>
        </w:rPr>
        <w:t>Key risks include capital intensity (the aviation fleet requires substantial ongoing investment, delaying FCF breakeven to late 2026/early 2027), a convertible note debt load ($452M due 2028), concentrated US revenue (~99%), and the nascent stage of international expansion. However, the absence of any competitor with a comparable multi-organ perfusion + logistics platform creates an extraordinary competitive moat during this critical scaling phase.</w:t>
      </w:r>
    </w:p>
    <w:p w14:paraId="70B4226B" w14:textId="77777777" w:rsidR="009D3388" w:rsidRDefault="00000000">
      <w:pPr>
        <w:spacing w:after="120"/>
      </w:pPr>
      <w:r>
        <w:rPr>
          <w:i/>
          <w:iCs/>
          <w:color w:val="000000"/>
        </w:rPr>
        <w:t xml:space="preserve">Framework Note: </w:t>
      </w:r>
      <w:proofErr w:type="spellStart"/>
      <w:r>
        <w:rPr>
          <w:i/>
          <w:iCs/>
          <w:color w:val="000000"/>
        </w:rPr>
        <w:t>TransMedics</w:t>
      </w:r>
      <w:proofErr w:type="spellEnd"/>
      <w:r>
        <w:rPr>
          <w:i/>
          <w:iCs/>
          <w:color w:val="000000"/>
        </w:rPr>
        <w:t xml:space="preserve"> does not fit the traditional “installed base” model perfectly. Unlike Intuitive Surgical, where capital equipment is permanently placed in hospitals, the OCS is a portable device deployed through the NOP network. The “installed base” equivalent is the NOP logistics infrastructure itself (hubs, aircraft, command center, transplant center relationships). This distinction is noted throughout the scoring.</w:t>
      </w:r>
    </w:p>
    <w:p w14:paraId="49996805" w14:textId="77777777" w:rsidR="009D3388" w:rsidRDefault="00000000">
      <w:r>
        <w:br w:type="page"/>
      </w:r>
    </w:p>
    <w:p w14:paraId="1D38591E" w14:textId="77777777" w:rsidR="009D3388" w:rsidRDefault="00000000">
      <w:pPr>
        <w:pStyle w:val="Heading1"/>
        <w:spacing w:before="300" w:after="150"/>
      </w:pPr>
      <w:r>
        <w:lastRenderedPageBreak/>
        <w:t>STAGE 0: COMPANY ROUTING &amp; MATURITY CLASSIFICATION</w:t>
      </w:r>
    </w:p>
    <w:p w14:paraId="15BF8A73" w14:textId="77777777" w:rsidR="009D3388" w:rsidRDefault="00000000">
      <w:pPr>
        <w:spacing w:after="120"/>
      </w:pPr>
      <w:r>
        <w:rPr>
          <w:b/>
          <w:bCs/>
        </w:rPr>
        <w:t xml:space="preserve">Revenue: </w:t>
      </w:r>
      <w:r>
        <w:t>$605.5 million (FY2025)</w:t>
      </w:r>
    </w:p>
    <w:p w14:paraId="702F1A3E" w14:textId="77777777" w:rsidR="009D3388" w:rsidRDefault="00000000">
      <w:pPr>
        <w:spacing w:after="120"/>
      </w:pPr>
      <w:r>
        <w:rPr>
          <w:b/>
          <w:bCs/>
        </w:rPr>
        <w:t xml:space="preserve">Classification: </w:t>
      </w:r>
      <w:r>
        <w:t>Growth Platform ($100M – $1B)</w:t>
      </w:r>
    </w:p>
    <w:p w14:paraId="5A0EACC4" w14:textId="77777777" w:rsidR="009D3388" w:rsidRDefault="00000000">
      <w:pPr>
        <w:spacing w:after="120"/>
      </w:pPr>
      <w:r>
        <w:rPr>
          <w:b/>
          <w:bCs/>
        </w:rPr>
        <w:t xml:space="preserve">Key Question: </w:t>
      </w:r>
      <w:r>
        <w:t>Is the installed base compounding? Are consumable attach rates rising?</w:t>
      </w:r>
    </w:p>
    <w:p w14:paraId="0006B8F1" w14:textId="77777777" w:rsidR="009D3388" w:rsidRDefault="00000000">
      <w:pPr>
        <w:spacing w:after="120"/>
      </w:pPr>
      <w:proofErr w:type="spellStart"/>
      <w:r>
        <w:rPr>
          <w:color w:val="000000"/>
        </w:rPr>
        <w:t>TransMedics</w:t>
      </w:r>
      <w:proofErr w:type="spellEnd"/>
      <w:r>
        <w:rPr>
          <w:color w:val="000000"/>
        </w:rPr>
        <w:t xml:space="preserve"> sits squarely in the Growth Platform stage. Revenue grew from $241.6M (2023) to $441.5M (2024) to $605.5M (2025), representing a two-year CAGR of 58%. The company has scaled its NOP infrastructure from a handful of hubs to 17 across the US, with 22 owned aircraft. Procedure volumes are ramping rapidly (5,139 US OCS cases in 2025, targeting 10,000 by 2028). International expansion is just beginning with Italy’s NOP launch. The company has multiple product lines across three organ types (heart, lung, liver) with next-generation systems entering clinical trials.</w:t>
      </w:r>
    </w:p>
    <w:p w14:paraId="1CF1B1F2" w14:textId="77777777" w:rsidR="009D3388" w:rsidRDefault="00000000">
      <w:pPr>
        <w:spacing w:after="120"/>
      </w:pPr>
      <w:r>
        <w:rPr>
          <w:color w:val="000000"/>
        </w:rPr>
        <w:t>The “installed base” question is particularly relevant for TMDX. While there are no capital systems permanently installed in hospitals, the NOP infrastructure functions as the platform’s “installed base” — each new hub and aircraft increases the network’s reach and case capacity, generating compounding per-procedure revenue from OCS disposable sets and logistics services.</w:t>
      </w:r>
    </w:p>
    <w:p w14:paraId="7F4453D3" w14:textId="77777777" w:rsidR="009D3388" w:rsidRDefault="00000000">
      <w:pPr>
        <w:spacing w:after="120"/>
      </w:pPr>
      <w:r>
        <w:rPr>
          <w:b/>
          <w:bCs/>
        </w:rPr>
        <w:t xml:space="preserve">Biopharma Enabler Sub-Routing: </w:t>
      </w:r>
      <w:r>
        <w:t>Not applicable. TMDX’s revenue is not dependent on third-party drug development outcomes.</w:t>
      </w:r>
    </w:p>
    <w:p w14:paraId="7B50B4FE" w14:textId="77777777" w:rsidR="009D3388" w:rsidRDefault="00000000">
      <w:r>
        <w:br w:type="page"/>
      </w:r>
    </w:p>
    <w:p w14:paraId="623C717A" w14:textId="77777777" w:rsidR="009D3388" w:rsidRDefault="00000000">
      <w:pPr>
        <w:pStyle w:val="Heading1"/>
        <w:spacing w:before="300" w:after="150"/>
      </w:pPr>
      <w:r>
        <w:lastRenderedPageBreak/>
        <w:t>STAGE 1: INSTALLED BASE &amp; PLATFORM MOAT INDEX (IBPMI)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360"/>
        <w:gridCol w:w="4500"/>
      </w:tblGrid>
      <w:tr w:rsidR="009D3388" w14:paraId="5CF725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DA433D" w14:textId="77777777" w:rsidR="009D3388" w:rsidRDefault="00000000">
            <w:r>
              <w:rPr>
                <w:b/>
                <w:bCs/>
                <w:color w:val="FFFFFF"/>
                <w:sz w:val="20"/>
                <w:szCs w:val="20"/>
              </w:rPr>
              <w:t>Moat</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5266E9" w14:textId="77777777" w:rsidR="009D3388" w:rsidRDefault="00000000">
            <w:pPr>
              <w:jc w:val="center"/>
            </w:pPr>
            <w:r>
              <w:rPr>
                <w:b/>
                <w:bCs/>
                <w:color w:val="FFFFFF"/>
                <w:sz w:val="20"/>
                <w:szCs w:val="20"/>
              </w:rPr>
              <w:t>Score</w:t>
            </w:r>
          </w:p>
        </w:tc>
        <w:tc>
          <w:tcPr>
            <w:tcW w:w="4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F42B3C4" w14:textId="77777777" w:rsidR="009D3388" w:rsidRDefault="00000000">
            <w:r>
              <w:rPr>
                <w:b/>
                <w:bCs/>
                <w:color w:val="FFFFFF"/>
                <w:sz w:val="20"/>
                <w:szCs w:val="20"/>
              </w:rPr>
              <w:t>Key Evidence</w:t>
            </w:r>
          </w:p>
        </w:tc>
      </w:tr>
      <w:tr w:rsidR="009D3388" w14:paraId="794CBA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FC511" w14:textId="77777777" w:rsidR="009D3388" w:rsidRDefault="00000000">
            <w:r>
              <w:rPr>
                <w:b/>
                <w:bCs/>
                <w:color w:val="000000"/>
                <w:sz w:val="20"/>
                <w:szCs w:val="20"/>
              </w:rPr>
              <w:t>1. Installed Base Scale &amp; Density</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E7C4E4" w14:textId="77777777" w:rsidR="009D3388" w:rsidRDefault="00000000">
            <w:pPr>
              <w:jc w:val="center"/>
            </w:pPr>
            <w:r>
              <w:rPr>
                <w:b/>
                <w:bCs/>
                <w:color w:val="BF8F00"/>
                <w:sz w:val="20"/>
                <w:szCs w:val="20"/>
              </w:rPr>
              <w:t>1 / 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791CA6" w14:textId="77777777" w:rsidR="009D3388" w:rsidRDefault="00000000">
            <w:r>
              <w:rPr>
                <w:color w:val="000000"/>
                <w:sz w:val="20"/>
                <w:szCs w:val="20"/>
              </w:rPr>
              <w:t>17 NOP hubs + 22 aircraft across US only. 5,139 cases/yr. Generating meaningful recurring per-case revenue. Growing but concentrated in single geography.</w:t>
            </w:r>
          </w:p>
        </w:tc>
      </w:tr>
      <w:tr w:rsidR="009D3388" w14:paraId="234DAA5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E9708" w14:textId="77777777" w:rsidR="009D3388" w:rsidRDefault="00000000">
            <w:r>
              <w:rPr>
                <w:b/>
                <w:bCs/>
                <w:color w:val="000000"/>
                <w:sz w:val="20"/>
                <w:szCs w:val="20"/>
              </w:rPr>
              <w:t>2. Razor-Razorblade Economics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4C32E" w14:textId="77777777" w:rsidR="009D3388" w:rsidRDefault="00000000">
            <w:pPr>
              <w:jc w:val="center"/>
            </w:pPr>
            <w:r>
              <w:rPr>
                <w:b/>
                <w:bCs/>
                <w:color w:val="548235"/>
                <w:sz w:val="20"/>
                <w:szCs w:val="20"/>
              </w:rPr>
              <w:t>2 / 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09B2C" w14:textId="77777777" w:rsidR="009D3388" w:rsidRDefault="00000000">
            <w:r>
              <w:rPr>
                <w:color w:val="000000"/>
                <w:sz w:val="20"/>
                <w:szCs w:val="20"/>
              </w:rPr>
              <w:t>Essentially 100% per-procedure revenue. Every OCS case requires $38K-$80K in disposable sets + NOP logistics fees. No one-time capital equipment sales dominating mix.</w:t>
            </w:r>
          </w:p>
        </w:tc>
      </w:tr>
      <w:tr w:rsidR="009D3388" w14:paraId="42CA1D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8CD71E" w14:textId="77777777" w:rsidR="009D3388" w:rsidRDefault="00000000">
            <w:r>
              <w:rPr>
                <w:b/>
                <w:bCs/>
                <w:color w:val="000000"/>
                <w:sz w:val="20"/>
                <w:szCs w:val="20"/>
              </w:rPr>
              <w:t>3. Switching Costs &amp; Workflow Lock-In</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5A258" w14:textId="77777777" w:rsidR="009D3388" w:rsidRDefault="00000000">
            <w:pPr>
              <w:jc w:val="center"/>
            </w:pPr>
            <w:r>
              <w:rPr>
                <w:b/>
                <w:bCs/>
                <w:color w:val="BF8F00"/>
                <w:sz w:val="20"/>
                <w:szCs w:val="20"/>
              </w:rPr>
              <w:t>1 / 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D1DAF8" w14:textId="77777777" w:rsidR="009D3388" w:rsidRDefault="00000000">
            <w:r>
              <w:rPr>
                <w:color w:val="000000"/>
                <w:sz w:val="20"/>
                <w:szCs w:val="20"/>
              </w:rPr>
              <w:t>NOP integrates into transplant center procurement workflow. No competitor has equivalent logistics network to switch TO. But no massive capital sunk cost per site as in traditional device model.</w:t>
            </w:r>
          </w:p>
        </w:tc>
      </w:tr>
      <w:tr w:rsidR="009D3388" w14:paraId="0E8708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CC6E4D" w14:textId="77777777" w:rsidR="009D3388" w:rsidRDefault="00000000">
            <w:r>
              <w:rPr>
                <w:b/>
                <w:bCs/>
                <w:color w:val="000000"/>
                <w:sz w:val="20"/>
                <w:szCs w:val="20"/>
              </w:rPr>
              <w:t>4. Regulatory Moat Depth</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06EB7" w14:textId="77777777" w:rsidR="009D3388" w:rsidRDefault="00000000">
            <w:pPr>
              <w:jc w:val="center"/>
            </w:pPr>
            <w:r>
              <w:rPr>
                <w:b/>
                <w:bCs/>
                <w:color w:val="548235"/>
                <w:sz w:val="20"/>
                <w:szCs w:val="20"/>
              </w:rPr>
              <w:t>2 / 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44E28" w14:textId="77777777" w:rsidR="009D3388" w:rsidRDefault="00000000">
            <w:r>
              <w:rPr>
                <w:color w:val="000000"/>
                <w:sz w:val="20"/>
                <w:szCs w:val="20"/>
              </w:rPr>
              <w:t>Multiple FDA PMA approvals (highest bar): OCS Lung, Heart (DBD+DCD), Liver. PMA pathway requires years + $100M+. Next-gen IDE approvals (ENHANCE Heart, DENOVO Lung). CE Mark for Europe.</w:t>
            </w:r>
          </w:p>
        </w:tc>
      </w:tr>
      <w:tr w:rsidR="009D3388" w14:paraId="7C2614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64E53C" w14:textId="77777777" w:rsidR="009D3388" w:rsidRDefault="00000000">
            <w:r>
              <w:rPr>
                <w:b/>
                <w:bCs/>
                <w:color w:val="000000"/>
                <w:sz w:val="20"/>
                <w:szCs w:val="20"/>
              </w:rPr>
              <w:t>5. Clinical Evidence &amp; KOL Network</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B2076" w14:textId="77777777" w:rsidR="009D3388" w:rsidRDefault="00000000">
            <w:pPr>
              <w:jc w:val="center"/>
            </w:pPr>
            <w:r>
              <w:rPr>
                <w:b/>
                <w:bCs/>
                <w:color w:val="BF8F00"/>
                <w:sz w:val="20"/>
                <w:szCs w:val="20"/>
              </w:rPr>
              <w:t>1 / 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93DD5" w14:textId="77777777" w:rsidR="009D3388" w:rsidRDefault="00000000">
            <w:r>
              <w:rPr>
                <w:color w:val="000000"/>
                <w:sz w:val="20"/>
                <w:szCs w:val="20"/>
              </w:rPr>
              <w:t>Multiple PMA-grade RCTs. OCS DCD Heart: 95% 6-month survival vs 89% control. Published in ISHLT, Transplantation. Growing evidence base (~30-40 publications), active KOL engagement.</w:t>
            </w:r>
          </w:p>
        </w:tc>
      </w:tr>
      <w:tr w:rsidR="009D3388" w14:paraId="323DAE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FEC927" w14:textId="77777777" w:rsidR="009D3388" w:rsidRDefault="00000000">
            <w:r>
              <w:rPr>
                <w:b/>
                <w:bCs/>
                <w:color w:val="000000"/>
                <w:sz w:val="20"/>
                <w:szCs w:val="20"/>
              </w:rPr>
              <w:t>6. Procedure Volume Growth</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7C864" w14:textId="77777777" w:rsidR="009D3388" w:rsidRDefault="00000000">
            <w:pPr>
              <w:jc w:val="center"/>
            </w:pPr>
            <w:r>
              <w:rPr>
                <w:b/>
                <w:bCs/>
                <w:color w:val="548235"/>
                <w:sz w:val="20"/>
                <w:szCs w:val="20"/>
              </w:rPr>
              <w:t>2 / 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F7B66" w14:textId="77777777" w:rsidR="009D3388" w:rsidRDefault="00000000">
            <w:r>
              <w:rPr>
                <w:color w:val="000000"/>
                <w:sz w:val="20"/>
                <w:szCs w:val="20"/>
              </w:rPr>
              <w:t>US OCS cases +38% YoY (5,139 in 2025). Expanding across heart, lung, liver. Revenue +37%. Target 10,000 cases/yr by 2028. TAM expansion via DCD donors + new geographies.</w:t>
            </w:r>
          </w:p>
        </w:tc>
      </w:tr>
      <w:tr w:rsidR="009D3388" w14:paraId="4B0DC2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4C0DAF" w14:textId="77777777" w:rsidR="009D3388" w:rsidRDefault="00000000">
            <w:r>
              <w:rPr>
                <w:b/>
                <w:bCs/>
                <w:color w:val="000000"/>
                <w:sz w:val="20"/>
                <w:szCs w:val="20"/>
              </w:rPr>
              <w:t>7. Innovation Pipeline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5B2F1" w14:textId="77777777" w:rsidR="009D3388" w:rsidRDefault="00000000">
            <w:pPr>
              <w:jc w:val="center"/>
            </w:pPr>
            <w:r>
              <w:rPr>
                <w:b/>
                <w:bCs/>
                <w:color w:val="BF8F00"/>
                <w:sz w:val="20"/>
                <w:szCs w:val="20"/>
              </w:rPr>
              <w:t>1 / 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9E7C27" w14:textId="77777777" w:rsidR="009D3388" w:rsidRDefault="00000000">
            <w:r>
              <w:rPr>
                <w:color w:val="000000"/>
                <w:sz w:val="20"/>
                <w:szCs w:val="20"/>
              </w:rPr>
              <w:t>Next-gen OCS Heart (ENHANCE trial, IDE Feb 2026). Next-gen OCS Lung (DENOVO trial, IDE Jan 2026). Italy NOP + Mercedes-Benz. R&amp;D ~10-11% of revenue. Dynamic cold perfusion entry.</w:t>
            </w:r>
          </w:p>
        </w:tc>
      </w:tr>
      <w:tr w:rsidR="009D3388" w14:paraId="590F30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2FD06" w14:textId="77777777" w:rsidR="009D3388" w:rsidRDefault="00000000">
            <w:r>
              <w:rPr>
                <w:b/>
                <w:bCs/>
                <w:color w:val="000000"/>
                <w:sz w:val="20"/>
                <w:szCs w:val="20"/>
              </w:rPr>
              <w:t>8. Commercial Infrastructure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11CA36" w14:textId="77777777" w:rsidR="009D3388" w:rsidRDefault="00000000">
            <w:pPr>
              <w:jc w:val="center"/>
            </w:pPr>
            <w:r>
              <w:rPr>
                <w:b/>
                <w:bCs/>
                <w:color w:val="BF8F00"/>
                <w:sz w:val="20"/>
                <w:szCs w:val="20"/>
              </w:rPr>
              <w:t>1 / 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875D32" w14:textId="77777777" w:rsidR="009D3388" w:rsidRDefault="00000000">
            <w:r>
              <w:rPr>
                <w:color w:val="000000"/>
                <w:sz w:val="20"/>
                <w:szCs w:val="20"/>
              </w:rPr>
              <w:t>17 US NOP hubs, 22 aircraft, 24/7 command center. Clinical perfusionists on every case. S&amp;M ~35% of revenue (building infrastructure). Italy launching. Limited international commercial presence.</w:t>
            </w:r>
          </w:p>
        </w:tc>
      </w:tr>
    </w:tbl>
    <w:p w14:paraId="36BF3A86" w14:textId="77777777" w:rsidR="009D3388" w:rsidRDefault="009D3388">
      <w:pPr>
        <w:spacing w:after="12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tblGrid>
      <w:tr w:rsidR="009D3388" w14:paraId="73621E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34FF3E" w14:textId="77777777" w:rsidR="009D3388" w:rsidRDefault="00000000">
            <w:pPr>
              <w:jc w:val="center"/>
            </w:pPr>
            <w:r>
              <w:rPr>
                <w:b/>
                <w:bCs/>
                <w:color w:val="FFFFFF"/>
              </w:rPr>
              <w:t>IBPMI TOTAL</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930E230" w14:textId="77777777" w:rsidR="009D3388" w:rsidRDefault="00000000">
            <w:pPr>
              <w:jc w:val="center"/>
            </w:pPr>
            <w:r>
              <w:rPr>
                <w:b/>
                <w:bCs/>
                <w:color w:val="2E75B6"/>
              </w:rPr>
              <w:t>11 / 16 — STRONG PLATFORM</w:t>
            </w:r>
          </w:p>
        </w:tc>
      </w:tr>
    </w:tbl>
    <w:p w14:paraId="162BD2C1" w14:textId="77777777" w:rsidR="009D3388" w:rsidRDefault="009D3388">
      <w:pPr>
        <w:spacing w:after="120"/>
      </w:pPr>
    </w:p>
    <w:p w14:paraId="2A40F115" w14:textId="77777777" w:rsidR="009D3388" w:rsidRDefault="00000000">
      <w:pPr>
        <w:pStyle w:val="Heading2"/>
        <w:spacing w:before="300" w:after="150"/>
      </w:pPr>
      <w:r>
        <w:lastRenderedPageBreak/>
        <w:t>Moat-by-Moat Detail</w:t>
      </w:r>
    </w:p>
    <w:p w14:paraId="186D8A99" w14:textId="77777777" w:rsidR="009D3388" w:rsidRDefault="00000000">
      <w:pPr>
        <w:pStyle w:val="Heading3"/>
        <w:spacing w:before="300" w:after="150"/>
      </w:pPr>
      <w:r>
        <w:t>Moat 1: Installed Base Scale &amp; Density — Score: 1/2</w:t>
      </w:r>
    </w:p>
    <w:p w14:paraId="3D6ACC80" w14:textId="77777777" w:rsidR="009D3388" w:rsidRDefault="00000000">
      <w:pPr>
        <w:spacing w:after="120"/>
      </w:pPr>
      <w:proofErr w:type="spellStart"/>
      <w:r>
        <w:rPr>
          <w:color w:val="000000"/>
        </w:rPr>
        <w:t>TransMedics</w:t>
      </w:r>
      <w:proofErr w:type="spellEnd"/>
      <w:r>
        <w:rPr>
          <w:color w:val="000000"/>
        </w:rPr>
        <w:t>’ “installed base” is unconventional. Rather than capital equipment placed in hospitals, the platform consists of 17 NOP hubs and 22 owned aircraft that form the only dedicated organ transplant logistics network in the world. This infrastructure enabled 5,139 US OCS cases in 2025, generating meaningful per-case recurring revenue. However, the network is concentrated almost entirely in the US (~99% of revenue), with international expansion only just beginning (Italy NOP launching). The installed base is growing rapidly but has not yet achieved the geographic diversification or global density required for a score of 2. Per the framework’s criteria, the platform has 50+ equivalent “systems” (hubs + aircraft) generating &gt;30% recurring revenue in a single primary geography.</w:t>
      </w:r>
    </w:p>
    <w:p w14:paraId="453417D3" w14:textId="77777777" w:rsidR="009D3388" w:rsidRDefault="00000000">
      <w:pPr>
        <w:pStyle w:val="Heading3"/>
        <w:spacing w:before="300" w:after="150"/>
      </w:pPr>
      <w:r>
        <w:t>Moat 2: Razor-Razorblade Economics — Score: 2/2</w:t>
      </w:r>
    </w:p>
    <w:p w14:paraId="7A82E4DF" w14:textId="77777777" w:rsidR="009D3388" w:rsidRDefault="00000000">
      <w:pPr>
        <w:spacing w:after="120"/>
      </w:pPr>
      <w:proofErr w:type="spellStart"/>
      <w:r>
        <w:rPr>
          <w:color w:val="000000"/>
        </w:rPr>
        <w:t>TransMedics</w:t>
      </w:r>
      <w:proofErr w:type="spellEnd"/>
      <w:r>
        <w:rPr>
          <w:color w:val="000000"/>
        </w:rPr>
        <w:t xml:space="preserve"> has perhaps the purest razor-razorblade model in medical devices. There are no standalone capital equipment sales — effectively 100% of revenue is per-procedure. Every OCS case requires disposable perfusion sets costing $38,000–$80,000 per organ (varying by organ type), plus NOP logistics service fees for aviation and clinical support. This is the inverse of the typical device model where equipment sales are 25–40% of revenue. The per-procedure revenue capture is extraordinarily high, and the logistics service layer adds a second recurring stream on top of the disposable consumables. Revenue visibility is directly tied to case volumes, which grew 38% in 2025.</w:t>
      </w:r>
    </w:p>
    <w:p w14:paraId="0A933C72" w14:textId="77777777" w:rsidR="009D3388" w:rsidRDefault="00000000">
      <w:pPr>
        <w:pStyle w:val="Heading3"/>
        <w:spacing w:before="300" w:after="150"/>
      </w:pPr>
      <w:r>
        <w:t>Moat 3: Switching Costs &amp; Workflow Lock-In — Score: 1/2</w:t>
      </w:r>
    </w:p>
    <w:p w14:paraId="4D829796" w14:textId="77777777" w:rsidR="009D3388" w:rsidRDefault="00000000">
      <w:pPr>
        <w:spacing w:after="120"/>
      </w:pPr>
      <w:r>
        <w:rPr>
          <w:color w:val="000000"/>
        </w:rPr>
        <w:t xml:space="preserve">The switching cost dynamics for </w:t>
      </w:r>
      <w:proofErr w:type="spellStart"/>
      <w:r>
        <w:rPr>
          <w:color w:val="000000"/>
        </w:rPr>
        <w:t>TransMedics</w:t>
      </w:r>
      <w:proofErr w:type="spellEnd"/>
      <w:r>
        <w:rPr>
          <w:color w:val="000000"/>
        </w:rPr>
        <w:t xml:space="preserve"> differ fundamentally from traditional device companies. There is no $1.5–$2.5M capital equipment investment creating sunk-cost lock-in. Instead, switching costs arise from: (1) the absence of any competitor with a comparable logistics network — transplant centers literally have nothing equivalent to switch TO; (2) surgeon and perfusionist training on OCS protocols and warm perfusion techniques; (3) integration of the NOP into hospital organ procurement workflows (scheduling, coordination, OR preparation); and (4) clinical evidence and outcome data that support institutional protocols. These are meaningful but more “ecosystem” switching costs than capital-intensive lock-in. If a competitor eventually builds a comparable network and device, the switching cost per site would likely be moderate (3–6 month transition), warranting a 1 rather than 2 under the framework’s criteria.</w:t>
      </w:r>
    </w:p>
    <w:p w14:paraId="25FE3BD9" w14:textId="77777777" w:rsidR="009D3388" w:rsidRDefault="00000000">
      <w:pPr>
        <w:pStyle w:val="Heading3"/>
        <w:spacing w:before="300" w:after="150"/>
      </w:pPr>
      <w:r>
        <w:t>Moat 4: Regulatory Moat Depth — Score: 2/2</w:t>
      </w:r>
    </w:p>
    <w:p w14:paraId="254AABF5" w14:textId="77777777" w:rsidR="009D3388" w:rsidRDefault="00000000">
      <w:pPr>
        <w:spacing w:after="120"/>
      </w:pPr>
      <w:proofErr w:type="spellStart"/>
      <w:r>
        <w:rPr>
          <w:color w:val="000000"/>
        </w:rPr>
        <w:t>TransMedics</w:t>
      </w:r>
      <w:proofErr w:type="spellEnd"/>
      <w:r>
        <w:rPr>
          <w:color w:val="000000"/>
        </w:rPr>
        <w:t xml:space="preserve"> holds one of the strongest regulatory moats in medical devices through its multiple FDA Pre-Market Approval (PMA) clearances — the highest and most stringent regulatory pathway. The company has PMA approvals for: OCS Lung (March 2018), OCS Heart for donation after brain death/DBD, OCS Heart for donation after circulatory death/DCD (expanding the donor pool significantly), and OCS Liver for both DBD and DCD donors. Each PMA required multi-year randomized controlled trials with hundreds of patients. The next-generation OCS Heart ENHANCE trial received full IDE approval from FDA in February 2026, and the next-gen OCS Lung DENOVO trial received IDE approval in January 2026. The company holds CE Mark for European markets. Any competitor must independently pursue the PMA pathway for each organ, facing 3–5+ years and $100M+ per organ — an enormous barrier.</w:t>
      </w:r>
    </w:p>
    <w:p w14:paraId="3CB38B5A" w14:textId="77777777" w:rsidR="009D3388" w:rsidRDefault="00000000">
      <w:pPr>
        <w:pStyle w:val="Heading3"/>
        <w:spacing w:before="300" w:after="150"/>
      </w:pPr>
      <w:r>
        <w:lastRenderedPageBreak/>
        <w:t>Moat 5: Clinical Evidence &amp; KOL Network — Score: 1/2</w:t>
      </w:r>
    </w:p>
    <w:p w14:paraId="4EF5E21F" w14:textId="77777777" w:rsidR="009D3388" w:rsidRDefault="00000000">
      <w:pPr>
        <w:spacing w:after="120"/>
      </w:pPr>
      <w:proofErr w:type="spellStart"/>
      <w:r>
        <w:rPr>
          <w:color w:val="000000"/>
        </w:rPr>
        <w:t>TransMedics</w:t>
      </w:r>
      <w:proofErr w:type="spellEnd"/>
      <w:r>
        <w:rPr>
          <w:color w:val="000000"/>
        </w:rPr>
        <w:t xml:space="preserve"> has a solid and growing clinical evidence base, anchored by PMA-grade randomized controlled trials. The OCS DCD Heart trial demonstrated 95% six-month patient survival in the OCS DCD arm versus 89% for the DBD control arm. The OCS Heart EXPAND trial and OCS Lung EXPAND trial provided additional long-term outcome data published in peer-reviewed journals (Journal of Heart and Lung Transplantation, Transplantation). The company maintains active KOL relationships within the transplant surgery community and presents regularly at ISHLT. However, the total publication count (~30–40 peer-reviewed publications) falls short of the 50+ threshold for a score of 2, and the evidence base, while strong on safety/efficacy, is still building comparative superiority data. The next-gen ENHANCE Heart trial is specifically designed as the first randomized, controlled, blinded trial in donor heart preservation, which would significantly strengthen the evidence moat.</w:t>
      </w:r>
    </w:p>
    <w:p w14:paraId="49F0A4B7" w14:textId="77777777" w:rsidR="009D3388" w:rsidRDefault="00000000">
      <w:pPr>
        <w:pStyle w:val="Heading3"/>
        <w:spacing w:before="300" w:after="150"/>
      </w:pPr>
      <w:r>
        <w:t>Moat 6: Procedure Volume Growth &amp; Expansion — Score: 2/2</w:t>
      </w:r>
    </w:p>
    <w:p w14:paraId="2FEBD813" w14:textId="77777777" w:rsidR="009D3388" w:rsidRDefault="00000000">
      <w:pPr>
        <w:spacing w:after="120"/>
      </w:pPr>
      <w:r>
        <w:rPr>
          <w:color w:val="000000"/>
        </w:rPr>
        <w:t xml:space="preserve">Procedure volume growth is </w:t>
      </w:r>
      <w:proofErr w:type="spellStart"/>
      <w:r>
        <w:rPr>
          <w:color w:val="000000"/>
        </w:rPr>
        <w:t>TransMedics</w:t>
      </w:r>
      <w:proofErr w:type="spellEnd"/>
      <w:r>
        <w:rPr>
          <w:color w:val="000000"/>
        </w:rPr>
        <w:t>’ strongest competitive dimension. US OCS cases grew 38% year-over-year to 5,139 in 2025, driven by adoption across all three organ types (heart, lung, liver). Revenue grew 37% to $605.5M. The company is successfully expanding across procedure types: the DCD heart indication expanded the eligible donor pool, liver and lung cases are scaling, and next-gen trials will further broaden clinical applications. Management targets 10,000 annual US cases by 2028 (effectively doubling from 2025). International expansion (Italy NOP) adds an entirely new geographic vector. The TAM expansion from DCD donors alone represents a step-change in addressable procedures. This clearly meets the &gt;15% annual growth threshold with expansion across multiple organ types.</w:t>
      </w:r>
    </w:p>
    <w:p w14:paraId="05CD1158" w14:textId="77777777" w:rsidR="009D3388" w:rsidRDefault="00000000">
      <w:pPr>
        <w:pStyle w:val="Heading3"/>
        <w:spacing w:before="300" w:after="150"/>
      </w:pPr>
      <w:r>
        <w:t>Moat 7: Innovation Pipeline &amp; Platform Evolution — Score: 1/2</w:t>
      </w:r>
    </w:p>
    <w:p w14:paraId="271F188A" w14:textId="77777777" w:rsidR="009D3388" w:rsidRDefault="00000000">
      <w:pPr>
        <w:spacing w:after="120"/>
      </w:pPr>
      <w:proofErr w:type="spellStart"/>
      <w:r>
        <w:rPr>
          <w:color w:val="000000"/>
        </w:rPr>
        <w:t>TransMedics</w:t>
      </w:r>
      <w:proofErr w:type="spellEnd"/>
      <w:r>
        <w:rPr>
          <w:color w:val="000000"/>
        </w:rPr>
        <w:t xml:space="preserve"> has an active innovation pipeline with two next-generation systems entering clinical trials. The OCS Heart ENHANCE trial (full IDE approval, February 2026) is designed to demonstrate prolonged heart perfusion and superiority over static cold storage. The OCS Lung DENOVO trial (IDE approval, January 2026) targets improved lung preservation. The company is also planning entry into the dynamic cold perfusion market. International NOP expansion to Italy (with Mercedes-Benz ground transport collaboration) represents a geographic adjacency. R&amp;D spending of ~10–11% of revenue is above the median but not exceptional. The score of 1 reflects an active pipeline with next-gen systems in development and at least one adjacency expansion, but the pipeline has not yet delivered next-gen products to market, and the software/AI/digital layer that would deepen switching costs over time is not yet evident.</w:t>
      </w:r>
    </w:p>
    <w:p w14:paraId="6EFD291E" w14:textId="77777777" w:rsidR="009D3388" w:rsidRDefault="00000000">
      <w:pPr>
        <w:pStyle w:val="Heading3"/>
        <w:spacing w:before="300" w:after="150"/>
      </w:pPr>
      <w:r>
        <w:t>Moat 8: Commercial Infrastructure &amp; Service Network — Score: 1/2</w:t>
      </w:r>
    </w:p>
    <w:p w14:paraId="011F4C94" w14:textId="77777777" w:rsidR="009D3388" w:rsidRDefault="00000000">
      <w:pPr>
        <w:spacing w:after="120"/>
      </w:pPr>
      <w:proofErr w:type="spellStart"/>
      <w:r>
        <w:rPr>
          <w:color w:val="000000"/>
        </w:rPr>
        <w:t>TransMedics</w:t>
      </w:r>
      <w:proofErr w:type="spellEnd"/>
      <w:r>
        <w:rPr>
          <w:color w:val="000000"/>
        </w:rPr>
        <w:t xml:space="preserve"> has built a remarkable commercial infrastructure for its size. The NOP operates 17 strategically located hubs across the US, a fleet of 22 owned aircraft, and a 24/7 Logistics Command Center in Andover, Massachusetts. Clinical perfusionists are deployed on every organ retrieval case, creating deep personal relationships with transplant surgeons — analogous to the clinical specialist model that makes Intuitive </w:t>
      </w:r>
      <w:proofErr w:type="spellStart"/>
      <w:r>
        <w:rPr>
          <w:color w:val="000000"/>
        </w:rPr>
        <w:t>Surgical’s</w:t>
      </w:r>
      <w:proofErr w:type="spellEnd"/>
      <w:r>
        <w:rPr>
          <w:color w:val="000000"/>
        </w:rPr>
        <w:t xml:space="preserve"> commercial infrastructure so defensible. Sales and marketing expense at ~35% of revenue reflects the heavy investment in building this infrastructure. However, the international footprint is minimal (Italy just launching, OUS revenue only ~$3.6M), preventing a score of 2 which requires commercial capability across 10+ countries.</w:t>
      </w:r>
    </w:p>
    <w:p w14:paraId="28C973CD" w14:textId="77777777" w:rsidR="009D3388" w:rsidRDefault="00000000">
      <w:r>
        <w:br w:type="page"/>
      </w:r>
    </w:p>
    <w:p w14:paraId="536C557E" w14:textId="77777777" w:rsidR="009D3388" w:rsidRDefault="00000000">
      <w:pPr>
        <w:pStyle w:val="Heading1"/>
        <w:spacing w:before="300" w:after="150"/>
      </w:pPr>
      <w:r>
        <w:lastRenderedPageBreak/>
        <w:t>STAGE 2: GROWTH ENGINE EVALUATION (GEE)</w:t>
      </w:r>
    </w:p>
    <w:p w14:paraId="7E1895D4" w14:textId="77777777" w:rsidR="009D3388" w:rsidRDefault="00000000">
      <w:pPr>
        <w:spacing w:after="120"/>
      </w:pPr>
      <w:r>
        <w:rPr>
          <w:color w:val="000000"/>
        </w:rPr>
        <w:t>Scoring weights for Growth Platform stage: G1 (20%), G2 (25%), G3 (20%), G4 (15%), G5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9"/>
        <w:gridCol w:w="800"/>
        <w:gridCol w:w="907"/>
        <w:gridCol w:w="4884"/>
      </w:tblGrid>
      <w:tr w:rsidR="009D3388" w14:paraId="6EA663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038E074" w14:textId="77777777" w:rsidR="009D3388" w:rsidRDefault="00000000">
            <w:r>
              <w:rPr>
                <w:b/>
                <w:bCs/>
                <w:color w:val="FFFFFF"/>
                <w:sz w:val="20"/>
                <w:szCs w:val="20"/>
              </w:rPr>
              <w:t>Dimension</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076E1F" w14:textId="77777777" w:rsidR="009D3388" w:rsidRDefault="00000000">
            <w:pPr>
              <w:jc w:val="center"/>
            </w:pPr>
            <w:r>
              <w:rPr>
                <w:b/>
                <w:bCs/>
                <w:color w:val="FFFFFF"/>
                <w:sz w:val="20"/>
                <w:szCs w:val="20"/>
              </w:rPr>
              <w:t>Score</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5188D01" w14:textId="77777777" w:rsidR="009D3388" w:rsidRDefault="00000000">
            <w:pPr>
              <w:jc w:val="center"/>
            </w:pPr>
            <w:r>
              <w:rPr>
                <w:b/>
                <w:bCs/>
                <w:color w:val="FFFFFF"/>
                <w:sz w:val="20"/>
                <w:szCs w:val="20"/>
              </w:rPr>
              <w:t>Weight</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9E62F03" w14:textId="77777777" w:rsidR="009D3388" w:rsidRDefault="00000000">
            <w:r>
              <w:rPr>
                <w:b/>
                <w:bCs/>
                <w:color w:val="FFFFFF"/>
                <w:sz w:val="20"/>
                <w:szCs w:val="20"/>
              </w:rPr>
              <w:t>Evidence</w:t>
            </w:r>
          </w:p>
        </w:tc>
      </w:tr>
      <w:tr w:rsidR="009D3388" w14:paraId="4C3B00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369993" w14:textId="77777777" w:rsidR="009D3388" w:rsidRDefault="00000000">
            <w:r>
              <w:rPr>
                <w:b/>
                <w:bCs/>
                <w:color w:val="000000"/>
                <w:sz w:val="20"/>
                <w:szCs w:val="20"/>
              </w:rPr>
              <w:t>G1: Installed Base Expansion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AE5E1D" w14:textId="77777777" w:rsidR="009D3388" w:rsidRDefault="00000000">
            <w:pPr>
              <w:jc w:val="center"/>
            </w:pPr>
            <w:r>
              <w:rPr>
                <w:b/>
                <w:bCs/>
                <w:color w:val="548235"/>
                <w:sz w:val="20"/>
                <w:szCs w:val="20"/>
              </w:rPr>
              <w:t>8/10</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D63D7" w14:textId="77777777" w:rsidR="009D3388" w:rsidRDefault="00000000">
            <w:pPr>
              <w:jc w:val="center"/>
            </w:pPr>
            <w:r>
              <w:rPr>
                <w:color w:val="000000"/>
                <w:sz w:val="20"/>
                <w:szCs w:val="20"/>
              </w:rPr>
              <w:t>20%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CC0726" w14:textId="77777777" w:rsidR="009D3388" w:rsidRDefault="00000000">
            <w:r>
              <w:rPr>
                <w:color w:val="000000"/>
                <w:sz w:val="20"/>
                <w:szCs w:val="20"/>
              </w:rPr>
              <w:t>NOP hubs grew to 17; fleet expanded to 22 aircraft; US OCS cases +38%; infrastructure scaling rapidly to support 10K case/yr target by 2028.</w:t>
            </w:r>
          </w:p>
        </w:tc>
      </w:tr>
      <w:tr w:rsidR="009D3388" w14:paraId="40CC84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964F82" w14:textId="77777777" w:rsidR="009D3388" w:rsidRDefault="00000000">
            <w:r>
              <w:rPr>
                <w:b/>
                <w:bCs/>
                <w:color w:val="000000"/>
                <w:sz w:val="20"/>
                <w:szCs w:val="20"/>
              </w:rPr>
              <w:t>G2: Procedure Volume Trajectory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4F376" w14:textId="77777777" w:rsidR="009D3388" w:rsidRDefault="00000000">
            <w:pPr>
              <w:jc w:val="center"/>
            </w:pPr>
            <w:r>
              <w:rPr>
                <w:b/>
                <w:bCs/>
                <w:color w:val="548235"/>
                <w:sz w:val="20"/>
                <w:szCs w:val="20"/>
              </w:rPr>
              <w:t>8/10</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CC96A" w14:textId="77777777" w:rsidR="009D3388" w:rsidRDefault="00000000">
            <w:pPr>
              <w:jc w:val="center"/>
            </w:pPr>
            <w:r>
              <w:rPr>
                <w:color w:val="000000"/>
                <w:sz w:val="20"/>
                <w:szCs w:val="20"/>
              </w:rPr>
              <w:t>25%</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7AF4A" w14:textId="77777777" w:rsidR="009D3388" w:rsidRDefault="00000000">
            <w:r>
              <w:rPr>
                <w:color w:val="000000"/>
                <w:sz w:val="20"/>
                <w:szCs w:val="20"/>
              </w:rPr>
              <w:t>5,139 US OCS cases (+38% YoY). Revenue +37%. Expanding across heart, lung, liver. DCD heart expanding donor pool. Utilization per hub rising.</w:t>
            </w:r>
          </w:p>
        </w:tc>
      </w:tr>
      <w:tr w:rsidR="009D3388" w14:paraId="404A90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7611B" w14:textId="77777777" w:rsidR="009D3388" w:rsidRDefault="00000000">
            <w:r>
              <w:rPr>
                <w:b/>
                <w:bCs/>
                <w:color w:val="000000"/>
                <w:sz w:val="20"/>
                <w:szCs w:val="20"/>
              </w:rPr>
              <w:t>G3: New Product &amp; Adjacency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550979" w14:textId="77777777" w:rsidR="009D3388" w:rsidRDefault="00000000">
            <w:pPr>
              <w:jc w:val="center"/>
            </w:pPr>
            <w:r>
              <w:rPr>
                <w:b/>
                <w:bCs/>
                <w:color w:val="BF8F00"/>
                <w:sz w:val="20"/>
                <w:szCs w:val="20"/>
              </w:rPr>
              <w:t>7/10</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59376F" w14:textId="77777777" w:rsidR="009D3388" w:rsidRDefault="00000000">
            <w:pPr>
              <w:jc w:val="center"/>
            </w:pPr>
            <w:r>
              <w:rPr>
                <w:color w:val="000000"/>
                <w:sz w:val="20"/>
                <w:szCs w:val="20"/>
              </w:rPr>
              <w:t>20%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05F73" w14:textId="77777777" w:rsidR="009D3388" w:rsidRDefault="00000000">
            <w:r>
              <w:rPr>
                <w:color w:val="000000"/>
                <w:sz w:val="20"/>
                <w:szCs w:val="20"/>
              </w:rPr>
              <w:t>Next-gen OCS Heart (ENHANCE trial) and Lung (DENOVO trial). Italy NOP expansion. Mercedes-Benz partnership. Dynamic cold perfusion entry planned. R&amp;D ~10-11%.</w:t>
            </w:r>
          </w:p>
        </w:tc>
      </w:tr>
      <w:tr w:rsidR="009D3388" w14:paraId="003162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43476" w14:textId="77777777" w:rsidR="009D3388" w:rsidRDefault="00000000">
            <w:r>
              <w:rPr>
                <w:b/>
                <w:bCs/>
                <w:color w:val="000000"/>
                <w:sz w:val="20"/>
                <w:szCs w:val="20"/>
              </w:rPr>
              <w:t>G4: Geographic Expansion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7D3748" w14:textId="77777777" w:rsidR="009D3388" w:rsidRDefault="00000000">
            <w:pPr>
              <w:jc w:val="center"/>
            </w:pPr>
            <w:r>
              <w:rPr>
                <w:b/>
                <w:bCs/>
                <w:color w:val="C00000"/>
                <w:sz w:val="20"/>
                <w:szCs w:val="20"/>
              </w:rPr>
              <w:t>3/10</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BEA9A2" w14:textId="77777777" w:rsidR="009D3388" w:rsidRDefault="00000000">
            <w:pPr>
              <w:jc w:val="center"/>
            </w:pPr>
            <w:r>
              <w:rPr>
                <w:color w:val="000000"/>
                <w:sz w:val="20"/>
                <w:szCs w:val="20"/>
              </w:rPr>
              <w:t>15%</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7E9BF1" w14:textId="77777777" w:rsidR="009D3388" w:rsidRDefault="00000000">
            <w:r>
              <w:rPr>
                <w:color w:val="000000"/>
                <w:sz w:val="20"/>
                <w:szCs w:val="20"/>
              </w:rPr>
              <w:t>~99% US revenue. OUS revenue only $3.6M. Italy NOP just launching. CE Mark obtained. Very early-stage international expansion.</w:t>
            </w:r>
          </w:p>
        </w:tc>
      </w:tr>
      <w:tr w:rsidR="009D3388" w14:paraId="6EB119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F0B61" w14:textId="77777777" w:rsidR="009D3388" w:rsidRDefault="00000000">
            <w:r>
              <w:rPr>
                <w:b/>
                <w:bCs/>
                <w:color w:val="000000"/>
                <w:sz w:val="20"/>
                <w:szCs w:val="20"/>
              </w:rPr>
              <w:t>G5: M&amp;A &amp; Partnership</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42C48" w14:textId="77777777" w:rsidR="009D3388" w:rsidRDefault="00000000">
            <w:pPr>
              <w:jc w:val="center"/>
            </w:pPr>
            <w:r>
              <w:rPr>
                <w:b/>
                <w:bCs/>
                <w:color w:val="BF8F00"/>
                <w:sz w:val="20"/>
                <w:szCs w:val="20"/>
              </w:rPr>
              <w:t>5/10</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3962A" w14:textId="77777777" w:rsidR="009D3388" w:rsidRDefault="00000000">
            <w:pPr>
              <w:jc w:val="center"/>
            </w:pPr>
            <w:r>
              <w:rPr>
                <w:color w:val="000000"/>
                <w:sz w:val="20"/>
                <w:szCs w:val="20"/>
              </w:rPr>
              <w:t>20%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C4BDC6" w14:textId="77777777" w:rsidR="009D3388" w:rsidRDefault="00000000">
            <w:r>
              <w:rPr>
                <w:color w:val="000000"/>
                <w:sz w:val="20"/>
                <w:szCs w:val="20"/>
              </w:rPr>
              <w:t>Mercedes-Benz Italy collaboration. Vertical integration (fleet ownership). No major M&amp;A. Organic growth focus. Limited partnership network.</w:t>
            </w:r>
          </w:p>
        </w:tc>
      </w:tr>
    </w:tbl>
    <w:p w14:paraId="1B345195" w14:textId="77777777" w:rsidR="009D3388" w:rsidRDefault="009D3388">
      <w:pPr>
        <w:spacing w:after="120"/>
      </w:pPr>
    </w:p>
    <w:p w14:paraId="412A7B59" w14:textId="77777777" w:rsidR="009D3388" w:rsidRDefault="00000000">
      <w:pPr>
        <w:spacing w:after="120"/>
      </w:pPr>
      <w:r>
        <w:rPr>
          <w:b/>
          <w:bCs/>
        </w:rPr>
        <w:t xml:space="preserve">GEE Weighted Score: </w:t>
      </w:r>
      <w:r>
        <w:t>(8×0.20) + (8×0.25) + (7×0.20) + (3×0.15) + (5×0.20) = 1.60 + 2.00 + 1.40 + 0.45 + 1.00 = 6.45 / 10.0</w:t>
      </w:r>
    </w:p>
    <w:p w14:paraId="15CAE458" w14:textId="77777777" w:rsidR="009D3388" w:rsidRDefault="00000000">
      <w:pPr>
        <w:pStyle w:val="Heading3"/>
        <w:spacing w:before="300" w:after="150"/>
      </w:pPr>
      <w:r>
        <w:t>G1: Installed Base Expansion Rate — Score: 8/10</w:t>
      </w:r>
    </w:p>
    <w:p w14:paraId="23A6C3BC" w14:textId="77777777" w:rsidR="009D3388" w:rsidRDefault="00000000">
      <w:pPr>
        <w:spacing w:after="120"/>
      </w:pPr>
      <w:proofErr w:type="spellStart"/>
      <w:r>
        <w:rPr>
          <w:color w:val="000000"/>
        </w:rPr>
        <w:t>TransMedics</w:t>
      </w:r>
      <w:proofErr w:type="spellEnd"/>
      <w:r>
        <w:rPr>
          <w:color w:val="000000"/>
        </w:rPr>
        <w:t>’ NOP infrastructure is expanding at an exceptional pace. The hub count grew to 17 across the US, and the owned aircraft fleet expanded to 22 planes. US OCS cases grew 38% to 5,139 in 2025, and revenue grew 37% to $605.5M. The company’s target of 10,000 annual cases by 2028 implies near-doubling of throughput. New hub openings expand geographic reach and reduce organ transport times, directly enabling more transplant cases. The score of 8 reflects strong expansion (well above 15% annually) with clear share gains in a growing market, tempered slightly by the fact that the “installed base” is infrastructure-based rather than hospital-placed capital equipment.</w:t>
      </w:r>
    </w:p>
    <w:p w14:paraId="4FAFCCE0" w14:textId="77777777" w:rsidR="009D3388" w:rsidRDefault="00000000">
      <w:pPr>
        <w:pStyle w:val="Heading3"/>
        <w:spacing w:before="300" w:after="150"/>
      </w:pPr>
      <w:r>
        <w:t>G2: Procedure Volume Trajectory — Score: 8/10</w:t>
      </w:r>
    </w:p>
    <w:p w14:paraId="26539574" w14:textId="77777777" w:rsidR="009D3388" w:rsidRDefault="00000000">
      <w:pPr>
        <w:spacing w:after="120"/>
      </w:pPr>
      <w:r>
        <w:rPr>
          <w:color w:val="000000"/>
        </w:rPr>
        <w:t xml:space="preserve">Case volume is </w:t>
      </w:r>
      <w:proofErr w:type="spellStart"/>
      <w:r>
        <w:rPr>
          <w:color w:val="000000"/>
        </w:rPr>
        <w:t>TransMedics</w:t>
      </w:r>
      <w:proofErr w:type="spellEnd"/>
      <w:r>
        <w:rPr>
          <w:color w:val="000000"/>
        </w:rPr>
        <w:t>’ most critical growth metric. The 5,139 US OCS cases performed in 2025 represent 38% year-over-year growth, driven by increasing utilization across all three organ programs (heart, lung, liver). The DCD heart indication has been a particularly significant growth driver, expanding the eligible donor pool beyond traditional brain-death donors. Revenue per case is likely stable or rising as NOP logistics services generate additional fees beyond the base OCS disposable sets. The company is expanding into new care settings and organ types. The score of 8 reflects &gt;20% procedure growth with expansion across organ types, falling just short of a 9 because utilization metrics per hub and per-organ penetration rates are not yet fully disclosed.</w:t>
      </w:r>
    </w:p>
    <w:p w14:paraId="6F994214" w14:textId="77777777" w:rsidR="009D3388" w:rsidRDefault="00000000">
      <w:pPr>
        <w:pStyle w:val="Heading3"/>
        <w:spacing w:before="300" w:after="150"/>
      </w:pPr>
      <w:r>
        <w:lastRenderedPageBreak/>
        <w:t>G3: New Product &amp; Adjacency Pipeline — Score: 7/10</w:t>
      </w:r>
    </w:p>
    <w:p w14:paraId="6588E948" w14:textId="77777777" w:rsidR="009D3388" w:rsidRDefault="00000000">
      <w:pPr>
        <w:spacing w:after="120"/>
      </w:pPr>
      <w:r>
        <w:rPr>
          <w:color w:val="000000"/>
        </w:rPr>
        <w:t>The pipeline is solid but still early-stage. Two next-generation OCS systems are entering clinical trials: the ENHANCE Heart trial (full IDE approval, February 2026) is designed as the first randomized, controlled, blinded trial in donor heart preservation, and the DENOVO Lung trial (IDE approval, January 2026) targets next-gen lung preservation. The Italy NOP expansion represents a geographic adjacency with the potential to nearly double the TAM. The Mercedes-Benz collaboration for ground transport is innovative. Planned entry into dynamic cold perfusion would expand the technology portfolio. R&amp;D spending of ~10–11% of revenue is adequate. The score of 7 reflects a solid pipeline with next-gen systems in development and 1–2 adjacencies, but next-gen products are still in trials (not yet ramping), and the software/digital layer that deepens switching costs over time is not yet evident.</w:t>
      </w:r>
    </w:p>
    <w:p w14:paraId="506A5E46" w14:textId="77777777" w:rsidR="009D3388" w:rsidRDefault="00000000">
      <w:pPr>
        <w:pStyle w:val="Heading3"/>
        <w:spacing w:before="300" w:after="150"/>
      </w:pPr>
      <w:r>
        <w:t>G4: Geographic Expansion &amp; Penetration — Score: 3/10</w:t>
      </w:r>
    </w:p>
    <w:p w14:paraId="1BAF8B95" w14:textId="77777777" w:rsidR="009D3388" w:rsidRDefault="00000000">
      <w:pPr>
        <w:spacing w:after="120"/>
      </w:pPr>
      <w:r>
        <w:rPr>
          <w:color w:val="000000"/>
        </w:rPr>
        <w:t xml:space="preserve">This is </w:t>
      </w:r>
      <w:proofErr w:type="spellStart"/>
      <w:r>
        <w:rPr>
          <w:color w:val="000000"/>
        </w:rPr>
        <w:t>TransMedics</w:t>
      </w:r>
      <w:proofErr w:type="spellEnd"/>
      <w:r>
        <w:rPr>
          <w:color w:val="000000"/>
        </w:rPr>
        <w:t>’ most significant weakness. Approximately 99% of revenue is generated in the US, with OUS revenue of only $3.6M (growing 41% but from a tiny base). The Italy NOP launch, with four hubs in Milan, Rome, Padua, and Bari, represents the first meaningful international expansion. The CE Mark is in hand for European markets. However, the company is effectively domestic-only today, with no commercial infrastructure outside the US (aside from the Italy launch). The long-term opportunity in Europe, Asia, and the Middle East is substantial (there are ~40,000 organ transplants performed outside the US annually), but this is several years away from contributing meaningful revenue. The score of 3 reflects a domestic-only company with one international market just launching.</w:t>
      </w:r>
    </w:p>
    <w:p w14:paraId="388A990A" w14:textId="77777777" w:rsidR="009D3388" w:rsidRDefault="00000000">
      <w:pPr>
        <w:pStyle w:val="Heading3"/>
        <w:spacing w:before="300" w:after="150"/>
      </w:pPr>
      <w:r>
        <w:t>G5: M&amp;A &amp; Partnership Capability — Score: 5/10</w:t>
      </w:r>
    </w:p>
    <w:p w14:paraId="381DDA2B" w14:textId="77777777" w:rsidR="009D3388" w:rsidRDefault="00000000">
      <w:pPr>
        <w:spacing w:after="120"/>
      </w:pPr>
      <w:proofErr w:type="spellStart"/>
      <w:r>
        <w:rPr>
          <w:color w:val="000000"/>
        </w:rPr>
        <w:t>TransMedics</w:t>
      </w:r>
      <w:proofErr w:type="spellEnd"/>
      <w:r>
        <w:rPr>
          <w:color w:val="000000"/>
        </w:rPr>
        <w:t xml:space="preserve"> is fundamentally an organic grower with a vertical integration strategy. The most significant “acquisitions” have been the buildout of an owned aircraft fleet (22 planes), which represents vertical integration into logistics rather than traditional M&amp;A. The Mercedes-Benz partnership for Italy ground transport is a notable strategic collaboration. However, the company has not executed any major M&amp;A deals, does not have a deep partnership network, and is not using external growth to accelerate platform evolution. The score of 5 reflects adequate organic growth with one meaningful partnership, but limited M&amp;A capability or history.</w:t>
      </w:r>
    </w:p>
    <w:p w14:paraId="6C476CAC" w14:textId="77777777" w:rsidR="009D3388" w:rsidRDefault="00000000">
      <w:r>
        <w:br w:type="page"/>
      </w:r>
    </w:p>
    <w:p w14:paraId="0B210683" w14:textId="77777777" w:rsidR="009D3388" w:rsidRDefault="00000000">
      <w:pPr>
        <w:pStyle w:val="Heading1"/>
        <w:spacing w:before="300" w:after="150"/>
      </w:pPr>
      <w:r>
        <w:lastRenderedPageBreak/>
        <w:t>STAGE 3: FINANCIAL QUALITY ASSESSMENT (FQA)</w:t>
      </w:r>
    </w:p>
    <w:p w14:paraId="0D03852B" w14:textId="77777777" w:rsidR="009D3388" w:rsidRDefault="00000000">
      <w:pPr>
        <w:spacing w:after="120"/>
      </w:pPr>
      <w:r>
        <w:rPr>
          <w:color w:val="000000"/>
        </w:rPr>
        <w:t>All dimensions weighted equally at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9D3388" w14:paraId="6625B4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B18713A" w14:textId="77777777" w:rsidR="009D3388" w:rsidRDefault="00000000">
            <w:r>
              <w:rPr>
                <w:b/>
                <w:bCs/>
                <w:color w:val="FFFFFF"/>
                <w:sz w:val="20"/>
                <w:szCs w:val="20"/>
              </w:rPr>
              <w:t>Dimension</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BC9729" w14:textId="77777777" w:rsidR="009D3388" w:rsidRDefault="00000000">
            <w:pPr>
              <w:jc w:val="center"/>
            </w:pPr>
            <w:r>
              <w:rPr>
                <w:b/>
                <w:bCs/>
                <w:color w:val="FFFFFF"/>
                <w:sz w:val="20"/>
                <w:szCs w:val="20"/>
              </w:rPr>
              <w:t>Score</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4FFD89D" w14:textId="77777777" w:rsidR="009D3388" w:rsidRDefault="00000000">
            <w:r>
              <w:rPr>
                <w:b/>
                <w:bCs/>
                <w:color w:val="FFFFFF"/>
                <w:sz w:val="20"/>
                <w:szCs w:val="20"/>
              </w:rPr>
              <w:t>Key Evidence</w:t>
            </w:r>
          </w:p>
        </w:tc>
      </w:tr>
      <w:tr w:rsidR="009D3388" w14:paraId="5DE8AC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9A191F" w14:textId="77777777" w:rsidR="009D3388" w:rsidRDefault="00000000">
            <w:r>
              <w:rPr>
                <w:b/>
                <w:bCs/>
                <w:color w:val="000000"/>
                <w:sz w:val="20"/>
                <w:szCs w:val="20"/>
              </w:rPr>
              <w:t>F1: Recurring Revenue Quality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2A93B" w14:textId="77777777" w:rsidR="009D3388" w:rsidRDefault="00000000">
            <w:pPr>
              <w:jc w:val="center"/>
            </w:pPr>
            <w:r>
              <w:rPr>
                <w:b/>
                <w:bCs/>
                <w:color w:val="548235"/>
                <w:sz w:val="20"/>
                <w:szCs w:val="20"/>
              </w:rPr>
              <w:t>8/10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E316A5" w14:textId="77777777" w:rsidR="009D3388" w:rsidRDefault="00000000">
            <w:r>
              <w:rPr>
                <w:color w:val="000000"/>
                <w:sz w:val="20"/>
                <w:szCs w:val="20"/>
              </w:rPr>
              <w:t>~100% per-procedure revenue. Every case = $38K-$80K disposables + NOP logistics fees. No one-time capital sales dominating mix. Revenue directly tied to case volumes.</w:t>
            </w:r>
          </w:p>
        </w:tc>
      </w:tr>
      <w:tr w:rsidR="009D3388" w14:paraId="75D29A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2CC95D" w14:textId="77777777" w:rsidR="009D3388" w:rsidRDefault="00000000">
            <w:r>
              <w:rPr>
                <w:b/>
                <w:bCs/>
                <w:color w:val="000000"/>
                <w:sz w:val="20"/>
                <w:szCs w:val="20"/>
              </w:rPr>
              <w:t>F2: Margin Structure &amp; Leverage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35CBDA" w14:textId="77777777" w:rsidR="009D3388" w:rsidRDefault="00000000">
            <w:pPr>
              <w:jc w:val="center"/>
            </w:pPr>
            <w:r>
              <w:rPr>
                <w:b/>
                <w:bCs/>
                <w:color w:val="BF8F00"/>
                <w:sz w:val="20"/>
                <w:szCs w:val="20"/>
              </w:rPr>
              <w:t>7/10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DA4694" w14:textId="77777777" w:rsidR="009D3388" w:rsidRDefault="00000000">
            <w:r>
              <w:rPr>
                <w:color w:val="000000"/>
                <w:sz w:val="20"/>
                <w:szCs w:val="20"/>
              </w:rPr>
              <w:t>Gross margin 60% (improving). Operating margin ~18% (up from ~4% prior year). Target 30% by 2028. Clear operating leverage as case volumes scale over fixed NOP infrastructure.</w:t>
            </w:r>
          </w:p>
        </w:tc>
      </w:tr>
      <w:tr w:rsidR="009D3388" w14:paraId="395CDA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FAD39" w14:textId="77777777" w:rsidR="009D3388" w:rsidRDefault="00000000">
            <w:r>
              <w:rPr>
                <w:b/>
                <w:bCs/>
                <w:color w:val="000000"/>
                <w:sz w:val="20"/>
                <w:szCs w:val="20"/>
              </w:rPr>
              <w:t>F3: Capital Allocation &amp; Balance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53EBE" w14:textId="77777777" w:rsidR="009D3388" w:rsidRDefault="00000000">
            <w:pPr>
              <w:jc w:val="center"/>
            </w:pPr>
            <w:r>
              <w:rPr>
                <w:b/>
                <w:bCs/>
                <w:color w:val="BF8F00"/>
                <w:sz w:val="20"/>
                <w:szCs w:val="20"/>
              </w:rPr>
              <w:t>5/10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4F377" w14:textId="77777777" w:rsidR="009D3388" w:rsidRDefault="00000000">
            <w:r>
              <w:rPr>
                <w:color w:val="000000"/>
                <w:sz w:val="20"/>
                <w:szCs w:val="20"/>
              </w:rPr>
              <w:t>Cash ~$466M; convertible notes $452M + $55M bank debt. Roughly net-neutral balance sheet. Capital-intensive fleet buildout. No M&amp;A history. Disciplined but leveraged.</w:t>
            </w:r>
          </w:p>
        </w:tc>
      </w:tr>
      <w:tr w:rsidR="009D3388" w14:paraId="287FCD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25D294" w14:textId="77777777" w:rsidR="009D3388" w:rsidRDefault="00000000">
            <w:r>
              <w:rPr>
                <w:b/>
                <w:bCs/>
                <w:color w:val="000000"/>
                <w:sz w:val="20"/>
                <w:szCs w:val="20"/>
              </w:rPr>
              <w:t>F4: Free Cash Flow Generation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C57E6" w14:textId="77777777" w:rsidR="009D3388" w:rsidRDefault="00000000">
            <w:pPr>
              <w:jc w:val="center"/>
            </w:pPr>
            <w:r>
              <w:rPr>
                <w:b/>
                <w:bCs/>
                <w:color w:val="C00000"/>
                <w:sz w:val="20"/>
                <w:szCs w:val="20"/>
              </w:rPr>
              <w:t>4/10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94EE1D" w14:textId="77777777" w:rsidR="009D3388" w:rsidRDefault="00000000">
            <w:r>
              <w:rPr>
                <w:color w:val="000000"/>
                <w:sz w:val="20"/>
                <w:szCs w:val="20"/>
              </w:rPr>
              <w:t>FCF near breakeven. Capex heavy (aircraft fleet). Operating cash flow positive but consumed by fleet expansion. FCF breakeven expected late 2026/early 2027. Path visible.</w:t>
            </w:r>
          </w:p>
        </w:tc>
      </w:tr>
      <w:tr w:rsidR="009D3388" w14:paraId="16F74D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73CBC" w14:textId="77777777" w:rsidR="009D3388" w:rsidRDefault="00000000">
            <w:r>
              <w:rPr>
                <w:b/>
                <w:bCs/>
                <w:color w:val="000000"/>
                <w:sz w:val="20"/>
                <w:szCs w:val="20"/>
              </w:rPr>
              <w:t>F5: Management Quality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1D61C" w14:textId="77777777" w:rsidR="009D3388" w:rsidRDefault="00000000">
            <w:pPr>
              <w:jc w:val="center"/>
            </w:pPr>
            <w:r>
              <w:rPr>
                <w:b/>
                <w:bCs/>
                <w:color w:val="BF8F00"/>
                <w:sz w:val="20"/>
                <w:szCs w:val="20"/>
              </w:rPr>
              <w:t>7/10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FB388" w14:textId="77777777" w:rsidR="009D3388" w:rsidRDefault="00000000">
            <w:r>
              <w:rPr>
                <w:color w:val="000000"/>
                <w:sz w:val="20"/>
                <w:szCs w:val="20"/>
              </w:rPr>
              <w:t>CEO Waleed Hassanein built NOP concept. Revenue +37% in 2025. 5,139 cases, fleet to 22 aircraft. Beat-and-raise cadence. 20-25% 2026 guide. Some analyst transparency concerns.</w:t>
            </w:r>
          </w:p>
        </w:tc>
      </w:tr>
    </w:tbl>
    <w:p w14:paraId="2867492F" w14:textId="77777777" w:rsidR="009D3388" w:rsidRDefault="009D3388">
      <w:pPr>
        <w:spacing w:after="120"/>
      </w:pPr>
    </w:p>
    <w:p w14:paraId="1D6F4893" w14:textId="77777777" w:rsidR="009D3388" w:rsidRDefault="00000000">
      <w:pPr>
        <w:spacing w:after="120"/>
      </w:pPr>
      <w:r>
        <w:rPr>
          <w:b/>
          <w:bCs/>
        </w:rPr>
        <w:t xml:space="preserve">FQA Weighted Score: </w:t>
      </w:r>
      <w:r>
        <w:t>(8×0.20) + (7×0.20) + (5×0.20) + (4×0.20) + (7×0.20) = 1.60 + 1.40 + 1.00 + 0.80 + 1.40 = 6.20 / 10.0</w:t>
      </w:r>
    </w:p>
    <w:p w14:paraId="513FE13B" w14:textId="77777777" w:rsidR="009D3388" w:rsidRDefault="00000000">
      <w:pPr>
        <w:pStyle w:val="Heading3"/>
        <w:spacing w:before="300" w:after="150"/>
      </w:pPr>
      <w:r>
        <w:t>F1: Recurring Revenue Quality — Score: 8/10</w:t>
      </w:r>
    </w:p>
    <w:p w14:paraId="1AB06642" w14:textId="77777777" w:rsidR="009D3388" w:rsidRDefault="00000000">
      <w:pPr>
        <w:spacing w:after="120"/>
      </w:pPr>
      <w:proofErr w:type="spellStart"/>
      <w:r>
        <w:rPr>
          <w:color w:val="000000"/>
        </w:rPr>
        <w:t>TransMedics</w:t>
      </w:r>
      <w:proofErr w:type="spellEnd"/>
      <w:r>
        <w:rPr>
          <w:color w:val="000000"/>
        </w:rPr>
        <w:t xml:space="preserve"> has one of the highest-quality recurring revenue models in medical devices. Essentially 100% of revenue is per-procedure: every OCS case requires a disposable perfusion set ($38,000–$80,000 depending on organ type), and the NOP generates additional logistics service fees for aviation, clinical perfusionist support, and organ procurement coordination. There are no one-time capital equipment sales diluting the recurring mix. Revenue is directly tied to case volumes, which grew 38% in 2025. The model is more “per-transaction” than “subscription/service contract,” which creates slightly less revenue visibility than a traditional service contract model (no multi-year commitments from hospitals), preventing a score of 9 or 10.</w:t>
      </w:r>
    </w:p>
    <w:p w14:paraId="7C4FB2F0" w14:textId="77777777" w:rsidR="009D3388" w:rsidRDefault="00000000">
      <w:pPr>
        <w:pStyle w:val="Heading3"/>
        <w:spacing w:before="300" w:after="150"/>
      </w:pPr>
      <w:r>
        <w:t>F2: Margin Structure &amp; Operating Leverage — Score: 7/10</w:t>
      </w:r>
    </w:p>
    <w:p w14:paraId="18908D89" w14:textId="77777777" w:rsidR="009D3388" w:rsidRDefault="00000000">
      <w:pPr>
        <w:spacing w:after="120"/>
      </w:pPr>
      <w:r>
        <w:rPr>
          <w:color w:val="000000"/>
        </w:rPr>
        <w:t>Gross margins of 60% (FY2025, up from 59% in 2024) are solid and improving as the NOP scales. Operating margin reached approximately 18% in 2025, a dramatic improvement from ~4% in 2024, demonstrating significant operating leverage as case volumes grow over the relatively fixed NOP infrastructure. Management targets 30% operating margins by 2028. The operating leverage story is compelling: each incremental OCS case utilizes existing hub and aircraft capacity, driving high-margin revenue against a relatively fixed cost base. The score of 7 reflects gross margins in the 60–70% range with operating margins of 15–25% and clear operating leverage, consistent with the framework’s 7–8 scoring anchor.</w:t>
      </w:r>
    </w:p>
    <w:p w14:paraId="7C928D6B" w14:textId="77777777" w:rsidR="009D3388" w:rsidRDefault="00000000">
      <w:pPr>
        <w:pStyle w:val="Heading3"/>
        <w:spacing w:before="300" w:after="150"/>
      </w:pPr>
      <w:r>
        <w:lastRenderedPageBreak/>
        <w:t>F3: Capital Allocation &amp; Balance Sheet — Score: 5/10</w:t>
      </w:r>
    </w:p>
    <w:p w14:paraId="1D483B1C" w14:textId="77777777" w:rsidR="009D3388" w:rsidRDefault="00000000">
      <w:pPr>
        <w:spacing w:after="120"/>
      </w:pPr>
      <w:proofErr w:type="spellStart"/>
      <w:r>
        <w:rPr>
          <w:color w:val="000000"/>
        </w:rPr>
        <w:t>TransMedics</w:t>
      </w:r>
      <w:proofErr w:type="spellEnd"/>
      <w:r>
        <w:rPr>
          <w:color w:val="000000"/>
        </w:rPr>
        <w:t xml:space="preserve">’ balance sheet reflects a company in heavy investment mode. Cash and equivalents were approximately $466M as of Q3 2025, offset by $452M in 1.50% convertible senior notes due 2028 and $54.6M in long-term bank debt, resulting in a roughly net-neutral to slightly net-debt position. The company has invested aggressively in its aircraft fleet (22 planes), NOP hub infrastructure, and the new global headquarters at Assembly Innovation Park in Somerville, Massachusetts. This capital intensity is strategically sound (building an </w:t>
      </w:r>
      <w:proofErr w:type="spellStart"/>
      <w:r>
        <w:rPr>
          <w:color w:val="000000"/>
        </w:rPr>
        <w:t>unreplicable</w:t>
      </w:r>
      <w:proofErr w:type="spellEnd"/>
      <w:r>
        <w:rPr>
          <w:color w:val="000000"/>
        </w:rPr>
        <w:t xml:space="preserve"> logistics moat) but carries financial risk. The convertible notes due 2028 represent a significant near-term liability. Capital allocation discipline has been reasonable — no dilutive acquisitions, focused infrastructure investment — but the leveraged balance sheet prevents a score above 5.</w:t>
      </w:r>
    </w:p>
    <w:p w14:paraId="771050C0" w14:textId="77777777" w:rsidR="009D3388" w:rsidRDefault="00000000">
      <w:pPr>
        <w:pStyle w:val="Heading3"/>
        <w:spacing w:before="300" w:after="150"/>
      </w:pPr>
      <w:r>
        <w:t>F4: Free Cash Flow Generation — Score: 4/10</w:t>
      </w:r>
    </w:p>
    <w:p w14:paraId="47F6BCB4" w14:textId="77777777" w:rsidR="009D3388" w:rsidRDefault="00000000">
      <w:pPr>
        <w:spacing w:after="120"/>
      </w:pPr>
      <w:proofErr w:type="spellStart"/>
      <w:r>
        <w:rPr>
          <w:color w:val="000000"/>
        </w:rPr>
        <w:t>TransMedics</w:t>
      </w:r>
      <w:proofErr w:type="spellEnd"/>
      <w:r>
        <w:rPr>
          <w:color w:val="000000"/>
        </w:rPr>
        <w:t xml:space="preserve"> is approaching but has not yet achieved free cash flow breakeven. The company generates positive operating cash flow (driven by $605.5M in revenue at 60% gross margin and 18% operating margin), but capital expenditures for aircraft fleet expansion and NOP infrastructure consume most or all of operating cash flow. Analysts expect FCF breakeven by late 2026 or early 2027, with capex pressures easing after 2026 as the fleet and hub network approach target scale. The score of 4 reflects FCF near breakeven with a visible path to positive FCF, consistent with the 4–6 scoring anchor for FCF breakeven or recently positive companies.</w:t>
      </w:r>
    </w:p>
    <w:p w14:paraId="5FB20F0B" w14:textId="77777777" w:rsidR="009D3388" w:rsidRDefault="00000000">
      <w:pPr>
        <w:pStyle w:val="Heading3"/>
        <w:spacing w:before="300" w:after="150"/>
      </w:pPr>
      <w:r>
        <w:t>F5: Management Quality &amp; Execution — Score: 7/10</w:t>
      </w:r>
    </w:p>
    <w:p w14:paraId="4CF8080A" w14:textId="77777777" w:rsidR="009D3388" w:rsidRDefault="00000000">
      <w:pPr>
        <w:spacing w:after="120"/>
      </w:pPr>
      <w:r>
        <w:rPr>
          <w:color w:val="000000"/>
        </w:rPr>
        <w:t xml:space="preserve">CEO Waleed Hassanein is the visionary behind both the OCS technology and the NOP logistics concept, which transformed </w:t>
      </w:r>
      <w:proofErr w:type="spellStart"/>
      <w:r>
        <w:rPr>
          <w:color w:val="000000"/>
        </w:rPr>
        <w:t>TransMedics</w:t>
      </w:r>
      <w:proofErr w:type="spellEnd"/>
      <w:r>
        <w:rPr>
          <w:color w:val="000000"/>
        </w:rPr>
        <w:t xml:space="preserve"> from a device company into an integrated transplant platform. Under his leadership, revenue grew from $241.6M (2023) to $605.5M (2025), a 150% increase in two years. The company scaled from a handful of NOP hubs to 17 with 22 aircraft, all while improving gross margins and dramatically expanding operating margins. The 2026 guidance of $727–$757M (20–25% growth) maintains a beat-and-raise cadence. The stock appreciated 95% over the trailing 12 months as of late 2025. However, some analysts have raised questions about seasonality patterns and trial revenue contribution transparency, which tempers the score. The management team’s execution on the NOP buildout has been exceptional, justifying a strong 7.</w:t>
      </w:r>
    </w:p>
    <w:p w14:paraId="625948D0" w14:textId="77777777" w:rsidR="009D3388" w:rsidRDefault="00000000">
      <w:r>
        <w:br w:type="page"/>
      </w:r>
    </w:p>
    <w:p w14:paraId="164B43F5" w14:textId="77777777" w:rsidR="009D3388" w:rsidRDefault="00000000">
      <w:pPr>
        <w:pStyle w:val="Heading1"/>
        <w:spacing w:before="300" w:after="150"/>
      </w:pPr>
      <w:r>
        <w:lastRenderedPageBreak/>
        <w:t>STAGE 4: COMPOSITE SCORING, MODIFIERS &amp; VALUATION GATES</w:t>
      </w:r>
    </w:p>
    <w:p w14:paraId="607AD329" w14:textId="77777777" w:rsidR="009D3388" w:rsidRDefault="00000000">
      <w:pPr>
        <w:pStyle w:val="Heading2"/>
        <w:spacing w:before="300" w:after="150"/>
      </w:pPr>
      <w:r>
        <w:t>Composite Calculation</w:t>
      </w:r>
    </w:p>
    <w:p w14:paraId="6303BED5" w14:textId="77777777" w:rsidR="009D3388" w:rsidRDefault="00000000">
      <w:pPr>
        <w:spacing w:after="120"/>
      </w:pPr>
      <w:r>
        <w:rPr>
          <w:color w:val="000000"/>
        </w:rPr>
        <w:t>Growth Platform weights: GEE 55%, FQA 45%</w:t>
      </w:r>
    </w:p>
    <w:p w14:paraId="21BCE3A6" w14:textId="77777777" w:rsidR="009D3388" w:rsidRDefault="00000000">
      <w:pPr>
        <w:spacing w:after="120"/>
      </w:pPr>
      <w:r>
        <w:rPr>
          <w:b/>
          <w:bCs/>
        </w:rPr>
        <w:t xml:space="preserve">Raw Composite = </w:t>
      </w:r>
      <w:r>
        <w:t>(6.45 × 0.55) + (6.20 × 0.45) = 3.55 + 2.79 = 6.34</w:t>
      </w:r>
    </w:p>
    <w:p w14:paraId="66760ADA" w14:textId="77777777" w:rsidR="009D3388" w:rsidRDefault="00000000">
      <w:pPr>
        <w:pStyle w:val="Heading2"/>
        <w:spacing w:before="300" w:after="150"/>
      </w:pPr>
      <w:r>
        <w:t>Modifiers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360"/>
      </w:tblGrid>
      <w:tr w:rsidR="009D3388" w14:paraId="48AA6B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98B4C33" w14:textId="77777777" w:rsidR="009D3388" w:rsidRDefault="00000000">
            <w:r>
              <w:rPr>
                <w:b/>
                <w:bCs/>
                <w:color w:val="FFFFFF"/>
                <w:sz w:val="20"/>
                <w:szCs w:val="20"/>
              </w:rPr>
              <w:t>Modifier</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FF715CC" w14:textId="77777777" w:rsidR="009D3388" w:rsidRDefault="00000000">
            <w:pPr>
              <w:jc w:val="center"/>
            </w:pPr>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50C01B5" w14:textId="77777777" w:rsidR="009D3388" w:rsidRDefault="00000000">
            <w:r>
              <w:rPr>
                <w:b/>
                <w:bCs/>
                <w:color w:val="FFFFFF"/>
                <w:sz w:val="20"/>
                <w:szCs w:val="20"/>
              </w:rPr>
              <w:t>Rationale</w:t>
            </w:r>
          </w:p>
        </w:tc>
      </w:tr>
      <w:tr w:rsidR="009D3388" w14:paraId="074532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E51311" w14:textId="77777777" w:rsidR="009D3388" w:rsidRDefault="00000000">
            <w:r>
              <w:rPr>
                <w:b/>
                <w:bCs/>
                <w:color w:val="000000"/>
                <w:sz w:val="20"/>
                <w:szCs w:val="20"/>
              </w:rPr>
              <w:t>Secular Adoption Tailwind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955EF" w14:textId="77777777" w:rsidR="009D3388" w:rsidRDefault="00000000">
            <w:pPr>
              <w:jc w:val="center"/>
            </w:pPr>
            <w:r>
              <w:rPr>
                <w:b/>
                <w:bCs/>
                <w:color w:val="548235"/>
                <w:sz w:val="20"/>
                <w:szCs w:val="20"/>
              </w:rPr>
              <w:t>+0.75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0274BC" w14:textId="77777777" w:rsidR="009D3388" w:rsidRDefault="00000000">
            <w:r>
              <w:rPr>
                <w:color w:val="000000"/>
                <w:sz w:val="20"/>
                <w:szCs w:val="20"/>
              </w:rPr>
              <w:t>Organ transplant is massively underserved globally (~150K patients on waitlists vs ~40K annual transplants in US). OCS warm perfusion expands the donor pool (DCD donors, extended criteria organs). Multi-decade adoption cycle still in very early innings.</w:t>
            </w:r>
          </w:p>
        </w:tc>
      </w:tr>
      <w:tr w:rsidR="009D3388" w14:paraId="399820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C24D0" w14:textId="77777777" w:rsidR="009D3388" w:rsidRDefault="00000000">
            <w:r>
              <w:rPr>
                <w:b/>
                <w:bCs/>
                <w:color w:val="000000"/>
                <w:sz w:val="20"/>
                <w:szCs w:val="20"/>
              </w:rPr>
              <w:t>Platform Flywheel Premium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CE7DF" w14:textId="77777777" w:rsidR="009D3388" w:rsidRDefault="00000000">
            <w:pPr>
              <w:jc w:val="center"/>
            </w:pPr>
            <w:r>
              <w:rPr>
                <w:b/>
                <w:bCs/>
                <w:color w:val="548235"/>
                <w:sz w:val="20"/>
                <w:szCs w:val="20"/>
              </w:rPr>
              <w:t>+0.50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84B93" w14:textId="77777777" w:rsidR="009D3388" w:rsidRDefault="00000000">
            <w:r>
              <w:rPr>
                <w:color w:val="000000"/>
                <w:sz w:val="20"/>
                <w:szCs w:val="20"/>
              </w:rPr>
              <w:t>More NOP hubs → broader geographic reach → more cases → more clinical data → better outcomes evidence → more transplant center adoption → more volume to justify more hubs/aircraft. Flywheel present but not yet as self-reinforcing as ISRG.</w:t>
            </w:r>
          </w:p>
        </w:tc>
      </w:tr>
      <w:tr w:rsidR="009D3388" w14:paraId="43FDE4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3FC75" w14:textId="77777777" w:rsidR="009D3388" w:rsidRDefault="00000000">
            <w:r>
              <w:rPr>
                <w:b/>
                <w:bCs/>
                <w:color w:val="000000"/>
                <w:sz w:val="20"/>
                <w:szCs w:val="20"/>
              </w:rPr>
              <w:t>Competitive Disruption Risk</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8CFC6" w14:textId="77777777" w:rsidR="009D3388" w:rsidRDefault="00000000">
            <w:pPr>
              <w:jc w:val="center"/>
            </w:pPr>
            <w:r>
              <w:rPr>
                <w:b/>
                <w:bCs/>
                <w:color w:val="C00000"/>
                <w:sz w:val="20"/>
                <w:szCs w:val="20"/>
              </w:rPr>
              <w:t>-0.25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7AC68" w14:textId="77777777" w:rsidR="009D3388" w:rsidRDefault="00000000">
            <w:r>
              <w:rPr>
                <w:color w:val="000000"/>
                <w:sz w:val="20"/>
                <w:szCs w:val="20"/>
              </w:rPr>
              <w:t xml:space="preserve">XVIVO (cold perfusion, no FDA liver), </w:t>
            </w:r>
            <w:proofErr w:type="spellStart"/>
            <w:r>
              <w:rPr>
                <w:color w:val="000000"/>
                <w:sz w:val="20"/>
                <w:szCs w:val="20"/>
              </w:rPr>
              <w:t>OrganOx</w:t>
            </w:r>
            <w:proofErr w:type="spellEnd"/>
            <w:r>
              <w:rPr>
                <w:color w:val="000000"/>
                <w:sz w:val="20"/>
                <w:szCs w:val="20"/>
              </w:rPr>
              <w:t xml:space="preserve"> (warm perfusion liver only), </w:t>
            </w:r>
            <w:proofErr w:type="spellStart"/>
            <w:r>
              <w:rPr>
                <w:color w:val="000000"/>
                <w:sz w:val="20"/>
                <w:szCs w:val="20"/>
              </w:rPr>
              <w:t>Paragonix</w:t>
            </w:r>
            <w:proofErr w:type="spellEnd"/>
            <w:r>
              <w:rPr>
                <w:color w:val="000000"/>
                <w:sz w:val="20"/>
                <w:szCs w:val="20"/>
              </w:rPr>
              <w:t>/Getinge (cold storage). None has multi-organ + logistics. Risk is modest but nonzero as XVIVO pursues US market.</w:t>
            </w:r>
          </w:p>
        </w:tc>
      </w:tr>
    </w:tbl>
    <w:p w14:paraId="7E36D096" w14:textId="77777777" w:rsidR="009D3388" w:rsidRDefault="009D3388">
      <w:pPr>
        <w:spacing w:after="120"/>
      </w:pPr>
    </w:p>
    <w:p w14:paraId="17ED0DFE" w14:textId="77777777" w:rsidR="009D3388" w:rsidRDefault="00000000">
      <w:pPr>
        <w:spacing w:after="120"/>
      </w:pPr>
      <w:r>
        <w:rPr>
          <w:b/>
          <w:bCs/>
        </w:rPr>
        <w:t xml:space="preserve">Total Modifier Adjustment: </w:t>
      </w:r>
      <w:r>
        <w:t>+0.75 + 0.50 - 0.25 = +1.00</w:t>
      </w:r>
    </w:p>
    <w:p w14:paraId="7C3E9AB8" w14:textId="77777777" w:rsidR="009D3388" w:rsidRDefault="00000000">
      <w:pPr>
        <w:spacing w:after="120"/>
      </w:pPr>
      <w:r>
        <w:rPr>
          <w:b/>
          <w:bCs/>
        </w:rPr>
        <w:t xml:space="preserve">Adjusted Composite: </w:t>
      </w:r>
      <w:r>
        <w:t>6.34 + 1.00 = 7.34 / 10.0</w:t>
      </w:r>
    </w:p>
    <w:p w14:paraId="08C26FB2" w14:textId="77777777" w:rsidR="009D3388" w:rsidRDefault="00000000">
      <w:pPr>
        <w:pStyle w:val="Heading2"/>
        <w:spacing w:before="300" w:after="150"/>
      </w:pPr>
      <w:r>
        <w:t>Valuation Gates (Growth Platform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9D3388" w14:paraId="4CDA60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643B40A" w14:textId="77777777" w:rsidR="009D3388" w:rsidRDefault="00000000">
            <w:r>
              <w:rPr>
                <w:b/>
                <w:bCs/>
                <w:color w:val="FFFFFF"/>
                <w:sz w:val="20"/>
                <w:szCs w:val="20"/>
              </w:rPr>
              <w:t>Gate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5EBC34" w14:textId="77777777" w:rsidR="009D3388" w:rsidRDefault="00000000">
            <w:pPr>
              <w:jc w:val="center"/>
            </w:pPr>
            <w:r>
              <w:rPr>
                <w:b/>
                <w:bCs/>
                <w:color w:val="FFFFFF"/>
                <w:sz w:val="20"/>
                <w:szCs w:val="20"/>
              </w:rPr>
              <w:t>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66BED3" w14:textId="77777777" w:rsidR="009D3388" w:rsidRDefault="00000000">
            <w:pPr>
              <w:jc w:val="center"/>
            </w:pPr>
            <w:r>
              <w:rPr>
                <w:b/>
                <w:bCs/>
                <w:color w:val="FFFFFF"/>
                <w:sz w:val="20"/>
                <w:szCs w:val="20"/>
              </w:rPr>
              <w:t>Actual</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7B39DBC" w14:textId="77777777" w:rsidR="009D3388" w:rsidRDefault="00000000">
            <w:pPr>
              <w:jc w:val="center"/>
            </w:pPr>
            <w:r>
              <w:rPr>
                <w:b/>
                <w:bCs/>
                <w:color w:val="FFFFFF"/>
                <w:sz w:val="20"/>
                <w:szCs w:val="20"/>
              </w:rPr>
              <w:t>Result</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0B72384" w14:textId="77777777" w:rsidR="009D3388" w:rsidRDefault="00000000">
            <w:pPr>
              <w:jc w:val="center"/>
            </w:pPr>
            <w:r>
              <w:rPr>
                <w:b/>
                <w:bCs/>
                <w:color w:val="FFFFFF"/>
                <w:sz w:val="20"/>
                <w:szCs w:val="20"/>
              </w:rPr>
              <w:t>Note</w:t>
            </w:r>
          </w:p>
        </w:tc>
      </w:tr>
      <w:tr w:rsidR="009D3388" w14:paraId="122903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CA87C" w14:textId="77777777" w:rsidR="009D3388" w:rsidRDefault="00000000">
            <w:r>
              <w:rPr>
                <w:b/>
                <w:bCs/>
                <w:color w:val="000000"/>
                <w:sz w:val="20"/>
                <w:szCs w:val="20"/>
              </w:rPr>
              <w:t>EV/Revenue (NTM)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88054" w14:textId="77777777" w:rsidR="009D3388" w:rsidRDefault="00000000">
            <w:pPr>
              <w:jc w:val="center"/>
            </w:pPr>
            <w:r>
              <w:rPr>
                <w:color w:val="000000"/>
                <w:sz w:val="20"/>
                <w:szCs w:val="20"/>
              </w:rPr>
              <w:t>≤ 15x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FE3EA" w14:textId="77777777" w:rsidR="009D3388" w:rsidRDefault="00000000">
            <w:pPr>
              <w:jc w:val="center"/>
            </w:pPr>
            <w:r>
              <w:rPr>
                <w:color w:val="000000"/>
                <w:sz w:val="20"/>
                <w:szCs w:val="20"/>
              </w:rPr>
              <w:t>~5.8x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77A33" w14:textId="77777777" w:rsidR="009D3388" w:rsidRDefault="00000000">
            <w:pPr>
              <w:jc w:val="center"/>
            </w:pPr>
            <w:r>
              <w:rPr>
                <w:b/>
                <w:bCs/>
                <w:color w:val="548235"/>
                <w:sz w:val="20"/>
                <w:szCs w:val="20"/>
              </w:rPr>
              <w:t>PASS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E7C978" w14:textId="77777777" w:rsidR="009D3388" w:rsidRDefault="009D3388"/>
        </w:tc>
      </w:tr>
      <w:tr w:rsidR="009D3388" w14:paraId="0D6BA8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07EE3" w14:textId="77777777" w:rsidR="009D3388" w:rsidRDefault="00000000">
            <w:r>
              <w:rPr>
                <w:b/>
                <w:bCs/>
                <w:color w:val="000000"/>
                <w:sz w:val="20"/>
                <w:szCs w:val="20"/>
              </w:rPr>
              <w:t>P/E (NTM)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90AA86" w14:textId="77777777" w:rsidR="009D3388" w:rsidRDefault="00000000">
            <w:pPr>
              <w:jc w:val="center"/>
            </w:pPr>
            <w:r>
              <w:rPr>
                <w:color w:val="000000"/>
                <w:sz w:val="20"/>
                <w:szCs w:val="20"/>
              </w:rPr>
              <w:t>≤ 60x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AAB46" w14:textId="77777777" w:rsidR="009D3388" w:rsidRDefault="00000000">
            <w:pPr>
              <w:jc w:val="center"/>
            </w:pPr>
            <w:r>
              <w:rPr>
                <w:color w:val="000000"/>
                <w:sz w:val="20"/>
                <w:szCs w:val="20"/>
              </w:rPr>
              <w:t>~43x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9790B" w14:textId="77777777" w:rsidR="009D3388" w:rsidRDefault="00000000">
            <w:pPr>
              <w:jc w:val="center"/>
            </w:pPr>
            <w:r>
              <w:rPr>
                <w:b/>
                <w:bCs/>
                <w:color w:val="548235"/>
                <w:sz w:val="20"/>
                <w:szCs w:val="20"/>
              </w:rPr>
              <w:t>PASS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6561F4" w14:textId="77777777" w:rsidR="009D3388" w:rsidRDefault="009D3388"/>
        </w:tc>
      </w:tr>
      <w:tr w:rsidR="009D3388" w14:paraId="57E294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190A72" w14:textId="77777777" w:rsidR="009D3388" w:rsidRDefault="00000000">
            <w:r>
              <w:rPr>
                <w:b/>
                <w:bCs/>
                <w:color w:val="000000"/>
                <w:sz w:val="20"/>
                <w:szCs w:val="20"/>
              </w:rPr>
              <w:t>FCF Yield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2C0AF" w14:textId="77777777" w:rsidR="009D3388" w:rsidRDefault="00000000">
            <w:pPr>
              <w:jc w:val="center"/>
            </w:pPr>
            <w:r>
              <w:rPr>
                <w:color w:val="000000"/>
                <w:sz w:val="20"/>
                <w:szCs w:val="20"/>
              </w:rPr>
              <w:t>≥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96CA6D" w14:textId="77777777" w:rsidR="009D3388" w:rsidRDefault="00000000">
            <w:pPr>
              <w:jc w:val="center"/>
            </w:pPr>
            <w:r>
              <w:rPr>
                <w:color w:val="000000"/>
                <w:sz w:val="20"/>
                <w:szCs w:val="20"/>
              </w:rPr>
              <w:t>~0%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06AB3" w14:textId="77777777" w:rsidR="009D3388" w:rsidRDefault="00000000">
            <w:pPr>
              <w:jc w:val="center"/>
            </w:pPr>
            <w:r>
              <w:rPr>
                <w:b/>
                <w:bCs/>
                <w:color w:val="C00000"/>
                <w:sz w:val="20"/>
                <w:szCs w:val="20"/>
              </w:rPr>
              <w:t>FAIL</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6A2A38" w14:textId="77777777" w:rsidR="009D3388" w:rsidRDefault="009D3388"/>
        </w:tc>
      </w:tr>
      <w:tr w:rsidR="009D3388" w14:paraId="189710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199F6" w14:textId="77777777" w:rsidR="009D3388" w:rsidRDefault="00000000">
            <w:r>
              <w:rPr>
                <w:b/>
                <w:bCs/>
                <w:color w:val="000000"/>
                <w:sz w:val="20"/>
                <w:szCs w:val="20"/>
              </w:rPr>
              <w:t>Recurring Rev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C295C" w14:textId="77777777" w:rsidR="009D3388" w:rsidRDefault="00000000">
            <w:pPr>
              <w:jc w:val="center"/>
            </w:pPr>
            <w:r>
              <w:rPr>
                <w:color w:val="000000"/>
                <w:sz w:val="20"/>
                <w:szCs w:val="20"/>
              </w:rPr>
              <w:t>≥ 40%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ABBB10" w14:textId="77777777" w:rsidR="009D3388" w:rsidRDefault="00000000">
            <w:pPr>
              <w:jc w:val="center"/>
            </w:pPr>
            <w:r>
              <w:rPr>
                <w:color w:val="000000"/>
                <w:sz w:val="20"/>
                <w:szCs w:val="20"/>
              </w:rPr>
              <w:t>~100%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42C66" w14:textId="77777777" w:rsidR="009D3388" w:rsidRDefault="00000000">
            <w:pPr>
              <w:jc w:val="center"/>
            </w:pPr>
            <w:r>
              <w:rPr>
                <w:b/>
                <w:bCs/>
                <w:color w:val="548235"/>
                <w:sz w:val="20"/>
                <w:szCs w:val="20"/>
              </w:rPr>
              <w:t>PASS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85239" w14:textId="77777777" w:rsidR="009D3388" w:rsidRDefault="009D3388"/>
        </w:tc>
      </w:tr>
    </w:tbl>
    <w:p w14:paraId="765836C7" w14:textId="77777777" w:rsidR="009D3388" w:rsidRDefault="009D3388">
      <w:pPr>
        <w:spacing w:after="120"/>
      </w:pPr>
    </w:p>
    <w:p w14:paraId="313A58F8" w14:textId="77777777" w:rsidR="009D3388" w:rsidRDefault="00000000">
      <w:pPr>
        <w:spacing w:after="120"/>
      </w:pPr>
      <w:r>
        <w:rPr>
          <w:b/>
          <w:bCs/>
          <w:color w:val="000000"/>
        </w:rPr>
        <w:t>TMDX passes 3 of 4 Growth Platform valuation gates. The sole failure (FCF Yield) triggers the Pre-Profit Gate Adjustments:</w:t>
      </w:r>
    </w:p>
    <w:p w14:paraId="2673F27E" w14:textId="77777777" w:rsidR="009D3388" w:rsidRDefault="009D3388">
      <w:pPr>
        <w:spacing w:after="120"/>
      </w:pPr>
    </w:p>
    <w:p w14:paraId="492AA1CA" w14:textId="77777777" w:rsidR="009D3388" w:rsidRDefault="00000000">
      <w:pPr>
        <w:spacing w:after="120"/>
      </w:pPr>
      <w:r>
        <w:rPr>
          <w:b/>
          <w:bCs/>
        </w:rPr>
        <w:t xml:space="preserve">Gross Margin Trajectory: </w:t>
      </w:r>
      <w:r>
        <w:t>60% and improving (up from 59% in 2024). PASS (≥50% and stable/expanding).</w:t>
      </w:r>
    </w:p>
    <w:p w14:paraId="038DB04E" w14:textId="77777777" w:rsidR="009D3388" w:rsidRDefault="00000000">
      <w:pPr>
        <w:spacing w:after="120"/>
      </w:pPr>
      <w:r>
        <w:rPr>
          <w:b/>
          <w:bCs/>
        </w:rPr>
        <w:lastRenderedPageBreak/>
        <w:t xml:space="preserve">Cash Runway: </w:t>
      </w:r>
      <w:r>
        <w:t>~$466M in cash with improving operating profitability. Ample runway (&gt;18 months at current trajectory). PASS.</w:t>
      </w:r>
    </w:p>
    <w:p w14:paraId="6DB165B8" w14:textId="77777777" w:rsidR="009D3388" w:rsidRDefault="00000000">
      <w:pPr>
        <w:spacing w:after="120"/>
      </w:pPr>
      <w:r>
        <w:rPr>
          <w:b/>
          <w:bCs/>
        </w:rPr>
        <w:t xml:space="preserve">Consumable Attach Rate Trend: </w:t>
      </w:r>
      <w:r>
        <w:t>Per-case revenue stable or increasing as NOP logistics fees layer on top of base OCS disposables. PASS.</w:t>
      </w:r>
    </w:p>
    <w:p w14:paraId="49982553" w14:textId="77777777" w:rsidR="009D3388" w:rsidRDefault="009D3388">
      <w:pPr>
        <w:spacing w:after="120"/>
      </w:pPr>
    </w:p>
    <w:p w14:paraId="6CDCC721" w14:textId="77777777" w:rsidR="009D3388" w:rsidRDefault="00000000">
      <w:pPr>
        <w:spacing w:after="120"/>
      </w:pPr>
      <w:r>
        <w:rPr>
          <w:b/>
          <w:bCs/>
          <w:i/>
          <w:iCs/>
          <w:color w:val="000000"/>
        </w:rPr>
        <w:t>All three pre-profit gate adjustments pass, overriding the FCF yield failure.</w:t>
      </w:r>
    </w:p>
    <w:p w14:paraId="6CD01EFE" w14:textId="77777777" w:rsidR="009D3388" w:rsidRDefault="00000000">
      <w:pPr>
        <w:pStyle w:val="Heading2"/>
        <w:spacing w:before="300" w:after="150"/>
      </w:pPr>
      <w:r>
        <w:t>Final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D3388" w14:paraId="19B394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41E698" w14:textId="77777777" w:rsidR="009D3388" w:rsidRDefault="00000000">
            <w:r>
              <w:rPr>
                <w:b/>
                <w:bCs/>
                <w:color w:val="FFFFFF"/>
                <w:sz w:val="20"/>
                <w:szCs w:val="20"/>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638137D" w14:textId="77777777" w:rsidR="009D3388" w:rsidRDefault="00000000">
            <w:pPr>
              <w:jc w:val="center"/>
            </w:pPr>
            <w:r>
              <w:rPr>
                <w:b/>
                <w:bCs/>
                <w:color w:val="FFFFFF"/>
                <w:sz w:val="20"/>
                <w:szCs w:val="20"/>
              </w:rPr>
              <w:t>Threshold</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05053B7" w14:textId="77777777" w:rsidR="009D3388" w:rsidRDefault="00000000">
            <w:pPr>
              <w:jc w:val="center"/>
            </w:pPr>
            <w:r>
              <w:rPr>
                <w:b/>
                <w:bCs/>
                <w:color w:val="FFFFFF"/>
                <w:sz w:val="20"/>
                <w:szCs w:val="20"/>
              </w:rPr>
              <w:t>TMDX Actual</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4A85AE4" w14:textId="77777777" w:rsidR="009D3388" w:rsidRDefault="00000000">
            <w:pPr>
              <w:jc w:val="center"/>
            </w:pPr>
            <w:r>
              <w:rPr>
                <w:b/>
                <w:bCs/>
                <w:color w:val="FFFFFF"/>
                <w:sz w:val="20"/>
                <w:szCs w:val="20"/>
              </w:rPr>
              <w:t>Result</w:t>
            </w:r>
          </w:p>
        </w:tc>
      </w:tr>
      <w:tr w:rsidR="009D3388" w14:paraId="66C1AF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C2B28" w14:textId="77777777" w:rsidR="009D3388" w:rsidRDefault="00000000">
            <w:r>
              <w:rPr>
                <w:b/>
                <w:bCs/>
                <w:color w:val="000000"/>
                <w:sz w:val="20"/>
                <w:szCs w:val="20"/>
              </w:rPr>
              <w:t>IBPMI Classification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05C53" w14:textId="77777777" w:rsidR="009D3388" w:rsidRDefault="00000000">
            <w:pPr>
              <w:jc w:val="center"/>
            </w:pPr>
            <w:r>
              <w:rPr>
                <w:color w:val="000000"/>
                <w:sz w:val="20"/>
                <w:szCs w:val="20"/>
              </w:rPr>
              <w:t>Strong Platform (≥10)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297DE" w14:textId="77777777" w:rsidR="009D3388" w:rsidRDefault="00000000">
            <w:pPr>
              <w:jc w:val="center"/>
            </w:pPr>
            <w:r>
              <w:rPr>
                <w:b/>
                <w:bCs/>
                <w:color w:val="000000"/>
                <w:sz w:val="20"/>
                <w:szCs w:val="20"/>
              </w:rPr>
              <w:t>11/16 (Strong Platform)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916EF" w14:textId="77777777" w:rsidR="009D3388" w:rsidRDefault="00000000">
            <w:pPr>
              <w:jc w:val="center"/>
            </w:pPr>
            <w:r>
              <w:rPr>
                <w:b/>
                <w:bCs/>
                <w:color w:val="548235"/>
                <w:sz w:val="20"/>
                <w:szCs w:val="20"/>
              </w:rPr>
              <w:t>✓ PASS</w:t>
            </w:r>
          </w:p>
        </w:tc>
      </w:tr>
      <w:tr w:rsidR="009D3388" w14:paraId="6734F2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D480D" w14:textId="77777777" w:rsidR="009D3388" w:rsidRDefault="00000000">
            <w:r>
              <w:rPr>
                <w:b/>
                <w:bCs/>
                <w:color w:val="000000"/>
                <w:sz w:val="20"/>
                <w:szCs w:val="20"/>
              </w:rPr>
              <w:t>Adjusted Composite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71E2BB" w14:textId="77777777" w:rsidR="009D3388" w:rsidRDefault="00000000">
            <w:pPr>
              <w:jc w:val="center"/>
            </w:pPr>
            <w:r>
              <w:rPr>
                <w:color w:val="000000"/>
                <w:sz w:val="20"/>
                <w:szCs w:val="20"/>
              </w:rPr>
              <w:t>≥ 6.5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13E8C4" w14:textId="77777777" w:rsidR="009D3388" w:rsidRDefault="00000000">
            <w:pPr>
              <w:jc w:val="center"/>
            </w:pPr>
            <w:r>
              <w:rPr>
                <w:b/>
                <w:bCs/>
                <w:color w:val="000000"/>
                <w:sz w:val="20"/>
                <w:szCs w:val="20"/>
              </w:rPr>
              <w:t>7.34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D56FF6" w14:textId="77777777" w:rsidR="009D3388" w:rsidRDefault="00000000">
            <w:pPr>
              <w:jc w:val="center"/>
            </w:pPr>
            <w:r>
              <w:rPr>
                <w:b/>
                <w:bCs/>
                <w:color w:val="548235"/>
                <w:sz w:val="20"/>
                <w:szCs w:val="20"/>
              </w:rPr>
              <w:t>✓ PASS</w:t>
            </w:r>
          </w:p>
        </w:tc>
      </w:tr>
      <w:tr w:rsidR="009D3388" w14:paraId="79C16F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AAE70" w14:textId="77777777" w:rsidR="009D3388" w:rsidRDefault="00000000">
            <w:r>
              <w:rPr>
                <w:b/>
                <w:bCs/>
                <w:color w:val="000000"/>
                <w:sz w:val="20"/>
                <w:szCs w:val="20"/>
              </w:rPr>
              <w:t>Valuation Gates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2EA95" w14:textId="77777777" w:rsidR="009D3388" w:rsidRDefault="00000000">
            <w:pPr>
              <w:jc w:val="center"/>
            </w:pPr>
            <w:r>
              <w:rPr>
                <w:color w:val="000000"/>
                <w:sz w:val="20"/>
                <w:szCs w:val="20"/>
              </w:rPr>
              <w:t>Pass or Adjusted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E458D" w14:textId="77777777" w:rsidR="009D3388" w:rsidRDefault="00000000">
            <w:pPr>
              <w:jc w:val="center"/>
            </w:pPr>
            <w:r>
              <w:rPr>
                <w:b/>
                <w:bCs/>
                <w:color w:val="000000"/>
                <w:sz w:val="20"/>
                <w:szCs w:val="20"/>
              </w:rPr>
              <w:t>3/4 pass + pre-profit adj.</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2EE985" w14:textId="77777777" w:rsidR="009D3388" w:rsidRDefault="00000000">
            <w:pPr>
              <w:jc w:val="center"/>
            </w:pPr>
            <w:r>
              <w:rPr>
                <w:b/>
                <w:bCs/>
                <w:color w:val="548235"/>
                <w:sz w:val="20"/>
                <w:szCs w:val="20"/>
              </w:rPr>
              <w:t>✓ PASS</w:t>
            </w:r>
          </w:p>
        </w:tc>
      </w:tr>
    </w:tbl>
    <w:p w14:paraId="0CD025D8" w14:textId="77777777" w:rsidR="009D3388" w:rsidRDefault="009D33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3388" w14:paraId="552A2E9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3F2FD"/>
            <w:tcMar>
              <w:top w:w="200" w:type="dxa"/>
              <w:left w:w="300" w:type="dxa"/>
              <w:bottom w:w="200" w:type="dxa"/>
              <w:right w:w="300" w:type="dxa"/>
            </w:tcMar>
          </w:tcPr>
          <w:p w14:paraId="28488A70" w14:textId="77777777" w:rsidR="009D3388" w:rsidRDefault="00000000">
            <w:pPr>
              <w:spacing w:after="100"/>
              <w:jc w:val="center"/>
            </w:pPr>
            <w:r>
              <w:rPr>
                <w:b/>
                <w:bCs/>
                <w:color w:val="2E75B6"/>
                <w:sz w:val="40"/>
                <w:szCs w:val="40"/>
              </w:rPr>
              <w:t>GROWTH DEVICE</w:t>
            </w:r>
          </w:p>
          <w:p w14:paraId="01F3C2A8" w14:textId="77777777" w:rsidR="009D3388" w:rsidRDefault="00000000">
            <w:pPr>
              <w:spacing w:after="60"/>
              <w:jc w:val="center"/>
            </w:pPr>
            <w:r>
              <w:rPr>
                <w:color w:val="1B3A5C"/>
              </w:rPr>
              <w:t>Growth position. Moats developing, execution critical.</w:t>
            </w:r>
          </w:p>
          <w:p w14:paraId="7F7F63F2" w14:textId="77777777" w:rsidR="009D3388" w:rsidRDefault="00000000">
            <w:pPr>
              <w:jc w:val="center"/>
            </w:pPr>
            <w:r>
              <w:rPr>
                <w:b/>
                <w:bCs/>
                <w:color w:val="1B3A5C"/>
              </w:rPr>
              <w:t>Investment Posture: Size based on conviction in platform evolution. NOP buildout and international expansion are the key catalysts.</w:t>
            </w:r>
          </w:p>
        </w:tc>
      </w:tr>
    </w:tbl>
    <w:p w14:paraId="4E4ACC3F" w14:textId="77777777" w:rsidR="009D3388" w:rsidRDefault="00000000">
      <w:r>
        <w:br w:type="page"/>
      </w:r>
    </w:p>
    <w:p w14:paraId="268A61DB" w14:textId="77777777" w:rsidR="009D3388" w:rsidRDefault="00000000">
      <w:pPr>
        <w:pStyle w:val="Heading1"/>
        <w:spacing w:before="300" w:after="150"/>
      </w:pPr>
      <w:r>
        <w:lastRenderedPageBreak/>
        <w:t>PATH TO DEVICE COMPOUNDER: KEY CATALYSTS &amp; MILESTONES</w:t>
      </w:r>
    </w:p>
    <w:p w14:paraId="25D8E7A6" w14:textId="77777777" w:rsidR="009D3388" w:rsidRDefault="00000000">
      <w:pPr>
        <w:spacing w:after="120"/>
      </w:pPr>
      <w:proofErr w:type="spellStart"/>
      <w:r>
        <w:rPr>
          <w:color w:val="000000"/>
        </w:rPr>
        <w:t>TransMedics</w:t>
      </w:r>
      <w:proofErr w:type="spellEnd"/>
      <w:r>
        <w:rPr>
          <w:color w:val="000000"/>
        </w:rPr>
        <w:t xml:space="preserve"> could upgrade from Growth Device to Device Compounder (the highest classification) if the following milestones are achieved over the next 2–4 years:</w:t>
      </w:r>
    </w:p>
    <w:p w14:paraId="0D3BA406" w14:textId="77777777" w:rsidR="009D3388" w:rsidRDefault="009D3388">
      <w:pPr>
        <w:spacing w:after="120"/>
      </w:pPr>
    </w:p>
    <w:p w14:paraId="4410300E" w14:textId="77777777" w:rsidR="009D3388" w:rsidRDefault="00000000">
      <w:pPr>
        <w:spacing w:after="120"/>
      </w:pPr>
      <w:r>
        <w:rPr>
          <w:b/>
          <w:bCs/>
        </w:rPr>
        <w:t xml:space="preserve">1. Scale to 10,000+ US annual cases (by 2028): </w:t>
      </w:r>
      <w:r>
        <w:t>Doubles current volume, proving the NOP model compounds. Would push procedure growth score higher and demonstrate platform flywheel acceleration.</w:t>
      </w:r>
    </w:p>
    <w:p w14:paraId="3C105391" w14:textId="77777777" w:rsidR="009D3388" w:rsidRDefault="00000000">
      <w:pPr>
        <w:spacing w:after="120"/>
      </w:pPr>
      <w:r>
        <w:rPr>
          <w:b/>
          <w:bCs/>
        </w:rPr>
        <w:t xml:space="preserve">2. Achieve FCF breakeven and sustain positive FCF (by late 2026/2027): </w:t>
      </w:r>
      <w:r>
        <w:t>Resolves the financial quality weakness and passes the FCF yield valuation gate, strengthening the composite by 1–2 points.</w:t>
      </w:r>
    </w:p>
    <w:p w14:paraId="5962AA48" w14:textId="77777777" w:rsidR="009D3388" w:rsidRDefault="00000000">
      <w:pPr>
        <w:spacing w:after="120"/>
      </w:pPr>
      <w:r>
        <w:rPr>
          <w:b/>
          <w:bCs/>
        </w:rPr>
        <w:t xml:space="preserve">3. Successful Italy NOP launch and expansion to 2–3 European countries: </w:t>
      </w:r>
      <w:r>
        <w:t>Transforms the geographic expansion score from 3 to 6–7. Would push IBPMI from 11 to 12–13 (upgrading commercial infrastructure moat to 2).</w:t>
      </w:r>
    </w:p>
    <w:p w14:paraId="392B665F" w14:textId="77777777" w:rsidR="009D3388" w:rsidRDefault="00000000">
      <w:pPr>
        <w:spacing w:after="120"/>
      </w:pPr>
      <w:r>
        <w:rPr>
          <w:b/>
          <w:bCs/>
        </w:rPr>
        <w:t xml:space="preserve">4. Next-gen OCS ENHANCE Heart and DENOVO Lung trial results: </w:t>
      </w:r>
      <w:r>
        <w:t>Positive data would strengthen the clinical evidence moat (from 1 to 2) and innovation pipeline moat (from 1 to 2), pushing IBPMI toward Device Fortress territory (13+).</w:t>
      </w:r>
    </w:p>
    <w:p w14:paraId="510318A9" w14:textId="77777777" w:rsidR="009D3388" w:rsidRDefault="00000000">
      <w:pPr>
        <w:spacing w:after="120"/>
      </w:pPr>
      <w:r>
        <w:rPr>
          <w:b/>
          <w:bCs/>
        </w:rPr>
        <w:t xml:space="preserve">5. Operating margin expansion toward 30% target: </w:t>
      </w:r>
      <w:r>
        <w:t>Would push the financial margin score from 7 to 8–9, adding 0.5–1.0 to the FQA composite.</w:t>
      </w:r>
    </w:p>
    <w:p w14:paraId="7ED5F68A" w14:textId="77777777" w:rsidR="009D3388" w:rsidRDefault="009D3388">
      <w:pPr>
        <w:spacing w:after="120"/>
      </w:pPr>
    </w:p>
    <w:p w14:paraId="71600297" w14:textId="77777777" w:rsidR="009D3388" w:rsidRDefault="00000000">
      <w:pPr>
        <w:spacing w:after="120"/>
      </w:pPr>
      <w:r>
        <w:rPr>
          <w:color w:val="000000"/>
        </w:rPr>
        <w:t>If all five milestones are achieved, the projected composite would rise to approximately 8.5–9.0 with IBPMI at 13–14, qualifying for Device Compounder classification.</w:t>
      </w:r>
    </w:p>
    <w:p w14:paraId="0B5061CE" w14:textId="77777777" w:rsidR="009D3388" w:rsidRDefault="00000000">
      <w:r>
        <w:br w:type="page"/>
      </w:r>
    </w:p>
    <w:p w14:paraId="25C4D48F" w14:textId="77777777" w:rsidR="009D3388" w:rsidRDefault="00000000">
      <w:pPr>
        <w:pStyle w:val="Heading1"/>
        <w:spacing w:before="300" w:after="150"/>
      </w:pPr>
      <w:r>
        <w:lastRenderedPageBreak/>
        <w:t>KEY RISKS &amp; MONITORING ITEMS</w:t>
      </w:r>
    </w:p>
    <w:p w14:paraId="0B1B38AF" w14:textId="77777777" w:rsidR="009D3388" w:rsidRDefault="00000000">
      <w:pPr>
        <w:pStyle w:val="Heading3"/>
        <w:spacing w:before="300" w:after="150"/>
      </w:pPr>
      <w:r>
        <w:t>1. Capital Intensity &amp; FCF Timing</w:t>
      </w:r>
    </w:p>
    <w:p w14:paraId="2E5A5709" w14:textId="77777777" w:rsidR="009D3388" w:rsidRDefault="00000000">
      <w:pPr>
        <w:spacing w:after="120"/>
      </w:pPr>
      <w:r>
        <w:rPr>
          <w:color w:val="000000"/>
        </w:rPr>
        <w:t>The NOP logistics model requires substantial ongoing capital investment in aircraft, hubs, and personnel. The 22-plane fleet and 17-hub network represent hundreds of millions in cumulative investment. If case volume growth decelerates before the fixed-cost infrastructure is fully leveraged, margins could compress and FCF breakeven could be delayed beyond 2027. The $452M in convertible notes due 2028 adds refinancing risk if capital markets tighten.</w:t>
      </w:r>
    </w:p>
    <w:p w14:paraId="5AC9B65B" w14:textId="77777777" w:rsidR="009D3388" w:rsidRDefault="00000000">
      <w:pPr>
        <w:pStyle w:val="Heading3"/>
        <w:spacing w:before="300" w:after="150"/>
      </w:pPr>
      <w:r>
        <w:t>2. Geographic Concentration</w:t>
      </w:r>
    </w:p>
    <w:p w14:paraId="0765A2D8" w14:textId="77777777" w:rsidR="009D3388" w:rsidRDefault="00000000">
      <w:pPr>
        <w:spacing w:after="120"/>
      </w:pPr>
      <w:r>
        <w:rPr>
          <w:color w:val="000000"/>
        </w:rPr>
        <w:t xml:space="preserve">With ~99% of revenue from the US, </w:t>
      </w:r>
      <w:proofErr w:type="spellStart"/>
      <w:r>
        <w:rPr>
          <w:color w:val="000000"/>
        </w:rPr>
        <w:t>TransMedics</w:t>
      </w:r>
      <w:proofErr w:type="spellEnd"/>
      <w:r>
        <w:rPr>
          <w:color w:val="000000"/>
        </w:rPr>
        <w:t xml:space="preserve"> is entirely dependent on the US transplant market. Any adverse regulatory change (CMS reimbursement cuts, UNOS policy changes) or hospital budget constraints could materially impact growth. The Italy NOP launch mitigates this long-term but won’t contribute meaningful revenue for 12–18 months.</w:t>
      </w:r>
    </w:p>
    <w:p w14:paraId="6124ED84" w14:textId="77777777" w:rsidR="009D3388" w:rsidRDefault="00000000">
      <w:pPr>
        <w:pStyle w:val="Heading3"/>
        <w:spacing w:before="300" w:after="150"/>
      </w:pPr>
      <w:r>
        <w:t>3. Competitive Entry</w:t>
      </w:r>
    </w:p>
    <w:p w14:paraId="60B8D1DE" w14:textId="77777777" w:rsidR="009D3388" w:rsidRDefault="00000000">
      <w:pPr>
        <w:spacing w:after="120"/>
      </w:pPr>
      <w:r>
        <w:rPr>
          <w:color w:val="000000"/>
        </w:rPr>
        <w:t xml:space="preserve">While no competitor currently has a comparable multi-organ + logistics platform, the market is attracting attention. XVIVO Perfusion is pursuing the US market with cold perfusion technology. </w:t>
      </w:r>
      <w:proofErr w:type="spellStart"/>
      <w:r>
        <w:rPr>
          <w:color w:val="000000"/>
        </w:rPr>
        <w:t>OrganOx</w:t>
      </w:r>
      <w:proofErr w:type="spellEnd"/>
      <w:r>
        <w:rPr>
          <w:color w:val="000000"/>
        </w:rPr>
        <w:t xml:space="preserve"> has partnered with Blade Air Mobility for organ transport logistics (following </w:t>
      </w:r>
      <w:proofErr w:type="spellStart"/>
      <w:r>
        <w:rPr>
          <w:color w:val="000000"/>
        </w:rPr>
        <w:t>TransMedics</w:t>
      </w:r>
      <w:proofErr w:type="spellEnd"/>
      <w:r>
        <w:rPr>
          <w:color w:val="000000"/>
        </w:rPr>
        <w:t xml:space="preserve">’ playbook). </w:t>
      </w:r>
      <w:proofErr w:type="spellStart"/>
      <w:r>
        <w:rPr>
          <w:color w:val="000000"/>
        </w:rPr>
        <w:t>Paragonix</w:t>
      </w:r>
      <w:proofErr w:type="spellEnd"/>
      <w:r>
        <w:rPr>
          <w:color w:val="000000"/>
        </w:rPr>
        <w:t xml:space="preserve"> (acquired by Getinge) offers cold storage solutions. If a well-funded competitor (e.g., Getinge, with its global device distribution infrastructure) invests heavily in building a competing logistics network, </w:t>
      </w:r>
      <w:proofErr w:type="spellStart"/>
      <w:r>
        <w:rPr>
          <w:color w:val="000000"/>
        </w:rPr>
        <w:t>TransMedics</w:t>
      </w:r>
      <w:proofErr w:type="spellEnd"/>
      <w:r>
        <w:rPr>
          <w:color w:val="000000"/>
        </w:rPr>
        <w:t>’ first-mover advantage could erode over 3–5 years.</w:t>
      </w:r>
    </w:p>
    <w:p w14:paraId="2D582796" w14:textId="77777777" w:rsidR="009D3388" w:rsidRDefault="00000000">
      <w:pPr>
        <w:pStyle w:val="Heading3"/>
        <w:spacing w:before="300" w:after="150"/>
      </w:pPr>
      <w:r>
        <w:t>4. Reimbursement Risk</w:t>
      </w:r>
    </w:p>
    <w:p w14:paraId="29F37B96" w14:textId="77777777" w:rsidR="009D3388" w:rsidRDefault="00000000">
      <w:pPr>
        <w:spacing w:after="120"/>
      </w:pPr>
      <w:r>
        <w:rPr>
          <w:color w:val="000000"/>
        </w:rPr>
        <w:t>OCS cases involve significant cost ($38K–$80K per case for the disposable set alone, plus logistics fees). If CMS or private payers reduce reimbursement for OCS-assisted transplants, or if hospital administrators push back on per-</w:t>
      </w:r>
      <w:proofErr w:type="spellStart"/>
      <w:r>
        <w:rPr>
          <w:color w:val="000000"/>
        </w:rPr>
        <w:t>case</w:t>
      </w:r>
      <w:proofErr w:type="spellEnd"/>
      <w:r>
        <w:rPr>
          <w:color w:val="000000"/>
        </w:rPr>
        <w:t xml:space="preserve"> costs, pricing pressure could compress margins. Conversely, favorable reimbursement decisions (e.g., specific CPT codes for OCS-assisted transplantation) could accelerate adoption.</w:t>
      </w:r>
    </w:p>
    <w:p w14:paraId="7CD8F803" w14:textId="77777777" w:rsidR="009D3388" w:rsidRDefault="00000000">
      <w:pPr>
        <w:pStyle w:val="Heading3"/>
        <w:spacing w:before="300" w:after="150"/>
      </w:pPr>
      <w:r>
        <w:t>5. Management Concentration Risk</w:t>
      </w:r>
    </w:p>
    <w:p w14:paraId="2AAF9915" w14:textId="77777777" w:rsidR="009D3388" w:rsidRDefault="00000000">
      <w:pPr>
        <w:spacing w:after="120"/>
      </w:pPr>
      <w:r>
        <w:rPr>
          <w:color w:val="000000"/>
        </w:rPr>
        <w:t>CEO Waleed Hassanein is the visionary architect of the NOP model. The company’s strategy, surgeon relationships, and competitive positioning are closely tied to his leadership. A sudden departure could create uncertainty. Succession planning depth is not well-disclosed.</w:t>
      </w:r>
    </w:p>
    <w:p w14:paraId="2D907633" w14:textId="77777777" w:rsidR="009D3388" w:rsidRDefault="00000000">
      <w:r>
        <w:br w:type="page"/>
      </w:r>
    </w:p>
    <w:p w14:paraId="1A134584" w14:textId="77777777" w:rsidR="009D3388" w:rsidRDefault="00000000">
      <w:pPr>
        <w:pStyle w:val="Heading1"/>
        <w:spacing w:before="300" w:after="150"/>
      </w:pPr>
      <w:r>
        <w:lastRenderedPageBreak/>
        <w:t>APPENDIX: TMDX vs. BEST-IN-CLASS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1730"/>
        <w:gridCol w:w="1730"/>
      </w:tblGrid>
      <w:tr w:rsidR="009D3388" w14:paraId="2226E8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5E9B43" w14:textId="77777777" w:rsidR="009D3388" w:rsidRDefault="00000000">
            <w:r>
              <w:rPr>
                <w:b/>
                <w:bCs/>
                <w:color w:val="FFFFFF"/>
                <w:sz w:val="20"/>
                <w:szCs w:val="20"/>
              </w:rPr>
              <w:t>Metric</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775006" w14:textId="77777777" w:rsidR="009D3388" w:rsidRDefault="00000000">
            <w:pPr>
              <w:jc w:val="center"/>
            </w:pPr>
            <w:r>
              <w:rPr>
                <w:b/>
                <w:bCs/>
                <w:color w:val="FFFFFF"/>
                <w:sz w:val="20"/>
                <w:szCs w:val="20"/>
              </w:rPr>
              <w:t>Good</w:t>
            </w:r>
          </w:p>
        </w:tc>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445EB98" w14:textId="77777777" w:rsidR="009D3388" w:rsidRDefault="00000000">
            <w:pPr>
              <w:jc w:val="center"/>
            </w:pPr>
            <w:r>
              <w:rPr>
                <w:b/>
                <w:bCs/>
                <w:color w:val="FFFFFF"/>
                <w:sz w:val="20"/>
                <w:szCs w:val="20"/>
              </w:rPr>
              <w:t>Excellent</w:t>
            </w:r>
          </w:p>
        </w:tc>
        <w:tc>
          <w:tcPr>
            <w:tcW w:w="17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96BF1F8" w14:textId="77777777" w:rsidR="009D3388" w:rsidRDefault="00000000">
            <w:pPr>
              <w:jc w:val="center"/>
            </w:pPr>
            <w:r>
              <w:rPr>
                <w:b/>
                <w:bCs/>
                <w:color w:val="FFFFFF"/>
                <w:sz w:val="20"/>
                <w:szCs w:val="20"/>
              </w:rPr>
              <w:t>Best-in-Class</w:t>
            </w:r>
          </w:p>
        </w:tc>
        <w:tc>
          <w:tcPr>
            <w:tcW w:w="17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2EA970" w14:textId="77777777" w:rsidR="009D3388" w:rsidRDefault="00000000">
            <w:pPr>
              <w:jc w:val="center"/>
            </w:pPr>
            <w:r>
              <w:rPr>
                <w:b/>
                <w:bCs/>
                <w:color w:val="FFFFFF"/>
                <w:sz w:val="20"/>
                <w:szCs w:val="20"/>
              </w:rPr>
              <w:t>TMDX Actual</w:t>
            </w:r>
          </w:p>
        </w:tc>
      </w:tr>
      <w:tr w:rsidR="009D3388" w14:paraId="3D01B3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A70DC6" w14:textId="77777777" w:rsidR="009D3388" w:rsidRDefault="00000000">
            <w:r>
              <w:rPr>
                <w:b/>
                <w:bCs/>
                <w:color w:val="000000"/>
                <w:sz w:val="20"/>
                <w:szCs w:val="20"/>
              </w:rPr>
              <w:t>Recurring Rev %</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C83A93" w14:textId="77777777" w:rsidR="009D3388" w:rsidRDefault="00000000">
            <w:pPr>
              <w:jc w:val="center"/>
            </w:pPr>
            <w:r>
              <w:rPr>
                <w:color w:val="000000"/>
                <w:sz w:val="20"/>
                <w:szCs w:val="20"/>
              </w:rPr>
              <w:t>40-55%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7BE47C" w14:textId="77777777" w:rsidR="009D3388" w:rsidRDefault="00000000">
            <w:pPr>
              <w:jc w:val="center"/>
            </w:pPr>
            <w:r>
              <w:rPr>
                <w:color w:val="000000"/>
                <w:sz w:val="20"/>
                <w:szCs w:val="20"/>
              </w:rPr>
              <w:t>55-75%</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F91CAC" w14:textId="77777777" w:rsidR="009D3388" w:rsidRDefault="00000000">
            <w:pPr>
              <w:jc w:val="center"/>
            </w:pPr>
            <w:r>
              <w:rPr>
                <w:color w:val="000000"/>
                <w:sz w:val="20"/>
                <w:szCs w:val="20"/>
              </w:rPr>
              <w:t>&gt;75%</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DD218" w14:textId="77777777" w:rsidR="009D3388" w:rsidRDefault="00000000">
            <w:pPr>
              <w:jc w:val="center"/>
            </w:pPr>
            <w:r>
              <w:rPr>
                <w:b/>
                <w:bCs/>
                <w:color w:val="548235"/>
                <w:sz w:val="20"/>
                <w:szCs w:val="20"/>
              </w:rPr>
              <w:t>~100%</w:t>
            </w:r>
          </w:p>
        </w:tc>
      </w:tr>
      <w:tr w:rsidR="009D3388" w14:paraId="2F16A7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5E1AA0" w14:textId="77777777" w:rsidR="009D3388" w:rsidRDefault="00000000">
            <w:r>
              <w:rPr>
                <w:b/>
                <w:bCs/>
                <w:color w:val="000000"/>
                <w:sz w:val="20"/>
                <w:szCs w:val="20"/>
              </w:rPr>
              <w:t>Gross Margin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3030D7" w14:textId="77777777" w:rsidR="009D3388" w:rsidRDefault="00000000">
            <w:pPr>
              <w:jc w:val="center"/>
            </w:pPr>
            <w:r>
              <w:rPr>
                <w:color w:val="000000"/>
                <w:sz w:val="20"/>
                <w:szCs w:val="20"/>
              </w:rPr>
              <w:t>50-60%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E4AE0" w14:textId="77777777" w:rsidR="009D3388" w:rsidRDefault="00000000">
            <w:pPr>
              <w:jc w:val="center"/>
            </w:pPr>
            <w:r>
              <w:rPr>
                <w:color w:val="000000"/>
                <w:sz w:val="20"/>
                <w:szCs w:val="20"/>
              </w:rPr>
              <w:t>60-70%</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1B31A3" w14:textId="77777777" w:rsidR="009D3388" w:rsidRDefault="00000000">
            <w:pPr>
              <w:jc w:val="center"/>
            </w:pPr>
            <w:r>
              <w:rPr>
                <w:color w:val="000000"/>
                <w:sz w:val="20"/>
                <w:szCs w:val="20"/>
              </w:rPr>
              <w:t>&gt;70%</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C383F" w14:textId="77777777" w:rsidR="009D3388" w:rsidRDefault="00000000">
            <w:pPr>
              <w:jc w:val="center"/>
            </w:pPr>
            <w:r>
              <w:rPr>
                <w:b/>
                <w:bCs/>
                <w:color w:val="BF8F00"/>
                <w:sz w:val="20"/>
                <w:szCs w:val="20"/>
              </w:rPr>
              <w:t>~60%</w:t>
            </w:r>
          </w:p>
        </w:tc>
      </w:tr>
      <w:tr w:rsidR="009D3388" w14:paraId="3FD3D5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CE35B" w14:textId="77777777" w:rsidR="009D3388" w:rsidRDefault="00000000">
            <w:r>
              <w:rPr>
                <w:b/>
                <w:bCs/>
                <w:color w:val="000000"/>
                <w:sz w:val="20"/>
                <w:szCs w:val="20"/>
              </w:rPr>
              <w:t>Operating Margin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ADE3E" w14:textId="77777777" w:rsidR="009D3388" w:rsidRDefault="00000000">
            <w:pPr>
              <w:jc w:val="center"/>
            </w:pPr>
            <w:r>
              <w:rPr>
                <w:color w:val="000000"/>
                <w:sz w:val="20"/>
                <w:szCs w:val="20"/>
              </w:rPr>
              <w:t>10-18%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CD59B" w14:textId="77777777" w:rsidR="009D3388" w:rsidRDefault="00000000">
            <w:pPr>
              <w:jc w:val="center"/>
            </w:pPr>
            <w:r>
              <w:rPr>
                <w:color w:val="000000"/>
                <w:sz w:val="20"/>
                <w:szCs w:val="20"/>
              </w:rPr>
              <w:t>18-28%</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B500E" w14:textId="77777777" w:rsidR="009D3388" w:rsidRDefault="00000000">
            <w:pPr>
              <w:jc w:val="center"/>
            </w:pPr>
            <w:r>
              <w:rPr>
                <w:color w:val="000000"/>
                <w:sz w:val="20"/>
                <w:szCs w:val="20"/>
              </w:rPr>
              <w:t>&gt;28%</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9B247F" w14:textId="77777777" w:rsidR="009D3388" w:rsidRDefault="00000000">
            <w:pPr>
              <w:jc w:val="center"/>
            </w:pPr>
            <w:r>
              <w:rPr>
                <w:b/>
                <w:bCs/>
                <w:color w:val="BF8F00"/>
                <w:sz w:val="20"/>
                <w:szCs w:val="20"/>
              </w:rPr>
              <w:t>~18%</w:t>
            </w:r>
          </w:p>
        </w:tc>
      </w:tr>
      <w:tr w:rsidR="009D3388" w14:paraId="607D2B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BF20F9" w14:textId="77777777" w:rsidR="009D3388" w:rsidRDefault="00000000">
            <w:r>
              <w:rPr>
                <w:b/>
                <w:bCs/>
                <w:color w:val="000000"/>
                <w:sz w:val="20"/>
                <w:szCs w:val="20"/>
              </w:rPr>
              <w:t>FCF Margin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0CD12" w14:textId="77777777" w:rsidR="009D3388" w:rsidRDefault="00000000">
            <w:pPr>
              <w:jc w:val="center"/>
            </w:pPr>
            <w:r>
              <w:rPr>
                <w:color w:val="000000"/>
                <w:sz w:val="20"/>
                <w:szCs w:val="20"/>
              </w:rPr>
              <w:t>8-15%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7F280" w14:textId="77777777" w:rsidR="009D3388" w:rsidRDefault="00000000">
            <w:pPr>
              <w:jc w:val="center"/>
            </w:pPr>
            <w:r>
              <w:rPr>
                <w:color w:val="000000"/>
                <w:sz w:val="20"/>
                <w:szCs w:val="20"/>
              </w:rPr>
              <w:t>15-25%</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ECC81" w14:textId="77777777" w:rsidR="009D3388" w:rsidRDefault="00000000">
            <w:pPr>
              <w:jc w:val="center"/>
            </w:pPr>
            <w:r>
              <w:rPr>
                <w:color w:val="000000"/>
                <w:sz w:val="20"/>
                <w:szCs w:val="20"/>
              </w:rPr>
              <w:t>&gt;25%</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C82696" w14:textId="77777777" w:rsidR="009D3388" w:rsidRDefault="00000000">
            <w:pPr>
              <w:jc w:val="center"/>
            </w:pPr>
            <w:r>
              <w:rPr>
                <w:b/>
                <w:bCs/>
                <w:color w:val="C00000"/>
                <w:sz w:val="20"/>
                <w:szCs w:val="20"/>
              </w:rPr>
              <w:t>Near 0%</w:t>
            </w:r>
          </w:p>
        </w:tc>
      </w:tr>
      <w:tr w:rsidR="009D3388" w14:paraId="02E845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F6B8E7" w14:textId="77777777" w:rsidR="009D3388" w:rsidRDefault="00000000">
            <w:r>
              <w:rPr>
                <w:b/>
                <w:bCs/>
                <w:color w:val="000000"/>
                <w:sz w:val="20"/>
                <w:szCs w:val="20"/>
              </w:rPr>
              <w:t>R&amp;D % of Revenue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04F61" w14:textId="77777777" w:rsidR="009D3388" w:rsidRDefault="00000000">
            <w:pPr>
              <w:jc w:val="center"/>
            </w:pPr>
            <w:r>
              <w:rPr>
                <w:color w:val="000000"/>
                <w:sz w:val="20"/>
                <w:szCs w:val="20"/>
              </w:rPr>
              <w:t>6-10%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237CB" w14:textId="77777777" w:rsidR="009D3388" w:rsidRDefault="00000000">
            <w:pPr>
              <w:jc w:val="center"/>
            </w:pPr>
            <w:r>
              <w:rPr>
                <w:color w:val="000000"/>
                <w:sz w:val="20"/>
                <w:szCs w:val="20"/>
              </w:rPr>
              <w:t>10-15%</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354BE" w14:textId="77777777" w:rsidR="009D3388" w:rsidRDefault="00000000">
            <w:pPr>
              <w:jc w:val="center"/>
            </w:pPr>
            <w:r>
              <w:rPr>
                <w:color w:val="000000"/>
                <w:sz w:val="20"/>
                <w:szCs w:val="20"/>
              </w:rPr>
              <w:t>&gt;15%</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86C960" w14:textId="77777777" w:rsidR="009D3388" w:rsidRDefault="00000000">
            <w:pPr>
              <w:jc w:val="center"/>
            </w:pPr>
            <w:r>
              <w:rPr>
                <w:b/>
                <w:bCs/>
                <w:color w:val="548235"/>
                <w:sz w:val="20"/>
                <w:szCs w:val="20"/>
              </w:rPr>
              <w:t>~10-11%</w:t>
            </w:r>
          </w:p>
        </w:tc>
      </w:tr>
      <w:tr w:rsidR="009D3388" w14:paraId="0BD96C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4F513" w14:textId="77777777" w:rsidR="009D3388" w:rsidRDefault="00000000">
            <w:r>
              <w:rPr>
                <w:b/>
                <w:bCs/>
                <w:color w:val="000000"/>
                <w:sz w:val="20"/>
                <w:szCs w:val="20"/>
              </w:rPr>
              <w:t>Service Renewal Rate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2AB16B" w14:textId="77777777" w:rsidR="009D3388" w:rsidRDefault="00000000">
            <w:pPr>
              <w:jc w:val="center"/>
            </w:pPr>
            <w:r>
              <w:rPr>
                <w:color w:val="000000"/>
                <w:sz w:val="20"/>
                <w:szCs w:val="20"/>
              </w:rPr>
              <w:t>80-90%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54CB5" w14:textId="77777777" w:rsidR="009D3388" w:rsidRDefault="00000000">
            <w:pPr>
              <w:jc w:val="center"/>
            </w:pPr>
            <w:r>
              <w:rPr>
                <w:color w:val="000000"/>
                <w:sz w:val="20"/>
                <w:szCs w:val="20"/>
              </w:rPr>
              <w:t>90-95%</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C98E3" w14:textId="77777777" w:rsidR="009D3388" w:rsidRDefault="00000000">
            <w:pPr>
              <w:jc w:val="center"/>
            </w:pPr>
            <w:r>
              <w:rPr>
                <w:color w:val="000000"/>
                <w:sz w:val="20"/>
                <w:szCs w:val="20"/>
              </w:rPr>
              <w:t>&gt;95%</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423433" w14:textId="77777777" w:rsidR="009D3388" w:rsidRDefault="00000000">
            <w:pPr>
              <w:jc w:val="center"/>
            </w:pPr>
            <w:r>
              <w:rPr>
                <w:b/>
                <w:bCs/>
                <w:color w:val="BF8F00"/>
                <w:sz w:val="20"/>
                <w:szCs w:val="20"/>
              </w:rPr>
              <w:t>N/A (per-case)</w:t>
            </w:r>
          </w:p>
        </w:tc>
      </w:tr>
      <w:tr w:rsidR="009D3388" w14:paraId="63AC98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0B07E" w14:textId="77777777" w:rsidR="009D3388" w:rsidRDefault="00000000">
            <w:r>
              <w:rPr>
                <w:b/>
                <w:bCs/>
                <w:color w:val="000000"/>
                <w:sz w:val="20"/>
                <w:szCs w:val="20"/>
              </w:rPr>
              <w:t>Procedure Volume Growth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1F9C08" w14:textId="77777777" w:rsidR="009D3388" w:rsidRDefault="00000000">
            <w:pPr>
              <w:jc w:val="center"/>
            </w:pPr>
            <w:r>
              <w:rPr>
                <w:color w:val="000000"/>
                <w:sz w:val="20"/>
                <w:szCs w:val="20"/>
              </w:rPr>
              <w:t>5-12%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1929C" w14:textId="77777777" w:rsidR="009D3388" w:rsidRDefault="00000000">
            <w:pPr>
              <w:jc w:val="center"/>
            </w:pPr>
            <w:r>
              <w:rPr>
                <w:color w:val="000000"/>
                <w:sz w:val="20"/>
                <w:szCs w:val="20"/>
              </w:rPr>
              <w:t>12-20%</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22AE4" w14:textId="77777777" w:rsidR="009D3388" w:rsidRDefault="00000000">
            <w:pPr>
              <w:jc w:val="center"/>
            </w:pPr>
            <w:r>
              <w:rPr>
                <w:color w:val="000000"/>
                <w:sz w:val="20"/>
                <w:szCs w:val="20"/>
              </w:rPr>
              <w:t>&gt;20%</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4137E" w14:textId="77777777" w:rsidR="009D3388" w:rsidRDefault="00000000">
            <w:pPr>
              <w:jc w:val="center"/>
            </w:pPr>
            <w:r>
              <w:rPr>
                <w:b/>
                <w:bCs/>
                <w:color w:val="548235"/>
                <w:sz w:val="20"/>
                <w:szCs w:val="20"/>
              </w:rPr>
              <w:t>~38%</w:t>
            </w:r>
          </w:p>
        </w:tc>
      </w:tr>
      <w:tr w:rsidR="009D3388" w14:paraId="7752B4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54C4CF" w14:textId="77777777" w:rsidR="009D3388" w:rsidRDefault="00000000">
            <w:r>
              <w:rPr>
                <w:b/>
                <w:bCs/>
                <w:color w:val="000000"/>
                <w:sz w:val="20"/>
                <w:szCs w:val="20"/>
              </w:rPr>
              <w:t>Int'l Revenue Mix</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F3A74" w14:textId="77777777" w:rsidR="009D3388" w:rsidRDefault="00000000">
            <w:pPr>
              <w:jc w:val="center"/>
            </w:pPr>
            <w:r>
              <w:rPr>
                <w:color w:val="000000"/>
                <w:sz w:val="20"/>
                <w:szCs w:val="20"/>
              </w:rPr>
              <w:t>15-30%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42345B" w14:textId="77777777" w:rsidR="009D3388" w:rsidRDefault="00000000">
            <w:pPr>
              <w:jc w:val="center"/>
            </w:pPr>
            <w:r>
              <w:rPr>
                <w:color w:val="000000"/>
                <w:sz w:val="20"/>
                <w:szCs w:val="20"/>
              </w:rPr>
              <w:t>30-50%</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F5416" w14:textId="77777777" w:rsidR="009D3388" w:rsidRDefault="00000000">
            <w:pPr>
              <w:jc w:val="center"/>
            </w:pPr>
            <w:r>
              <w:rPr>
                <w:color w:val="000000"/>
                <w:sz w:val="20"/>
                <w:szCs w:val="20"/>
              </w:rPr>
              <w:t>&gt;50%</w:t>
            </w:r>
          </w:p>
        </w:tc>
        <w:tc>
          <w:tcPr>
            <w:tcW w:w="1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A99F58" w14:textId="77777777" w:rsidR="009D3388" w:rsidRDefault="00000000">
            <w:pPr>
              <w:jc w:val="center"/>
            </w:pPr>
            <w:r>
              <w:rPr>
                <w:b/>
                <w:bCs/>
                <w:color w:val="C00000"/>
                <w:sz w:val="20"/>
                <w:szCs w:val="20"/>
              </w:rPr>
              <w:t>&lt;1%</w:t>
            </w:r>
          </w:p>
        </w:tc>
      </w:tr>
    </w:tbl>
    <w:p w14:paraId="3AD63D6B" w14:textId="77777777" w:rsidR="009D3388" w:rsidRDefault="009D3388">
      <w:pPr>
        <w:spacing w:after="120"/>
      </w:pPr>
    </w:p>
    <w:p w14:paraId="47FF1873" w14:textId="77777777" w:rsidR="009D3388" w:rsidRDefault="00000000">
      <w:pPr>
        <w:spacing w:after="120"/>
      </w:pPr>
      <w:proofErr w:type="spellStart"/>
      <w:r>
        <w:rPr>
          <w:color w:val="000000"/>
        </w:rPr>
        <w:t>TransMedics</w:t>
      </w:r>
      <w:proofErr w:type="spellEnd"/>
      <w:r>
        <w:rPr>
          <w:color w:val="000000"/>
        </w:rPr>
        <w:t xml:space="preserve"> excels on recurring revenue quality (best-in-class at ~100%), procedure volume growth (best-in-class at 38%), and R&amp;D investment. It falls in the Good-to-Excellent range on gross margins and operating margins (both improving rapidly). The two clear weaknesses are FCF generation (near zero, reflecting the infrastructure investment phase) and international revenue mix (&lt;1%, reflecting the early stage of geographic expansion). These two metrics are the clearest path to score improvement over the next 2–3 years.</w:t>
      </w:r>
    </w:p>
    <w:p w14:paraId="2059C0CE" w14:textId="77777777" w:rsidR="009D3388" w:rsidRDefault="009D3388">
      <w:pPr>
        <w:spacing w:after="120"/>
      </w:pPr>
    </w:p>
    <w:p w14:paraId="2E466E30" w14:textId="77777777" w:rsidR="009D3388" w:rsidRDefault="00000000">
      <w:pPr>
        <w:spacing w:after="120"/>
        <w:rPr>
          <w:i/>
          <w:iCs/>
          <w:color w:val="888888"/>
        </w:rPr>
      </w:pPr>
      <w:r>
        <w:rPr>
          <w:i/>
          <w:iCs/>
          <w:color w:val="888888"/>
        </w:rPr>
        <w:t>— End of Analysis —</w:t>
      </w:r>
    </w:p>
    <w:p w14:paraId="524C17CD" w14:textId="77777777" w:rsidR="003E6C2C" w:rsidRDefault="003E6C2C">
      <w:pPr>
        <w:spacing w:after="120"/>
        <w:rPr>
          <w:color w:val="888888"/>
        </w:rPr>
      </w:pPr>
    </w:p>
    <w:p w14:paraId="7882309A" w14:textId="77777777" w:rsidR="003E6C2C" w:rsidRPr="003E6C2C" w:rsidRDefault="003E6C2C" w:rsidP="003E6C2C">
      <w:pPr>
        <w:spacing w:after="120"/>
        <w:rPr>
          <w:color w:val="888888"/>
        </w:rPr>
      </w:pPr>
      <w:r w:rsidRPr="003E6C2C">
        <w:rPr>
          <w:color w:val="888888"/>
        </w:rPr>
        <w:t>This is a fascinating question because the SaaS Antifragility Framework was built for software companies facing LLM disruption — and TMDX is a medical device + physical logistics company. Running it through anyway reveals something interesting: TMDX is almost comically immune to the threats this framework was designed to detect.</w:t>
      </w:r>
    </w:p>
    <w:p w14:paraId="358F8C17" w14:textId="77777777" w:rsidR="003E6C2C" w:rsidRPr="003E6C2C" w:rsidRDefault="003E6C2C" w:rsidP="003E6C2C">
      <w:pPr>
        <w:spacing w:after="120"/>
        <w:rPr>
          <w:color w:val="888888"/>
        </w:rPr>
      </w:pPr>
      <w:r w:rsidRPr="003E6C2C">
        <w:rPr>
          <w:color w:val="888888"/>
        </w:rPr>
        <w:t>Here's how it would score:</w:t>
      </w:r>
    </w:p>
    <w:p w14:paraId="5EFE29D7" w14:textId="77777777" w:rsidR="003E6C2C" w:rsidRPr="003E6C2C" w:rsidRDefault="003E6C2C" w:rsidP="003E6C2C">
      <w:pPr>
        <w:spacing w:after="120"/>
        <w:rPr>
          <w:color w:val="888888"/>
        </w:rPr>
      </w:pPr>
      <w:r w:rsidRPr="003E6C2C">
        <w:rPr>
          <w:b/>
          <w:bCs/>
          <w:color w:val="888888"/>
        </w:rPr>
        <w:t>D1: Liability Shield (15% weight) — 10/10</w:t>
      </w:r>
    </w:p>
    <w:p w14:paraId="579814FD" w14:textId="77777777" w:rsidR="003E6C2C" w:rsidRPr="003E6C2C" w:rsidRDefault="003E6C2C" w:rsidP="003E6C2C">
      <w:pPr>
        <w:spacing w:after="120"/>
        <w:rPr>
          <w:color w:val="888888"/>
        </w:rPr>
      </w:pPr>
      <w:r w:rsidRPr="003E6C2C">
        <w:rPr>
          <w:color w:val="888888"/>
        </w:rPr>
        <w:t xml:space="preserve">Failure of the OCS means a donor organ is damaged or lost and a patient dies. This is the highest possible liability threshold. The OCS holds multiple FDA PMA approvals (the most stringent regulatory pathway in medical devices), and no LLM-native alternative can replicate a physical warm perfusion machine. An AI can't keep a heart alive at 37°C during transport. This dimension was designed with FDA-regulated software in mind — TMDX has FDA-regulated </w:t>
      </w:r>
      <w:r w:rsidRPr="003E6C2C">
        <w:rPr>
          <w:i/>
          <w:iCs/>
          <w:color w:val="888888"/>
        </w:rPr>
        <w:t>hardware</w:t>
      </w:r>
      <w:r w:rsidRPr="003E6C2C">
        <w:rPr>
          <w:color w:val="888888"/>
        </w:rPr>
        <w:t>, which is an even deeper shield.</w:t>
      </w:r>
    </w:p>
    <w:p w14:paraId="006A1FBB" w14:textId="77777777" w:rsidR="003E6C2C" w:rsidRPr="003E6C2C" w:rsidRDefault="003E6C2C" w:rsidP="003E6C2C">
      <w:pPr>
        <w:spacing w:after="120"/>
        <w:rPr>
          <w:color w:val="888888"/>
        </w:rPr>
      </w:pPr>
      <w:r w:rsidRPr="003E6C2C">
        <w:rPr>
          <w:b/>
          <w:bCs/>
          <w:color w:val="888888"/>
        </w:rPr>
        <w:t>D2: Business Model Structure (30% weight) — 9/10</w:t>
      </w:r>
    </w:p>
    <w:p w14:paraId="024FF90B" w14:textId="77777777" w:rsidR="003E6C2C" w:rsidRPr="003E6C2C" w:rsidRDefault="003E6C2C" w:rsidP="003E6C2C">
      <w:pPr>
        <w:spacing w:after="120"/>
        <w:rPr>
          <w:color w:val="888888"/>
        </w:rPr>
      </w:pPr>
      <w:r w:rsidRPr="003E6C2C">
        <w:rPr>
          <w:color w:val="888888"/>
        </w:rPr>
        <w:t xml:space="preserve">The framework penalizes seat-based SaaS pricing because AI agents collapse headcount. TMDX has per-procedure pricing ($38K–$80K per OCS case) that is structurally immune to this dynamic. AI agents don't reduce the number of patients who need organ transplants. If anything, AI could </w:t>
      </w:r>
      <w:r w:rsidRPr="003E6C2C">
        <w:rPr>
          <w:i/>
          <w:iCs/>
          <w:color w:val="888888"/>
        </w:rPr>
        <w:t>increase</w:t>
      </w:r>
      <w:r w:rsidRPr="003E6C2C">
        <w:rPr>
          <w:color w:val="888888"/>
        </w:rPr>
        <w:t xml:space="preserve"> case volumes by improving donor-recipient matching algorithms, expanding the donor pool through better organ assessment, and optimizing NOP logistics </w:t>
      </w:r>
      <w:r w:rsidRPr="003E6C2C">
        <w:rPr>
          <w:color w:val="888888"/>
        </w:rPr>
        <w:lastRenderedPageBreak/>
        <w:t>routing — all of which generate more OCS disposable revenue. This is pure usage-based pricing tied to a physical procedure that no software can substitute.</w:t>
      </w:r>
    </w:p>
    <w:p w14:paraId="5111BFA3" w14:textId="77777777" w:rsidR="003E6C2C" w:rsidRPr="003E6C2C" w:rsidRDefault="003E6C2C" w:rsidP="003E6C2C">
      <w:pPr>
        <w:spacing w:after="120"/>
        <w:rPr>
          <w:color w:val="888888"/>
        </w:rPr>
      </w:pPr>
      <w:r w:rsidRPr="003E6C2C">
        <w:rPr>
          <w:b/>
          <w:bCs/>
          <w:color w:val="888888"/>
        </w:rPr>
        <w:t>D3: Physical World Integration (15% weight) — 10/10</w:t>
      </w:r>
    </w:p>
    <w:p w14:paraId="30F1AEBC" w14:textId="77777777" w:rsidR="003E6C2C" w:rsidRPr="003E6C2C" w:rsidRDefault="003E6C2C" w:rsidP="003E6C2C">
      <w:pPr>
        <w:spacing w:after="120"/>
        <w:rPr>
          <w:color w:val="888888"/>
        </w:rPr>
      </w:pPr>
      <w:r w:rsidRPr="003E6C2C">
        <w:rPr>
          <w:color w:val="888888"/>
        </w:rPr>
        <w:t>This is where TMDX breaks the scale. The framework asks "does the software sit in the transaction or the information layer?" TMDX isn't software at all — it's a physical perfusion machine inside a physical aircraft flying to a physical hospital to keep a physical organ alive. The NOP logistics network (17 hubs, 22 aircraft, 24/7 command center) is the deepest possible physical world integration. If you turn off the OCS tomorrow, organs stop being preserved and patients die. An LLM cannot fly a plane or perfuse a liver.</w:t>
      </w:r>
    </w:p>
    <w:p w14:paraId="42C93DB6" w14:textId="77777777" w:rsidR="003E6C2C" w:rsidRPr="003E6C2C" w:rsidRDefault="003E6C2C" w:rsidP="003E6C2C">
      <w:pPr>
        <w:spacing w:after="120"/>
        <w:rPr>
          <w:color w:val="888888"/>
        </w:rPr>
      </w:pPr>
      <w:r w:rsidRPr="003E6C2C">
        <w:rPr>
          <w:b/>
          <w:bCs/>
          <w:color w:val="888888"/>
        </w:rPr>
        <w:t>D4: Network Effects &amp; Data Gravity (40% weight) — 7/10</w:t>
      </w:r>
    </w:p>
    <w:p w14:paraId="3D5139AC" w14:textId="77777777" w:rsidR="003E6C2C" w:rsidRPr="003E6C2C" w:rsidRDefault="003E6C2C" w:rsidP="003E6C2C">
      <w:pPr>
        <w:spacing w:after="120"/>
        <w:rPr>
          <w:color w:val="888888"/>
        </w:rPr>
      </w:pPr>
      <w:r w:rsidRPr="003E6C2C">
        <w:rPr>
          <w:color w:val="888888"/>
        </w:rPr>
        <w:t xml:space="preserve">The weakest dimension (relatively), but still strong. The NOP creates infrastructure-based network effects: more hubs → broader geographic coverage → more transplant centers can use the service → more cases → more clinical outcome data → stronger evidence base → more adoption → justifies more hubs. The clinical data from 14,000+ cumulative OCS cases is proprietary and cannot be replicated without building an equivalent logistics network. The Bustamante Data Test: can this data be obtained, licensed, or synthesized by someone else? No — you'd need to build the aircraft fleet, NOP hubs, and perform thousands of organ transplants. However, these aren't classic cross-participant marketplace network effects (transplant centers don't benefit from </w:t>
      </w:r>
      <w:r w:rsidRPr="003E6C2C">
        <w:rPr>
          <w:i/>
          <w:iCs/>
          <w:color w:val="888888"/>
        </w:rPr>
        <w:t>each other's</w:t>
      </w:r>
      <w:r w:rsidRPr="003E6C2C">
        <w:rPr>
          <w:color w:val="888888"/>
        </w:rPr>
        <w:t xml:space="preserve"> participation directly), which prevents a 9 or 10.</w:t>
      </w:r>
    </w:p>
    <w:p w14:paraId="701E4B0E" w14:textId="77777777" w:rsidR="003E6C2C" w:rsidRPr="003E6C2C" w:rsidRDefault="003E6C2C" w:rsidP="003E6C2C">
      <w:pPr>
        <w:spacing w:after="120"/>
        <w:rPr>
          <w:color w:val="888888"/>
        </w:rPr>
      </w:pPr>
      <w:r w:rsidRPr="003E6C2C">
        <w:rPr>
          <w:b/>
          <w:bCs/>
          <w:color w:val="888888"/>
        </w:rPr>
        <w:t>Raw Composite: (10×0.15) + (9×0.30) + (10×0.15) + (7×0.40) = 1.50 + 2.70 + 1.50 + 2.80 = 8.50</w:t>
      </w:r>
    </w:p>
    <w:p w14:paraId="5532548A" w14:textId="77777777" w:rsidR="003E6C2C" w:rsidRPr="003E6C2C" w:rsidRDefault="003E6C2C" w:rsidP="003E6C2C">
      <w:pPr>
        <w:spacing w:after="120"/>
        <w:rPr>
          <w:color w:val="888888"/>
        </w:rPr>
      </w:pPr>
      <w:r w:rsidRPr="003E6C2C">
        <w:rPr>
          <w:b/>
          <w:bCs/>
          <w:color w:val="888888"/>
        </w:rPr>
        <w:t>DIP Modifier: 5/5 → +1.5</w:t>
      </w:r>
    </w:p>
    <w:p w14:paraId="06E2271A" w14:textId="77777777" w:rsidR="003E6C2C" w:rsidRPr="003E6C2C" w:rsidRDefault="003E6C2C" w:rsidP="003E6C2C">
      <w:pPr>
        <w:spacing w:after="120"/>
        <w:rPr>
          <w:color w:val="888888"/>
        </w:rPr>
      </w:pPr>
      <w:r w:rsidRPr="003E6C2C">
        <w:rPr>
          <w:color w:val="888888"/>
        </w:rPr>
        <w:t>All five criteria met: (1) FDA mandates output accuracy for PMA devices, (2) OCS results used in life-or-death clinical decisions, (3) PMA certification takes years for any new entrant, (4) FDA requires complete audit trails for device performance, (5) switching to unvalidated alternative would constitute an FDA compliance violation.</w:t>
      </w:r>
    </w:p>
    <w:p w14:paraId="2D02B250" w14:textId="77777777" w:rsidR="003E6C2C" w:rsidRPr="003E6C2C" w:rsidRDefault="003E6C2C" w:rsidP="003E6C2C">
      <w:pPr>
        <w:spacing w:after="120"/>
        <w:rPr>
          <w:color w:val="888888"/>
        </w:rPr>
      </w:pPr>
      <w:r w:rsidRPr="003E6C2C">
        <w:rPr>
          <w:b/>
          <w:bCs/>
          <w:color w:val="888888"/>
        </w:rPr>
        <w:t>CPP Modifier: ~2/12 → +0.0</w:t>
      </w:r>
    </w:p>
    <w:p w14:paraId="5B7F84CC" w14:textId="77777777" w:rsidR="003E6C2C" w:rsidRPr="003E6C2C" w:rsidRDefault="003E6C2C" w:rsidP="003E6C2C">
      <w:pPr>
        <w:spacing w:after="120"/>
        <w:rPr>
          <w:color w:val="888888"/>
        </w:rPr>
      </w:pPr>
      <w:r w:rsidRPr="003E6C2C">
        <w:rPr>
          <w:color w:val="888888"/>
        </w:rPr>
        <w:t>Not meaningfully applicable. TMDX doesn't need to "counter-position" against AI because AI isn't the threat vector. The company could use AI internally to optimize NOP routing or organ matching, but the counter-positioning framework (cannibalizing seat revenue with consumption pricing) simply doesn't map.</w:t>
      </w:r>
    </w:p>
    <w:p w14:paraId="461668DD" w14:textId="77777777" w:rsidR="003E6C2C" w:rsidRPr="003E6C2C" w:rsidRDefault="003E6C2C" w:rsidP="003E6C2C">
      <w:pPr>
        <w:spacing w:after="120"/>
        <w:rPr>
          <w:color w:val="888888"/>
        </w:rPr>
      </w:pPr>
      <w:r w:rsidRPr="003E6C2C">
        <w:rPr>
          <w:b/>
          <w:bCs/>
          <w:color w:val="888888"/>
        </w:rPr>
        <w:t>Final Composite: 8.50 + 1.50 + 0.00 = 10.00 (capped) → ANTIFRAGILE</w:t>
      </w:r>
    </w:p>
    <w:p w14:paraId="64C1CF8F" w14:textId="77777777" w:rsidR="003E6C2C" w:rsidRPr="003E6C2C" w:rsidRDefault="003E6C2C" w:rsidP="003E6C2C">
      <w:pPr>
        <w:spacing w:after="120"/>
        <w:rPr>
          <w:color w:val="888888"/>
        </w:rPr>
      </w:pPr>
      <w:r w:rsidRPr="003E6C2C">
        <w:rPr>
          <w:b/>
          <w:bCs/>
          <w:color w:val="888888"/>
        </w:rPr>
        <w:t>The takeaway:</w:t>
      </w:r>
      <w:r w:rsidRPr="003E6C2C">
        <w:rPr>
          <w:color w:val="888888"/>
        </w:rPr>
        <w:t xml:space="preserve"> The Antifragility Framework confirms what the Medical Device Platform Framework already suggested through a different lens. TMDX's competitive position is rooted in physical infrastructure, FDA regulation, and per-procedure economics — none of which are vulnerable to LLM disruption. In fact, AI is a potential </w:t>
      </w:r>
      <w:r w:rsidRPr="003E6C2C">
        <w:rPr>
          <w:i/>
          <w:iCs/>
          <w:color w:val="888888"/>
        </w:rPr>
        <w:t>tailwind</w:t>
      </w:r>
      <w:r w:rsidRPr="003E6C2C">
        <w:rPr>
          <w:color w:val="888888"/>
        </w:rPr>
        <w:t xml:space="preserve"> (better organ matching, route optimization, predictive analytics on organ viability) rather than a threat.</w:t>
      </w:r>
    </w:p>
    <w:p w14:paraId="7A4482A7" w14:textId="77777777" w:rsidR="003E6C2C" w:rsidRPr="003E6C2C" w:rsidRDefault="003E6C2C" w:rsidP="003E6C2C">
      <w:pPr>
        <w:spacing w:after="120"/>
        <w:rPr>
          <w:color w:val="888888"/>
        </w:rPr>
      </w:pPr>
      <w:r w:rsidRPr="003E6C2C">
        <w:rPr>
          <w:color w:val="888888"/>
        </w:rPr>
        <w:t xml:space="preserve">The honest caveat: scoring a medical device company on a SaaS framework is a bit like grading a fish on tree-climbing ability — the framework isn't designed for this company type. The high score tells you TMDX is immune to the </w:t>
      </w:r>
      <w:r w:rsidRPr="003E6C2C">
        <w:rPr>
          <w:i/>
          <w:iCs/>
          <w:color w:val="888888"/>
        </w:rPr>
        <w:t>specific threats</w:t>
      </w:r>
      <w:r w:rsidRPr="003E6C2C">
        <w:rPr>
          <w:color w:val="888888"/>
        </w:rPr>
        <w:t xml:space="preserve"> the framework measures, but it doesn't tell you about the risks that actually matter for TMDX (capital intensity, competitive entry from Getinge/XVIVO, geographic concentration, convertible note refinancing). Those risks are better captured by the Medical Device Platform Framework analysis we already completed.</w:t>
      </w:r>
    </w:p>
    <w:p w14:paraId="5F193F15" w14:textId="77777777" w:rsidR="003E6C2C" w:rsidRDefault="003E6C2C">
      <w:pPr>
        <w:spacing w:after="120"/>
        <w:rPr>
          <w:color w:val="888888"/>
        </w:rPr>
      </w:pPr>
    </w:p>
    <w:p w14:paraId="6841575A" w14:textId="77777777" w:rsidR="003E6C2C" w:rsidRPr="003E6C2C" w:rsidRDefault="003E6C2C" w:rsidP="003E6C2C">
      <w:pPr>
        <w:spacing w:after="120"/>
        <w:rPr>
          <w:color w:val="888888"/>
        </w:rPr>
      </w:pPr>
      <w:r w:rsidRPr="003E6C2C">
        <w:rPr>
          <w:color w:val="888888"/>
        </w:rPr>
        <w:lastRenderedPageBreak/>
        <w:t>The Stoffel-</w:t>
      </w:r>
      <w:proofErr w:type="spellStart"/>
      <w:r w:rsidRPr="003E6C2C">
        <w:rPr>
          <w:color w:val="888888"/>
        </w:rPr>
        <w:t>Feroldi</w:t>
      </w:r>
      <w:proofErr w:type="spellEnd"/>
      <w:r w:rsidRPr="003E6C2C">
        <w:rPr>
          <w:color w:val="888888"/>
        </w:rPr>
        <w:t xml:space="preserve"> framework has been getting a lot of attention as a SaaS screening tool, and it's natural to wonder how a high-conviction holding would fare under a different analytical lens.</w:t>
      </w:r>
    </w:p>
    <w:p w14:paraId="2DC11713" w14:textId="77777777" w:rsidR="003E6C2C" w:rsidRPr="003E6C2C" w:rsidRDefault="003E6C2C" w:rsidP="003E6C2C">
      <w:pPr>
        <w:spacing w:after="120"/>
        <w:rPr>
          <w:color w:val="888888"/>
        </w:rPr>
      </w:pPr>
      <w:r w:rsidRPr="003E6C2C">
        <w:rPr>
          <w:color w:val="888888"/>
        </w:rPr>
        <w:t>The short answer is what I walked through: TMDX basically breaks the framework because it's testing for vulnerabilities that don't exist in this business. It's like running a flood risk assessment on a mountaintop property — the score comes back pristine, but it's not telling you about the avalanche risk.</w:t>
      </w:r>
    </w:p>
    <w:p w14:paraId="639F05A6" w14:textId="77777777" w:rsidR="003E6C2C" w:rsidRPr="003E6C2C" w:rsidRDefault="003E6C2C" w:rsidP="003E6C2C">
      <w:pPr>
        <w:spacing w:after="120"/>
        <w:rPr>
          <w:color w:val="888888"/>
        </w:rPr>
      </w:pPr>
      <w:r w:rsidRPr="003E6C2C">
        <w:rPr>
          <w:color w:val="888888"/>
        </w:rPr>
        <w:t>The longer, more useful takeaway is this: the Stoffel-</w:t>
      </w:r>
      <w:proofErr w:type="spellStart"/>
      <w:r w:rsidRPr="003E6C2C">
        <w:rPr>
          <w:color w:val="888888"/>
        </w:rPr>
        <w:t>Feroldi</w:t>
      </w:r>
      <w:proofErr w:type="spellEnd"/>
      <w:r w:rsidRPr="003E6C2C">
        <w:rPr>
          <w:color w:val="888888"/>
        </w:rPr>
        <w:t xml:space="preserve">/Bustamante framework is actually quite good at identifying </w:t>
      </w:r>
      <w:r w:rsidRPr="003E6C2C">
        <w:rPr>
          <w:i/>
          <w:iCs/>
          <w:color w:val="888888"/>
        </w:rPr>
        <w:t>what makes TMDX's moat different</w:t>
      </w:r>
      <w:r w:rsidRPr="003E6C2C">
        <w:rPr>
          <w:color w:val="888888"/>
        </w:rPr>
        <w:t xml:space="preserve"> from a typical SaaS company, even if that wasn't the intended use. The four dimensions map to TMDX's strengths in an interesting way:</w:t>
      </w:r>
    </w:p>
    <w:p w14:paraId="66A891A9" w14:textId="77777777" w:rsidR="003E6C2C" w:rsidRPr="003E6C2C" w:rsidRDefault="003E6C2C" w:rsidP="003E6C2C">
      <w:pPr>
        <w:spacing w:after="120"/>
        <w:rPr>
          <w:color w:val="888888"/>
        </w:rPr>
      </w:pPr>
      <w:r w:rsidRPr="003E6C2C">
        <w:rPr>
          <w:color w:val="888888"/>
        </w:rPr>
        <w:t xml:space="preserve">The </w:t>
      </w:r>
      <w:r w:rsidRPr="003E6C2C">
        <w:rPr>
          <w:b/>
          <w:bCs/>
          <w:color w:val="888888"/>
        </w:rPr>
        <w:t>Liability Shield</w:t>
      </w:r>
      <w:r w:rsidRPr="003E6C2C">
        <w:rPr>
          <w:color w:val="888888"/>
        </w:rPr>
        <w:t xml:space="preserve"> (failure = patient death) and </w:t>
      </w:r>
      <w:r w:rsidRPr="003E6C2C">
        <w:rPr>
          <w:b/>
          <w:bCs/>
          <w:color w:val="888888"/>
        </w:rPr>
        <w:t>Physical World Integration</w:t>
      </w:r>
      <w:r w:rsidRPr="003E6C2C">
        <w:rPr>
          <w:color w:val="888888"/>
        </w:rPr>
        <w:t xml:space="preserve"> (actual aircraft, actual organs, actual perfusion machines) are where TMDX scores perfect 10s. These are the two dimensions that SaaS companies </w:t>
      </w:r>
      <w:r w:rsidRPr="003E6C2C">
        <w:rPr>
          <w:i/>
          <w:iCs/>
          <w:color w:val="888888"/>
        </w:rPr>
        <w:t>struggle</w:t>
      </w:r>
      <w:r w:rsidRPr="003E6C2C">
        <w:rPr>
          <w:color w:val="888888"/>
        </w:rPr>
        <w:t xml:space="preserve"> with — most software sits in the information layer, and failure is inconvenient rather than lethal. TMDX lives in the opposite corner of that matrix.</w:t>
      </w:r>
    </w:p>
    <w:p w14:paraId="6BE8F0DC" w14:textId="77777777" w:rsidR="003E6C2C" w:rsidRPr="003E6C2C" w:rsidRDefault="003E6C2C" w:rsidP="003E6C2C">
      <w:pPr>
        <w:spacing w:after="120"/>
        <w:rPr>
          <w:color w:val="888888"/>
        </w:rPr>
      </w:pPr>
      <w:r w:rsidRPr="003E6C2C">
        <w:rPr>
          <w:color w:val="888888"/>
        </w:rPr>
        <w:t xml:space="preserve">The </w:t>
      </w:r>
      <w:r w:rsidRPr="003E6C2C">
        <w:rPr>
          <w:b/>
          <w:bCs/>
          <w:color w:val="888888"/>
        </w:rPr>
        <w:t>Business Model Structure</w:t>
      </w:r>
      <w:r w:rsidRPr="003E6C2C">
        <w:rPr>
          <w:color w:val="888888"/>
        </w:rPr>
        <w:t xml:space="preserve"> dimension reveals something the Medical Device Framework doesn't explicitly capture: TMDX's per-procedure pricing is structurally anti-deflationary. In SaaS, AI compresses the value of a "seat" because fewer humans are needed. In organ transplantation, AI can't compress the value of a perfused heart — there's no cheaper substitute. The $38K–$80K per-case pricing isn't under pressure from AI-native alternatives because there </w:t>
      </w:r>
      <w:r w:rsidRPr="003E6C2C">
        <w:rPr>
          <w:i/>
          <w:iCs/>
          <w:color w:val="888888"/>
        </w:rPr>
        <w:t>are</w:t>
      </w:r>
      <w:r w:rsidRPr="003E6C2C">
        <w:rPr>
          <w:color w:val="888888"/>
        </w:rPr>
        <w:t xml:space="preserve"> no AI-native alternatives to keeping an organ alive during transport.</w:t>
      </w:r>
    </w:p>
    <w:p w14:paraId="626D1A69" w14:textId="77777777" w:rsidR="003E6C2C" w:rsidRPr="003E6C2C" w:rsidRDefault="003E6C2C" w:rsidP="003E6C2C">
      <w:pPr>
        <w:spacing w:after="120"/>
        <w:rPr>
          <w:color w:val="888888"/>
        </w:rPr>
      </w:pPr>
      <w:r w:rsidRPr="003E6C2C">
        <w:rPr>
          <w:color w:val="888888"/>
        </w:rPr>
        <w:t xml:space="preserve">Where it gets </w:t>
      </w:r>
      <w:r w:rsidRPr="003E6C2C">
        <w:rPr>
          <w:i/>
          <w:iCs/>
          <w:color w:val="888888"/>
        </w:rPr>
        <w:t>actually interesting</w:t>
      </w:r>
      <w:r w:rsidRPr="003E6C2C">
        <w:rPr>
          <w:color w:val="888888"/>
        </w:rPr>
        <w:t xml:space="preserve"> is </w:t>
      </w:r>
      <w:r w:rsidRPr="003E6C2C">
        <w:rPr>
          <w:b/>
          <w:bCs/>
          <w:color w:val="888888"/>
        </w:rPr>
        <w:t>Network Effects &amp; Data Gravity</w:t>
      </w:r>
      <w:r w:rsidRPr="003E6C2C">
        <w:rPr>
          <w:color w:val="888888"/>
        </w:rPr>
        <w:t>, the 40%-weighted dimension. This is where TMDX's score drops to 7 rather than 9–10, and it highlights the one genuine strategic question the Stoffel framework surfaces: TMDX's network effects are infrastructure-based (more hubs = better coverage), not data-based (more users = smarter product). The clinical outcome data is proprietary and valuable, but TMDX hasn't yet built a data flywheel where AI models trained on OCS performance data feed back into better organ assessment, donor matching, or transport optimization. If they did that — built a predictive analytics layer on top of their 14,000+ case dataset — the network effects score would jump to 9–10, and it would create an additional moat dimension that the Medical Device Framework doesn't fully capture.</w:t>
      </w:r>
    </w:p>
    <w:p w14:paraId="0E9B1CF8" w14:textId="77777777" w:rsidR="003E6C2C" w:rsidRPr="003E6C2C" w:rsidRDefault="003E6C2C" w:rsidP="003E6C2C">
      <w:pPr>
        <w:spacing w:after="120"/>
        <w:rPr>
          <w:color w:val="888888"/>
        </w:rPr>
      </w:pPr>
      <w:r w:rsidRPr="003E6C2C">
        <w:rPr>
          <w:color w:val="888888"/>
        </w:rPr>
        <w:t xml:space="preserve">So the real takeaway from running it through Stoffel isn't the score (which was predictably high). It's the strategic insight: </w:t>
      </w:r>
      <w:r w:rsidRPr="003E6C2C">
        <w:rPr>
          <w:b/>
          <w:bCs/>
          <w:color w:val="888888"/>
        </w:rPr>
        <w:t>TMDX has a latent data moat it hasn't activated yet.</w:t>
      </w:r>
      <w:r w:rsidRPr="003E6C2C">
        <w:rPr>
          <w:color w:val="888888"/>
        </w:rPr>
        <w:t xml:space="preserve"> The NOP generates proprietary, irreplicable clinical data on every case — organ viability, transport conditions, perfusion parameters, recipient outcomes — and right now that data sits in a database rather than powering a predictive platform. The day TMDX launches an AI-driven organ assessment tool trained on that data, they'd score 10/10 on D4 and the flywheel would tighten significantly.</w:t>
      </w:r>
    </w:p>
    <w:p w14:paraId="6FB2FC01" w14:textId="77777777" w:rsidR="003E6C2C" w:rsidRPr="003E6C2C" w:rsidRDefault="003E6C2C" w:rsidP="003E6C2C">
      <w:pPr>
        <w:spacing w:after="120"/>
        <w:rPr>
          <w:color w:val="888888"/>
        </w:rPr>
      </w:pPr>
      <w:r w:rsidRPr="003E6C2C">
        <w:rPr>
          <w:color w:val="888888"/>
        </w:rPr>
        <w:t>That's probably more useful than the raw score itself.</w:t>
      </w:r>
    </w:p>
    <w:p w14:paraId="5C0BC1E4" w14:textId="77777777" w:rsidR="003E6C2C" w:rsidRPr="003E6C2C" w:rsidRDefault="003E6C2C">
      <w:pPr>
        <w:spacing w:after="120"/>
        <w:rPr>
          <w:color w:val="888888"/>
        </w:rPr>
      </w:pPr>
    </w:p>
    <w:p w14:paraId="65D901A7" w14:textId="77777777" w:rsidR="003E6C2C" w:rsidRPr="003E6C2C" w:rsidRDefault="003E6C2C">
      <w:pPr>
        <w:spacing w:after="120"/>
        <w:rPr>
          <w:b/>
          <w:bCs/>
        </w:rPr>
      </w:pPr>
    </w:p>
    <w:sectPr w:rsidR="003E6C2C" w:rsidRPr="003E6C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11C8" w14:textId="77777777" w:rsidR="00B8021B" w:rsidRDefault="00B8021B">
      <w:r>
        <w:separator/>
      </w:r>
    </w:p>
  </w:endnote>
  <w:endnote w:type="continuationSeparator" w:id="0">
    <w:p w14:paraId="40B05044" w14:textId="77777777" w:rsidR="00B8021B" w:rsidRDefault="00B80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3163C" w14:textId="77777777" w:rsidR="009D338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E6C2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D41DE" w14:textId="77777777" w:rsidR="00B8021B" w:rsidRDefault="00B8021B">
      <w:r>
        <w:separator/>
      </w:r>
    </w:p>
  </w:footnote>
  <w:footnote w:type="continuationSeparator" w:id="0">
    <w:p w14:paraId="7E92011B" w14:textId="77777777" w:rsidR="00B8021B" w:rsidRDefault="00B80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53F0" w14:textId="77777777" w:rsidR="009D3388" w:rsidRDefault="00000000">
    <w:pPr>
      <w:pBdr>
        <w:bottom w:val="single" w:sz="6" w:space="1" w:color="2E75B6"/>
      </w:pBdr>
      <w:tabs>
        <w:tab w:val="right" w:pos="9026"/>
      </w:tabs>
    </w:pPr>
    <w:r>
      <w:rPr>
        <w:i/>
        <w:iCs/>
        <w:color w:val="2E75B6"/>
        <w:sz w:val="18"/>
        <w:szCs w:val="18"/>
      </w:rPr>
      <w:t>Medical Device Platform Framework v1.0</w:t>
    </w:r>
    <w:r>
      <w:rPr>
        <w:i/>
        <w:iCs/>
        <w:color w:val="2E75B6"/>
        <w:sz w:val="18"/>
        <w:szCs w:val="18"/>
      </w:rPr>
      <w:tab/>
    </w:r>
    <w:proofErr w:type="spellStart"/>
    <w:r>
      <w:rPr>
        <w:i/>
        <w:iCs/>
        <w:color w:val="2E75B6"/>
        <w:sz w:val="18"/>
        <w:szCs w:val="18"/>
      </w:rPr>
      <w:t>TransMedics</w:t>
    </w:r>
    <w:proofErr w:type="spellEnd"/>
    <w:r>
      <w:rPr>
        <w:i/>
        <w:iCs/>
        <w:color w:val="2E75B6"/>
        <w:sz w:val="18"/>
        <w:szCs w:val="18"/>
      </w:rPr>
      <w:t xml:space="preserve"> Group, Inc. (TMDX)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642F4"/>
    <w:multiLevelType w:val="hybridMultilevel"/>
    <w:tmpl w:val="5D864CF0"/>
    <w:lvl w:ilvl="0" w:tplc="1EF29DB4">
      <w:start w:val="1"/>
      <w:numFmt w:val="bullet"/>
      <w:lvlText w:val="●"/>
      <w:lvlJc w:val="left"/>
      <w:pPr>
        <w:ind w:left="720" w:hanging="360"/>
      </w:pPr>
    </w:lvl>
    <w:lvl w:ilvl="1" w:tplc="AE706E5E">
      <w:start w:val="1"/>
      <w:numFmt w:val="bullet"/>
      <w:lvlText w:val="○"/>
      <w:lvlJc w:val="left"/>
      <w:pPr>
        <w:ind w:left="1440" w:hanging="360"/>
      </w:pPr>
    </w:lvl>
    <w:lvl w:ilvl="2" w:tplc="82CAE1A0">
      <w:start w:val="1"/>
      <w:numFmt w:val="bullet"/>
      <w:lvlText w:val="■"/>
      <w:lvlJc w:val="left"/>
      <w:pPr>
        <w:ind w:left="2160" w:hanging="360"/>
      </w:pPr>
    </w:lvl>
    <w:lvl w:ilvl="3" w:tplc="771E5A6E">
      <w:start w:val="1"/>
      <w:numFmt w:val="bullet"/>
      <w:lvlText w:val="●"/>
      <w:lvlJc w:val="left"/>
      <w:pPr>
        <w:ind w:left="2880" w:hanging="360"/>
      </w:pPr>
    </w:lvl>
    <w:lvl w:ilvl="4" w:tplc="9F9CCFD6">
      <w:start w:val="1"/>
      <w:numFmt w:val="bullet"/>
      <w:lvlText w:val="○"/>
      <w:lvlJc w:val="left"/>
      <w:pPr>
        <w:ind w:left="3600" w:hanging="360"/>
      </w:pPr>
    </w:lvl>
    <w:lvl w:ilvl="5" w:tplc="F16AEED0">
      <w:start w:val="1"/>
      <w:numFmt w:val="bullet"/>
      <w:lvlText w:val="■"/>
      <w:lvlJc w:val="left"/>
      <w:pPr>
        <w:ind w:left="4320" w:hanging="360"/>
      </w:pPr>
    </w:lvl>
    <w:lvl w:ilvl="6" w:tplc="43D819DE">
      <w:start w:val="1"/>
      <w:numFmt w:val="bullet"/>
      <w:lvlText w:val="●"/>
      <w:lvlJc w:val="left"/>
      <w:pPr>
        <w:ind w:left="5040" w:hanging="360"/>
      </w:pPr>
    </w:lvl>
    <w:lvl w:ilvl="7" w:tplc="A0346D48">
      <w:start w:val="1"/>
      <w:numFmt w:val="bullet"/>
      <w:lvlText w:val="●"/>
      <w:lvlJc w:val="left"/>
      <w:pPr>
        <w:ind w:left="5760" w:hanging="360"/>
      </w:pPr>
    </w:lvl>
    <w:lvl w:ilvl="8" w:tplc="C568AB8A">
      <w:start w:val="1"/>
      <w:numFmt w:val="bullet"/>
      <w:lvlText w:val="●"/>
      <w:lvlJc w:val="left"/>
      <w:pPr>
        <w:ind w:left="6480" w:hanging="360"/>
      </w:pPr>
    </w:lvl>
  </w:abstractNum>
  <w:abstractNum w:abstractNumId="1" w15:restartNumberingAfterBreak="0">
    <w:nsid w:val="62AE6B09"/>
    <w:multiLevelType w:val="hybridMultilevel"/>
    <w:tmpl w:val="1D72DE7A"/>
    <w:lvl w:ilvl="0" w:tplc="AEC68018">
      <w:start w:val="1"/>
      <w:numFmt w:val="bullet"/>
      <w:lvlText w:val="•"/>
      <w:lvlJc w:val="left"/>
      <w:pPr>
        <w:ind w:left="720" w:hanging="360"/>
      </w:pPr>
    </w:lvl>
    <w:lvl w:ilvl="1" w:tplc="8814EF3A">
      <w:numFmt w:val="decimal"/>
      <w:lvlText w:val=""/>
      <w:lvlJc w:val="left"/>
    </w:lvl>
    <w:lvl w:ilvl="2" w:tplc="3320BB96">
      <w:numFmt w:val="decimal"/>
      <w:lvlText w:val=""/>
      <w:lvlJc w:val="left"/>
    </w:lvl>
    <w:lvl w:ilvl="3" w:tplc="EB1888B8">
      <w:numFmt w:val="decimal"/>
      <w:lvlText w:val=""/>
      <w:lvlJc w:val="left"/>
    </w:lvl>
    <w:lvl w:ilvl="4" w:tplc="64AC89A8">
      <w:numFmt w:val="decimal"/>
      <w:lvlText w:val=""/>
      <w:lvlJc w:val="left"/>
    </w:lvl>
    <w:lvl w:ilvl="5" w:tplc="8918000E">
      <w:numFmt w:val="decimal"/>
      <w:lvlText w:val=""/>
      <w:lvlJc w:val="left"/>
    </w:lvl>
    <w:lvl w:ilvl="6" w:tplc="6A0CE016">
      <w:numFmt w:val="decimal"/>
      <w:lvlText w:val=""/>
      <w:lvlJc w:val="left"/>
    </w:lvl>
    <w:lvl w:ilvl="7" w:tplc="6E7620D0">
      <w:numFmt w:val="decimal"/>
      <w:lvlText w:val=""/>
      <w:lvlJc w:val="left"/>
    </w:lvl>
    <w:lvl w:ilvl="8" w:tplc="1B4C867A">
      <w:numFmt w:val="decimal"/>
      <w:lvlText w:val=""/>
      <w:lvlJc w:val="left"/>
    </w:lvl>
  </w:abstractNum>
  <w:num w:numId="1" w16cid:durableId="1005326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388"/>
    <w:rsid w:val="003E6C2C"/>
    <w:rsid w:val="004E033E"/>
    <w:rsid w:val="009D3388"/>
    <w:rsid w:val="00B80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758CC"/>
  <w15:docId w15:val="{70414033-39ED-4AB3-BDA6-B97E0D9EC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5660</Words>
  <Characters>32551</Characters>
  <Application>Microsoft Office Word</Application>
  <DocSecurity>0</DocSecurity>
  <Lines>775</Lines>
  <Paragraphs>410</Paragraphs>
  <ScaleCrop>false</ScaleCrop>
  <Company/>
  <LinksUpToDate>false</LinksUpToDate>
  <CharactersWithSpaces>37801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2026-03-20T00:43:00Z</dcterms:created>
  <dcterms:modified xsi:type="dcterms:W3CDTF">2026-03-20T01:17:00Z</dcterms:modified>
</cp:coreProperties>
</file>