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775D" w14:textId="77777777" w:rsidR="00810A26" w:rsidRDefault="00000000">
      <w:pPr>
        <w:spacing w:before="2400"/>
        <w:jc w:val="center"/>
      </w:pPr>
      <w:r>
        <w:rPr>
          <w:b/>
          <w:bCs/>
          <w:color w:val="1B3A5C"/>
          <w:sz w:val="44"/>
          <w:szCs w:val="44"/>
        </w:rPr>
        <w:t>VEEVA SYSTEMS (VEEV)</w:t>
      </w:r>
    </w:p>
    <w:p w14:paraId="2C711AE1" w14:textId="77777777" w:rsidR="00810A26" w:rsidRDefault="00000000">
      <w:pPr>
        <w:spacing w:before="200"/>
        <w:jc w:val="center"/>
      </w:pPr>
      <w:r>
        <w:rPr>
          <w:color w:val="2E75B6"/>
          <w:sz w:val="32"/>
          <w:szCs w:val="32"/>
        </w:rPr>
        <w:t>SaaS Antifragility Assessment — Post-Earnings Update</w:t>
      </w:r>
    </w:p>
    <w:p w14:paraId="0A20F964" w14:textId="77777777" w:rsidR="00810A26" w:rsidRDefault="00000000">
      <w:pPr>
        <w:spacing w:before="200"/>
        <w:jc w:val="center"/>
      </w:pPr>
      <w:r>
        <w:rPr>
          <w:color w:val="666666"/>
          <w:sz w:val="24"/>
          <w:szCs w:val="24"/>
        </w:rPr>
        <w:t>Stoffel-</w:t>
      </w:r>
      <w:proofErr w:type="spellStart"/>
      <w:r>
        <w:rPr>
          <w:color w:val="666666"/>
          <w:sz w:val="24"/>
          <w:szCs w:val="24"/>
        </w:rPr>
        <w:t>Feroldi</w:t>
      </w:r>
      <w:proofErr w:type="spellEnd"/>
      <w:r>
        <w:rPr>
          <w:color w:val="666666"/>
          <w:sz w:val="24"/>
          <w:szCs w:val="24"/>
        </w:rPr>
        <w:t xml:space="preserve"> × Bustamante Integration v2.0</w:t>
      </w:r>
    </w:p>
    <w:p w14:paraId="2E0C2807" w14:textId="77777777" w:rsidR="00810A26" w:rsidRDefault="00000000">
      <w:pPr>
        <w:spacing w:before="400"/>
        <w:jc w:val="center"/>
      </w:pPr>
      <w:r>
        <w:rPr>
          <w:color w:val="888888"/>
          <w:sz w:val="22"/>
          <w:szCs w:val="22"/>
        </w:rPr>
        <w:t xml:space="preserve">Original: Feb 17, </w:t>
      </w:r>
      <w:proofErr w:type="gramStart"/>
      <w:r>
        <w:rPr>
          <w:color w:val="888888"/>
          <w:sz w:val="22"/>
          <w:szCs w:val="22"/>
        </w:rPr>
        <w:t>2026</w:t>
      </w:r>
      <w:proofErr w:type="gramEnd"/>
      <w:r>
        <w:rPr>
          <w:color w:val="888888"/>
          <w:sz w:val="22"/>
          <w:szCs w:val="22"/>
        </w:rPr>
        <w:t xml:space="preserve"> | Update Trigger: Q4 FY2026 Earnings (Mar 4, 2026)</w:t>
      </w:r>
    </w:p>
    <w:p w14:paraId="23685EF3" w14:textId="77777777" w:rsidR="00810A26" w:rsidRDefault="00000000">
      <w:pPr>
        <w:spacing w:before="100"/>
        <w:jc w:val="center"/>
      </w:pPr>
      <w:r>
        <w:rPr>
          <w:color w:val="888888"/>
          <w:sz w:val="22"/>
          <w:szCs w:val="22"/>
        </w:rPr>
        <w:t xml:space="preserve">Pre-Earnings: ~$175 | </w:t>
      </w:r>
      <w:proofErr w:type="gramStart"/>
      <w:r>
        <w:rPr>
          <w:color w:val="888888"/>
          <w:sz w:val="22"/>
          <w:szCs w:val="22"/>
        </w:rPr>
        <w:t>Post-Earnings</w:t>
      </w:r>
      <w:proofErr w:type="gramEnd"/>
      <w:r>
        <w:rPr>
          <w:color w:val="888888"/>
          <w:sz w:val="22"/>
          <w:szCs w:val="22"/>
        </w:rPr>
        <w:t>: ~$203 (+8%) | Market Cap: ~$31B</w:t>
      </w:r>
    </w:p>
    <w:p w14:paraId="760F51E9" w14:textId="77777777" w:rsidR="00810A26" w:rsidRDefault="00000000">
      <w:r>
        <w:br w:type="page"/>
      </w:r>
    </w:p>
    <w:p w14:paraId="44C65C58" w14:textId="77777777" w:rsidR="00810A26" w:rsidRDefault="00000000">
      <w:pPr>
        <w:pStyle w:val="Heading1"/>
      </w:pPr>
      <w:r>
        <w:lastRenderedPageBreak/>
        <w:t>SECTION 1: Q4 FY2026 EARNINGS — REVIEW TRIGGER RESOLUTION</w:t>
      </w:r>
    </w:p>
    <w:p w14:paraId="08D169D3" w14:textId="77777777" w:rsidR="00810A26" w:rsidRDefault="00810A26">
      <w:pPr>
        <w:pBdr>
          <w:bottom w:val="single" w:sz="6" w:space="1" w:color="2E75B6"/>
        </w:pBdr>
        <w:spacing w:before="200" w:after="200"/>
      </w:pPr>
    </w:p>
    <w:p w14:paraId="64D56C90" w14:textId="77777777" w:rsidR="00810A26" w:rsidRDefault="00000000">
      <w:pPr>
        <w:spacing w:before="60" w:after="60"/>
      </w:pPr>
      <w:r>
        <w:rPr>
          <w:color w:val="333333"/>
        </w:rPr>
        <w:t xml:space="preserve">The Feb 17 assessment </w:t>
      </w:r>
      <w:proofErr w:type="gramStart"/>
      <w:r>
        <w:rPr>
          <w:color w:val="333333"/>
        </w:rPr>
        <w:t xml:space="preserve">specified: </w:t>
      </w:r>
      <w:proofErr w:type="spellStart"/>
      <w:r>
        <w:rPr>
          <w:color w:val="333333"/>
        </w:rPr>
        <w:t>‘</w:t>
      </w:r>
      <w:proofErr w:type="gramEnd"/>
      <w:r>
        <w:rPr>
          <w:color w:val="333333"/>
        </w:rPr>
        <w:t>Re</w:t>
      </w:r>
      <w:proofErr w:type="spellEnd"/>
      <w:r>
        <w:rPr>
          <w:color w:val="333333"/>
        </w:rPr>
        <w:t xml:space="preserve">-run full assessment on March 4, </w:t>
      </w:r>
      <w:proofErr w:type="gramStart"/>
      <w:r>
        <w:rPr>
          <w:color w:val="333333"/>
        </w:rPr>
        <w:t>2026</w:t>
      </w:r>
      <w:proofErr w:type="gramEnd"/>
      <w:r>
        <w:rPr>
          <w:color w:val="333333"/>
        </w:rPr>
        <w:t xml:space="preserve"> after Q4 FY2026 earnings, checking: (a) Vault CRM </w:t>
      </w:r>
      <w:proofErr w:type="gramStart"/>
      <w:r>
        <w:rPr>
          <w:color w:val="333333"/>
        </w:rPr>
        <w:t>top-20</w:t>
      </w:r>
      <w:proofErr w:type="gramEnd"/>
      <w:r>
        <w:rPr>
          <w:color w:val="333333"/>
        </w:rPr>
        <w:t xml:space="preserve"> committed count; (b) any AI pricing announcement; (c) commercial vs R&amp;D subscription growth divergence.’</w:t>
      </w:r>
    </w:p>
    <w:p w14:paraId="6AB2B0E5" w14:textId="77777777" w:rsidR="00810A26" w:rsidRDefault="00000000">
      <w:pPr>
        <w:pStyle w:val="Heading2"/>
      </w:pPr>
      <w:r>
        <w:t>Headline Results: Clean Beat-and-Raise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2080"/>
        <w:gridCol w:w="2000"/>
      </w:tblGrid>
      <w:tr w:rsidR="00810A26" w14:paraId="5B3364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392033" w14:textId="77777777" w:rsidR="00810A26" w:rsidRDefault="00000000">
            <w:r>
              <w:rPr>
                <w:b/>
                <w:bCs/>
                <w:color w:val="FFFFFF"/>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952AA7" w14:textId="77777777" w:rsidR="00810A26" w:rsidRDefault="00000000">
            <w:r>
              <w:rPr>
                <w:b/>
                <w:bCs/>
                <w:color w:val="FFFFFF"/>
              </w:rPr>
              <w:t>Consensus</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92389D" w14:textId="77777777" w:rsidR="00810A26" w:rsidRDefault="00000000">
            <w:r>
              <w:rPr>
                <w:b/>
                <w:bCs/>
                <w:color w:val="FFFFFF"/>
              </w:rPr>
              <w:t>Actual</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92A0E5" w14:textId="77777777" w:rsidR="00810A26" w:rsidRDefault="00000000">
            <w:r>
              <w:rPr>
                <w:b/>
                <w:bCs/>
                <w:color w:val="FFFFFF"/>
              </w:rPr>
              <w:t>Surprise</w:t>
            </w:r>
          </w:p>
        </w:tc>
      </w:tr>
      <w:tr w:rsidR="00810A26" w14:paraId="6B1173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A0B7E3" w14:textId="77777777" w:rsidR="00810A26" w:rsidRDefault="00000000">
            <w:r>
              <w:rPr>
                <w:color w:val="333333"/>
              </w:rPr>
              <w:t>Q4 Revenue</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BB56D4" w14:textId="77777777" w:rsidR="00810A26" w:rsidRDefault="00000000">
            <w:r>
              <w:rPr>
                <w:color w:val="333333"/>
              </w:rPr>
              <w:t>$810.5M</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FEFB47" w14:textId="77777777" w:rsidR="00810A26" w:rsidRDefault="00000000">
            <w:r>
              <w:rPr>
                <w:color w:val="333333"/>
              </w:rPr>
              <w:t>$836.0M</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FA9ACD" w14:textId="77777777" w:rsidR="00810A26" w:rsidRDefault="00000000">
            <w:r>
              <w:rPr>
                <w:b/>
                <w:bCs/>
                <w:color w:val="2E7D32"/>
              </w:rPr>
              <w:t>+3.1%</w:t>
            </w:r>
          </w:p>
        </w:tc>
      </w:tr>
      <w:tr w:rsidR="00810A26" w14:paraId="68BD2F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4018" w14:textId="77777777" w:rsidR="00810A26" w:rsidRDefault="00000000">
            <w:r>
              <w:rPr>
                <w:color w:val="333333"/>
              </w:rPr>
              <w:t xml:space="preserve">Q4 </w:t>
            </w:r>
            <w:proofErr w:type="gramStart"/>
            <w:r>
              <w:rPr>
                <w:color w:val="333333"/>
              </w:rPr>
              <w:t>Non-GAAP EPS</w:t>
            </w:r>
            <w:proofErr w:type="gram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49A94" w14:textId="77777777" w:rsidR="00810A26" w:rsidRDefault="00000000">
            <w:r>
              <w:rPr>
                <w:color w:val="333333"/>
              </w:rPr>
              <w:t>$1.92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B1300" w14:textId="77777777" w:rsidR="00810A26" w:rsidRDefault="00000000">
            <w:r>
              <w:rPr>
                <w:color w:val="333333"/>
              </w:rPr>
              <w:t>$2.06</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84F523" w14:textId="77777777" w:rsidR="00810A26" w:rsidRDefault="00000000">
            <w:r>
              <w:rPr>
                <w:b/>
                <w:bCs/>
                <w:color w:val="2E7D32"/>
              </w:rPr>
              <w:t>+7.3%</w:t>
            </w:r>
          </w:p>
        </w:tc>
      </w:tr>
      <w:tr w:rsidR="00810A26" w14:paraId="4525BB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D7483D" w14:textId="77777777" w:rsidR="00810A26" w:rsidRDefault="00000000">
            <w:r>
              <w:rPr>
                <w:color w:val="333333"/>
              </w:rPr>
              <w:t>FY2026 Total Revenue</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FB0F39" w14:textId="77777777" w:rsidR="00810A26" w:rsidRDefault="00000000">
            <w:r>
              <w:rPr>
                <w:color w:val="333333"/>
              </w:rPr>
              <w:t>~$3.17B</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83C6FD" w14:textId="77777777" w:rsidR="00810A26" w:rsidRDefault="00000000">
            <w:r>
              <w:rPr>
                <w:color w:val="333333"/>
              </w:rPr>
              <w:t>$3,195.3M</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75A41D" w14:textId="77777777" w:rsidR="00810A26" w:rsidRDefault="00000000">
            <w:r>
              <w:rPr>
                <w:b/>
                <w:bCs/>
                <w:color w:val="2E7D32"/>
              </w:rPr>
              <w:t>+16% YoY</w:t>
            </w:r>
          </w:p>
        </w:tc>
      </w:tr>
      <w:tr w:rsidR="00810A26" w14:paraId="04BCC7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89486" w14:textId="77777777" w:rsidR="00810A26" w:rsidRDefault="00000000">
            <w:r>
              <w:rPr>
                <w:color w:val="333333"/>
              </w:rPr>
              <w:t>FY2026 Sub Revenue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AF73" w14:textId="77777777" w:rsidR="00810A26" w:rsidRDefault="00000000">
            <w:r>
              <w:rPr>
                <w:color w:val="333333"/>
              </w:rPr>
              <w:t>N/A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8F4A" w14:textId="77777777" w:rsidR="00810A26" w:rsidRDefault="00000000">
            <w:r>
              <w:rPr>
                <w:color w:val="333333"/>
              </w:rPr>
              <w:t>$2,684.2M</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A6F2C9" w14:textId="77777777" w:rsidR="00810A26" w:rsidRDefault="00000000">
            <w:r>
              <w:rPr>
                <w:b/>
                <w:bCs/>
                <w:color w:val="2E7D32"/>
              </w:rPr>
              <w:t>+17% YoY</w:t>
            </w:r>
          </w:p>
        </w:tc>
      </w:tr>
      <w:tr w:rsidR="00810A26" w14:paraId="348D74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4D1226" w14:textId="77777777" w:rsidR="00810A26" w:rsidRDefault="00000000">
            <w:r>
              <w:rPr>
                <w:color w:val="333333"/>
              </w:rPr>
              <w:t>FY2026 Net Income</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BE2EF7" w14:textId="77777777" w:rsidR="00810A26" w:rsidRDefault="00000000">
            <w:r>
              <w:rPr>
                <w:color w:val="333333"/>
              </w:rPr>
              <w:t>N/A</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1CC0E7" w14:textId="77777777" w:rsidR="00810A26" w:rsidRDefault="00000000">
            <w:r>
              <w:rPr>
                <w:color w:val="333333"/>
              </w:rPr>
              <w:t>$908.9M</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212B79" w14:textId="77777777" w:rsidR="00810A26" w:rsidRDefault="00000000">
            <w:r>
              <w:rPr>
                <w:b/>
                <w:bCs/>
                <w:color w:val="2E7D32"/>
              </w:rPr>
              <w:t>+27% YoY</w:t>
            </w:r>
          </w:p>
        </w:tc>
      </w:tr>
      <w:tr w:rsidR="00810A26" w14:paraId="6FDE00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B820" w14:textId="77777777" w:rsidR="00810A26" w:rsidRDefault="00000000">
            <w:r>
              <w:rPr>
                <w:color w:val="333333"/>
              </w:rPr>
              <w:t>Non-GAAP Op Margin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58123" w14:textId="77777777" w:rsidR="00810A26" w:rsidRDefault="00000000">
            <w:r>
              <w:rPr>
                <w:color w:val="333333"/>
              </w:rPr>
              <w:t>~43%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E992" w14:textId="77777777" w:rsidR="00810A26" w:rsidRDefault="00000000">
            <w:r>
              <w:rPr>
                <w:color w:val="333333"/>
              </w:rPr>
              <w:t>43.8%</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682EF4" w14:textId="77777777" w:rsidR="00810A26" w:rsidRDefault="00000000">
            <w:r>
              <w:rPr>
                <w:b/>
                <w:bCs/>
                <w:color w:val="2E7D32"/>
              </w:rPr>
              <w:t>Expanding</w:t>
            </w:r>
          </w:p>
        </w:tc>
      </w:tr>
      <w:tr w:rsidR="00810A26" w14:paraId="03E210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D3D6EF" w14:textId="77777777" w:rsidR="00810A26" w:rsidRDefault="00000000">
            <w:r>
              <w:rPr>
                <w:color w:val="333333"/>
              </w:rPr>
              <w:t>FY2027 Rev Guide</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E94E98" w14:textId="77777777" w:rsidR="00810A26" w:rsidRDefault="00000000">
            <w:r>
              <w:rPr>
                <w:color w:val="333333"/>
              </w:rPr>
              <w:t>~$3.5B</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78C070" w14:textId="77777777" w:rsidR="00810A26" w:rsidRDefault="00000000">
            <w:r>
              <w:rPr>
                <w:color w:val="333333"/>
              </w:rPr>
              <w:t>$3,585–3,600M</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7B4A66" w14:textId="77777777" w:rsidR="00810A26" w:rsidRDefault="00000000">
            <w:r>
              <w:rPr>
                <w:b/>
                <w:bCs/>
                <w:color w:val="2E7D32"/>
              </w:rPr>
              <w:t>Above street</w:t>
            </w:r>
          </w:p>
        </w:tc>
      </w:tr>
      <w:tr w:rsidR="00810A26" w14:paraId="2EF6A5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A6314" w14:textId="77777777" w:rsidR="00810A26" w:rsidRDefault="00000000">
            <w:r>
              <w:rPr>
                <w:color w:val="333333"/>
              </w:rPr>
              <w:t>FY2027 EPS Guide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BEF2" w14:textId="77777777" w:rsidR="00810A26" w:rsidRDefault="00000000">
            <w:r>
              <w:rPr>
                <w:color w:val="333333"/>
              </w:rPr>
              <w:t>~$8.50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2B19" w14:textId="77777777" w:rsidR="00810A26" w:rsidRDefault="00000000">
            <w:r>
              <w:rPr>
                <w:color w:val="333333"/>
              </w:rPr>
              <w:t>~$8.85</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13281D" w14:textId="77777777" w:rsidR="00810A26" w:rsidRDefault="00000000">
            <w:r>
              <w:rPr>
                <w:b/>
                <w:bCs/>
                <w:color w:val="2E7D32"/>
              </w:rPr>
              <w:t>Above street</w:t>
            </w:r>
          </w:p>
        </w:tc>
      </w:tr>
    </w:tbl>
    <w:p w14:paraId="473F6A3E" w14:textId="77777777" w:rsidR="00810A26" w:rsidRDefault="00000000">
      <w:r>
        <w:br w:type="page"/>
      </w:r>
    </w:p>
    <w:p w14:paraId="66DB986C" w14:textId="77777777" w:rsidR="00810A26" w:rsidRDefault="00000000">
      <w:pPr>
        <w:pStyle w:val="Heading2"/>
      </w:pPr>
      <w:r>
        <w:lastRenderedPageBreak/>
        <w:t xml:space="preserve">Trigger (a): Vault CRM </w:t>
      </w:r>
      <w:proofErr w:type="gramStart"/>
      <w:r>
        <w:t>Top-20</w:t>
      </w:r>
      <w:proofErr w:type="gramEnd"/>
      <w:r>
        <w:t xml:space="preserve"> Count</w:t>
      </w:r>
    </w:p>
    <w:p w14:paraId="11736784" w14:textId="77777777" w:rsidR="00810A26" w:rsidRDefault="00000000">
      <w:pPr>
        <w:spacing w:before="60" w:after="60"/>
      </w:pPr>
      <w:r>
        <w:rPr>
          <w:b/>
          <w:bCs/>
          <w:color w:val="1B3A5C"/>
        </w:rPr>
        <w:t xml:space="preserve">Feb 17: </w:t>
      </w:r>
      <w:r>
        <w:rPr>
          <w:color w:val="333333"/>
        </w:rPr>
        <w:t>9 of top 20 committed.</w:t>
      </w:r>
    </w:p>
    <w:p w14:paraId="1356E53C" w14:textId="77777777" w:rsidR="00810A26" w:rsidRDefault="00000000">
      <w:pPr>
        <w:spacing w:before="60" w:after="60"/>
      </w:pPr>
      <w:r>
        <w:rPr>
          <w:b/>
          <w:bCs/>
          <w:color w:val="1B3A5C"/>
        </w:rPr>
        <w:t xml:space="preserve">March 4: </w:t>
      </w:r>
      <w:r>
        <w:rPr>
          <w:color w:val="333333"/>
        </w:rPr>
        <w:t>10 of top 20 committed. Expects ~14. 125+ customers live (close to 140). 2 top 20 live in major markets. CRM end-of-support pulled FORWARD 8–9 months to December 2029.</w:t>
      </w:r>
    </w:p>
    <w:p w14:paraId="07A4DDB5" w14:textId="77777777" w:rsidR="00810A26" w:rsidRDefault="00000000">
      <w:pPr>
        <w:spacing w:before="60" w:after="60"/>
      </w:pPr>
      <w:r>
        <w:rPr>
          <w:color w:val="333333"/>
        </w:rPr>
        <w:t xml:space="preserve">This is unambiguously positive. Veeva is pulling the end-of-life date forward, not pushing it back — the strongest possible execution signal. If Salesforce were winning </w:t>
      </w:r>
      <w:proofErr w:type="gramStart"/>
      <w:r>
        <w:rPr>
          <w:color w:val="333333"/>
        </w:rPr>
        <w:t>at</w:t>
      </w:r>
      <w:proofErr w:type="gramEnd"/>
      <w:r>
        <w:rPr>
          <w:color w:val="333333"/>
        </w:rPr>
        <w:t xml:space="preserve"> scale, </w:t>
      </w:r>
      <w:proofErr w:type="gramStart"/>
      <w:r>
        <w:rPr>
          <w:color w:val="333333"/>
        </w:rPr>
        <w:t>top-20</w:t>
      </w:r>
      <w:proofErr w:type="gramEnd"/>
      <w:r>
        <w:rPr>
          <w:color w:val="333333"/>
        </w:rPr>
        <w:t xml:space="preserve"> commitments would </w:t>
      </w:r>
      <w:proofErr w:type="gramStart"/>
      <w:r>
        <w:rPr>
          <w:color w:val="333333"/>
        </w:rPr>
        <w:t>be declining</w:t>
      </w:r>
      <w:proofErr w:type="gramEnd"/>
      <w:r>
        <w:rPr>
          <w:color w:val="333333"/>
        </w:rPr>
        <w:t>, not increasing.</w:t>
      </w:r>
    </w:p>
    <w:p w14:paraId="5ADA10FD" w14:textId="77777777" w:rsidR="00810A26" w:rsidRDefault="00000000">
      <w:pPr>
        <w:spacing w:before="60" w:after="60"/>
      </w:pPr>
      <w:r>
        <w:rPr>
          <w:b/>
          <w:bCs/>
          <w:color w:val="1B3A5C"/>
        </w:rPr>
        <w:t xml:space="preserve">Impact: </w:t>
      </w:r>
      <w:r>
        <w:rPr>
          <w:color w:val="333333"/>
        </w:rPr>
        <w:t>Positive. D2 commercial risk lower than feared.</w:t>
      </w:r>
    </w:p>
    <w:p w14:paraId="7ACAA880" w14:textId="77777777" w:rsidR="00810A26" w:rsidRDefault="00000000">
      <w:pPr>
        <w:pStyle w:val="Heading2"/>
      </w:pPr>
      <w:r>
        <w:t>Trigger (b): AI Pricing</w:t>
      </w:r>
    </w:p>
    <w:p w14:paraId="4BAF3A99" w14:textId="77777777" w:rsidR="00810A26" w:rsidRDefault="00000000">
      <w:pPr>
        <w:spacing w:before="60" w:after="60"/>
      </w:pPr>
      <w:r>
        <w:rPr>
          <w:b/>
          <w:bCs/>
          <w:color w:val="1B3A5C"/>
        </w:rPr>
        <w:t xml:space="preserve">Feb 17: </w:t>
      </w:r>
      <w:r>
        <w:rPr>
          <w:color w:val="333333"/>
        </w:rPr>
        <w:t>AI Agents free. CPP 4/12. ‘$0 in AI revenue currently billing.’</w:t>
      </w:r>
    </w:p>
    <w:p w14:paraId="1C67E26A" w14:textId="77777777" w:rsidR="00810A26" w:rsidRDefault="00000000">
      <w:pPr>
        <w:spacing w:before="60" w:after="60"/>
      </w:pPr>
      <w:r>
        <w:rPr>
          <w:b/>
          <w:bCs/>
          <w:color w:val="1B3A5C"/>
        </w:rPr>
        <w:t xml:space="preserve">March 4: </w:t>
      </w:r>
      <w:r>
        <w:rPr>
          <w:color w:val="333333"/>
        </w:rPr>
        <w:t>TOKEN-BASED PRICING MODEL CONFIRMED AND IN USE. Several customers live. Rolling out agents across all product areas in 2026. Safety use cases: case intake automation, narrative generation. CRM: agentic automation.</w:t>
      </w:r>
    </w:p>
    <w:p w14:paraId="5865C663" w14:textId="77777777" w:rsidR="00810A26" w:rsidRDefault="00000000">
      <w:pPr>
        <w:spacing w:before="60" w:after="60"/>
      </w:pPr>
      <w:r>
        <w:rPr>
          <w:color w:val="333333"/>
        </w:rPr>
        <w:t>The single most important new data point. Transforms the conversation from ‘will Veeva monetize AI?’ to ‘how fast will token revenue scale?’ CPP Criterion 1 upgrades from 1/2 to 2/2.</w:t>
      </w:r>
    </w:p>
    <w:p w14:paraId="5378A18D" w14:textId="77777777" w:rsidR="00810A26" w:rsidRDefault="00000000">
      <w:pPr>
        <w:spacing w:before="60" w:after="60"/>
      </w:pPr>
      <w:r>
        <w:rPr>
          <w:b/>
          <w:bCs/>
          <w:color w:val="1B3A5C"/>
        </w:rPr>
        <w:t xml:space="preserve">Impact: </w:t>
      </w:r>
      <w:r>
        <w:rPr>
          <w:color w:val="333333"/>
        </w:rPr>
        <w:t>Material positive. CPP score increases from 4/12 to 6/12.</w:t>
      </w:r>
    </w:p>
    <w:p w14:paraId="55DA730A" w14:textId="77777777" w:rsidR="00810A26" w:rsidRDefault="00000000">
      <w:pPr>
        <w:pStyle w:val="Heading2"/>
      </w:pPr>
      <w:r>
        <w:t>Trigger (c): Commercial vs R&amp;D Divergence</w:t>
      </w:r>
    </w:p>
    <w:p w14:paraId="387C3826" w14:textId="77777777" w:rsidR="00810A26" w:rsidRDefault="00000000">
      <w:pPr>
        <w:spacing w:before="60" w:after="60"/>
      </w:pPr>
      <w:r>
        <w:rPr>
          <w:b/>
          <w:bCs/>
          <w:color w:val="1B3A5C"/>
        </w:rPr>
        <w:t xml:space="preserve">Feb 17: </w:t>
      </w:r>
      <w:r>
        <w:rPr>
          <w:color w:val="333333"/>
        </w:rPr>
        <w:t>Flagged CRM declining from 25% to 20% of revenue.</w:t>
      </w:r>
    </w:p>
    <w:p w14:paraId="1082EAC4" w14:textId="77777777" w:rsidR="00810A26" w:rsidRDefault="00000000">
      <w:pPr>
        <w:spacing w:before="60" w:after="60"/>
      </w:pPr>
      <w:r>
        <w:rPr>
          <w:b/>
          <w:bCs/>
          <w:color w:val="1B3A5C"/>
        </w:rPr>
        <w:t xml:space="preserve">March 4: </w:t>
      </w:r>
      <w:r>
        <w:rPr>
          <w:color w:val="333333"/>
        </w:rPr>
        <w:t xml:space="preserve">FY2026 subscription +17% YoY. Guidance raised. Beat consensus by 3.1%. </w:t>
      </w:r>
      <w:proofErr w:type="spellStart"/>
      <w:r>
        <w:rPr>
          <w:color w:val="333333"/>
        </w:rPr>
        <w:t>Crossix</w:t>
      </w:r>
      <w:proofErr w:type="spellEnd"/>
      <w:r>
        <w:rPr>
          <w:color w:val="333333"/>
        </w:rPr>
        <w:t xml:space="preserve"> had breakout year. No evidence of accelerating commercial decline.</w:t>
      </w:r>
    </w:p>
    <w:p w14:paraId="09751655" w14:textId="77777777" w:rsidR="00810A26" w:rsidRDefault="00000000">
      <w:pPr>
        <w:spacing w:before="60" w:after="60"/>
      </w:pPr>
      <w:r>
        <w:rPr>
          <w:b/>
          <w:bCs/>
          <w:color w:val="1B3A5C"/>
        </w:rPr>
        <w:t xml:space="preserve">Impact: </w:t>
      </w:r>
      <w:r>
        <w:rPr>
          <w:color w:val="333333"/>
        </w:rPr>
        <w:t>Neutral to positive. Divergence not materializing in financials.</w:t>
      </w:r>
    </w:p>
    <w:p w14:paraId="6BE66609" w14:textId="77777777" w:rsidR="00810A26" w:rsidRDefault="00000000">
      <w:r>
        <w:br w:type="page"/>
      </w:r>
    </w:p>
    <w:p w14:paraId="00E55917" w14:textId="77777777" w:rsidR="00810A26" w:rsidRDefault="00000000">
      <w:pPr>
        <w:pStyle w:val="Heading1"/>
      </w:pPr>
      <w:r>
        <w:lastRenderedPageBreak/>
        <w:t>SECTION 2: ADDRESSING ASSESSMENT ISSUES</w:t>
      </w:r>
    </w:p>
    <w:p w14:paraId="79977788" w14:textId="77777777" w:rsidR="00810A26" w:rsidRDefault="00810A26">
      <w:pPr>
        <w:pBdr>
          <w:bottom w:val="single" w:sz="6" w:space="1" w:color="2E75B6"/>
        </w:pBdr>
        <w:spacing w:before="200" w:after="200"/>
      </w:pPr>
    </w:p>
    <w:p w14:paraId="42D194BE" w14:textId="77777777" w:rsidR="00810A26" w:rsidRDefault="00000000">
      <w:pPr>
        <w:pStyle w:val="Heading2"/>
      </w:pPr>
      <w:r>
        <w:t>Issue 1: DIP-Driven Classification — Resolved</w:t>
      </w:r>
    </w:p>
    <w:p w14:paraId="7D441775" w14:textId="77777777" w:rsidR="00810A26" w:rsidRDefault="00000000">
      <w:pPr>
        <w:spacing w:before="60" w:after="60"/>
      </w:pPr>
      <w:r>
        <w:rPr>
          <w:color w:val="333333"/>
        </w:rPr>
        <w:t xml:space="preserve">The Feb assessment warned: ‘Antifragile classification reached only because of DIP modifier.’ Post-earnings, this concern is partially resolved. Token AI pricing is now live, producing real revenue. R&amp;D product expansion continues deepening (6th Safety </w:t>
      </w:r>
      <w:proofErr w:type="gramStart"/>
      <w:r>
        <w:rPr>
          <w:color w:val="333333"/>
        </w:rPr>
        <w:t>top-20</w:t>
      </w:r>
      <w:proofErr w:type="gramEnd"/>
      <w:r>
        <w:rPr>
          <w:color w:val="333333"/>
        </w:rPr>
        <w:t xml:space="preserve"> win, RTSM enterprise standard, LIMS </w:t>
      </w:r>
      <w:proofErr w:type="gramStart"/>
      <w:r>
        <w:rPr>
          <w:color w:val="333333"/>
        </w:rPr>
        <w:t>top-20</w:t>
      </w:r>
      <w:proofErr w:type="gramEnd"/>
      <w:r>
        <w:rPr>
          <w:color w:val="333333"/>
        </w:rPr>
        <w:t xml:space="preserve"> go-live on track). CRO channel is net-new TAM. The classification has more organic support than on Feb 17 — DIP remains the </w:t>
      </w:r>
      <w:proofErr w:type="gramStart"/>
      <w:r>
        <w:rPr>
          <w:color w:val="333333"/>
        </w:rPr>
        <w:t>bedrock</w:t>
      </w:r>
      <w:proofErr w:type="gramEnd"/>
      <w:r>
        <w:rPr>
          <w:color w:val="333333"/>
        </w:rPr>
        <w:t xml:space="preserve"> but CPP is building.</w:t>
      </w:r>
    </w:p>
    <w:p w14:paraId="3844ECEC" w14:textId="77777777" w:rsidR="00810A26" w:rsidRDefault="00000000">
      <w:pPr>
        <w:pStyle w:val="Heading2"/>
      </w:pPr>
      <w:r>
        <w:t>Issue 2: Salesforce Threat — Contained, Not Eliminated</w:t>
      </w:r>
    </w:p>
    <w:p w14:paraId="4741F8AB" w14:textId="77777777" w:rsidR="00810A26" w:rsidRDefault="00000000">
      <w:pPr>
        <w:spacing w:before="60" w:after="60"/>
      </w:pPr>
      <w:r>
        <w:rPr>
          <w:color w:val="333333"/>
        </w:rPr>
        <w:t xml:space="preserve">Salesforce’s 40+ life sciences customers remain a valid risk factor. But March 4 results show no financial impact: Veeva beat revenue consensus by 3.1%, grew subscriptions 17%, increased </w:t>
      </w:r>
      <w:proofErr w:type="gramStart"/>
      <w:r>
        <w:rPr>
          <w:color w:val="333333"/>
        </w:rPr>
        <w:t>top-20</w:t>
      </w:r>
      <w:proofErr w:type="gramEnd"/>
      <w:r>
        <w:rPr>
          <w:color w:val="333333"/>
        </w:rPr>
        <w:t xml:space="preserve"> commitments from 9 to 10, and pulled CRM end-of-support forward. Salesforce </w:t>
      </w:r>
      <w:proofErr w:type="gramStart"/>
      <w:r>
        <w:rPr>
          <w:color w:val="333333"/>
        </w:rPr>
        <w:t>appears</w:t>
      </w:r>
      <w:proofErr w:type="gramEnd"/>
      <w:r>
        <w:rPr>
          <w:color w:val="333333"/>
        </w:rPr>
        <w:t xml:space="preserve"> to be expanding the life sciences CRM TAM (bringing new companies into digital CRM) rather than displacing Veeva’s installed base. Gassner positioned Veeva as </w:t>
      </w:r>
      <w:proofErr w:type="gramStart"/>
      <w:r>
        <w:rPr>
          <w:color w:val="333333"/>
        </w:rPr>
        <w:t>infrastructure: ‘</w:t>
      </w:r>
      <w:proofErr w:type="gramEnd"/>
      <w:r>
        <w:rPr>
          <w:color w:val="333333"/>
        </w:rPr>
        <w:t>AI is not going to replace core systems of record like SAP, Workday, or Veeva.’</w:t>
      </w:r>
    </w:p>
    <w:p w14:paraId="48ED9748" w14:textId="77777777" w:rsidR="00810A26" w:rsidRDefault="00000000">
      <w:pPr>
        <w:pStyle w:val="Heading2"/>
      </w:pPr>
      <w:r>
        <w:t>Issue 3: No AI Revenue — Resolved</w:t>
      </w:r>
    </w:p>
    <w:p w14:paraId="5DD172DB" w14:textId="77777777" w:rsidR="00810A26" w:rsidRDefault="00000000">
      <w:pPr>
        <w:spacing w:before="60" w:after="60"/>
      </w:pPr>
      <w:r>
        <w:rPr>
          <w:color w:val="333333"/>
        </w:rPr>
        <w:t>Token-based pricing is live. Customers are generating tokens. Revenue impact is ‘little near-term</w:t>
      </w:r>
      <w:proofErr w:type="gramStart"/>
      <w:r>
        <w:rPr>
          <w:color w:val="333333"/>
        </w:rPr>
        <w:t>’</w:t>
      </w:r>
      <w:proofErr w:type="gramEnd"/>
      <w:r>
        <w:rPr>
          <w:color w:val="333333"/>
        </w:rPr>
        <w:t xml:space="preserve"> but the model is in production, not theoretical. CPP criterion 1 upgrades to full marks. AI use cases span CRM (agentic), Safety (case intake, narrative generation), and commercial content. Management rolling out agents across every product area in 2026.</w:t>
      </w:r>
    </w:p>
    <w:p w14:paraId="47302342" w14:textId="77777777" w:rsidR="00810A26" w:rsidRDefault="00000000">
      <w:pPr>
        <w:pStyle w:val="Heading2"/>
      </w:pPr>
      <w:r>
        <w:t>Issue 4: Goldman Sell Rating — Challenged by Results</w:t>
      </w:r>
    </w:p>
    <w:p w14:paraId="1CC583CE" w14:textId="77777777" w:rsidR="00810A26" w:rsidRDefault="00000000">
      <w:pPr>
        <w:spacing w:before="60" w:after="60"/>
      </w:pPr>
      <w:r>
        <w:rPr>
          <w:color w:val="333333"/>
        </w:rPr>
        <w:t>Goldman’s January 2026 Sell thesis centered on growth deceleration and Salesforce competition. Q4 results directly contradict this: $836M revenue beat $810.5M consensus, FY2027 guidance raised above street, margins expanding. Stock rose ~8% post-earnings.</w:t>
      </w:r>
    </w:p>
    <w:p w14:paraId="605E2DBB" w14:textId="77777777" w:rsidR="00810A26" w:rsidRDefault="00000000">
      <w:r>
        <w:br w:type="page"/>
      </w:r>
    </w:p>
    <w:p w14:paraId="180D4C1B" w14:textId="77777777" w:rsidR="00810A26" w:rsidRDefault="00000000">
      <w:pPr>
        <w:pStyle w:val="Heading1"/>
      </w:pPr>
      <w:r>
        <w:lastRenderedPageBreak/>
        <w:t>SECTION 3: REVISED SCORING</w:t>
      </w:r>
    </w:p>
    <w:p w14:paraId="512D743C" w14:textId="77777777" w:rsidR="00810A26" w:rsidRDefault="00810A26">
      <w:pPr>
        <w:pBdr>
          <w:bottom w:val="single" w:sz="6" w:space="1" w:color="2E75B6"/>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60"/>
        <w:gridCol w:w="1200"/>
        <w:gridCol w:w="1200"/>
        <w:gridCol w:w="3400"/>
      </w:tblGrid>
      <w:tr w:rsidR="00810A26" w14:paraId="26573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D10620" w14:textId="77777777" w:rsidR="00810A26" w:rsidRDefault="00000000">
            <w:r>
              <w:rPr>
                <w:b/>
                <w:bCs/>
                <w:color w:val="FFFFFF"/>
              </w:rPr>
              <w:t>Dimension</w:t>
            </w:r>
          </w:p>
        </w:tc>
        <w:tc>
          <w:tcPr>
            <w:tcW w:w="1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E4DBC9" w14:textId="77777777" w:rsidR="00810A26" w:rsidRDefault="00000000">
            <w:r>
              <w:rPr>
                <w:b/>
                <w:bCs/>
                <w:color w:val="FFFFFF"/>
              </w:rPr>
              <w:t>Feb</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D05F8C" w14:textId="77777777" w:rsidR="00810A26" w:rsidRDefault="00000000">
            <w:r>
              <w:rPr>
                <w:b/>
                <w:bCs/>
                <w:color w:val="FFFFFF"/>
              </w:rPr>
              <w:t>Mar</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EE5A2C" w14:textId="77777777" w:rsidR="00810A26" w:rsidRDefault="00000000">
            <w:r>
              <w:rPr>
                <w:b/>
                <w:bCs/>
                <w:color w:val="FFFFFF"/>
              </w:rPr>
              <w:t>Change</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061B6F" w14:textId="77777777" w:rsidR="00810A26" w:rsidRDefault="00000000">
            <w:r>
              <w:rPr>
                <w:b/>
                <w:bCs/>
                <w:color w:val="FFFFFF"/>
              </w:rPr>
              <w:t>Rationale</w:t>
            </w:r>
          </w:p>
        </w:tc>
      </w:tr>
      <w:tr w:rsidR="00810A26" w14:paraId="562393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B820C9" w14:textId="77777777" w:rsidR="00810A26" w:rsidRDefault="00000000">
            <w:r>
              <w:rPr>
                <w:color w:val="333333"/>
              </w:rPr>
              <w:t>D1 Liability (15%)</w:t>
            </w:r>
          </w:p>
        </w:tc>
        <w:tc>
          <w:tcPr>
            <w:tcW w:w="1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CEB004" w14:textId="77777777" w:rsidR="00810A26" w:rsidRDefault="00000000">
            <w:r>
              <w:rPr>
                <w:color w:val="333333"/>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4339A3" w14:textId="77777777" w:rsidR="00810A26" w:rsidRDefault="00000000">
            <w:r>
              <w:rPr>
                <w:color w:val="333333"/>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06CDD3" w14:textId="77777777" w:rsidR="00810A26" w:rsidRDefault="00000000">
            <w:r>
              <w:rPr>
                <w:color w:val="333333"/>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12E68E" w14:textId="77777777" w:rsidR="00810A26" w:rsidRDefault="00000000">
            <w:r>
              <w:rPr>
                <w:color w:val="333333"/>
              </w:rPr>
              <w:t>Unchanged. R&amp;D/Quality moat intact.</w:t>
            </w:r>
          </w:p>
        </w:tc>
      </w:tr>
      <w:tr w:rsidR="00810A26" w14:paraId="481340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7CAC5" w14:textId="77777777" w:rsidR="00810A26" w:rsidRDefault="00000000">
            <w:r>
              <w:rPr>
                <w:color w:val="333333"/>
              </w:rPr>
              <w:t>D2 Biz Model (30%)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AA575" w14:textId="77777777" w:rsidR="00810A26" w:rsidRDefault="00000000">
            <w:r>
              <w:rPr>
                <w:color w:val="333333"/>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A54B1" w14:textId="77777777" w:rsidR="00810A26" w:rsidRDefault="00000000">
            <w:r>
              <w:rPr>
                <w:color w:val="333333"/>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8FE64F" w14:textId="77777777" w:rsidR="00810A26" w:rsidRDefault="00000000">
            <w:r>
              <w:rPr>
                <w:b/>
                <w:bCs/>
                <w:color w:val="2E7D32"/>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36700" w14:textId="77777777" w:rsidR="00810A26" w:rsidRDefault="00000000">
            <w:r>
              <w:rPr>
                <w:color w:val="333333"/>
              </w:rPr>
              <w:t>Token pricing live. CRM accelerating. CRO channel. Beat-and-raise.</w:t>
            </w:r>
          </w:p>
        </w:tc>
      </w:tr>
      <w:tr w:rsidR="00810A26" w14:paraId="302667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8CC60E" w14:textId="77777777" w:rsidR="00810A26" w:rsidRDefault="00000000">
            <w:r>
              <w:rPr>
                <w:color w:val="333333"/>
              </w:rPr>
              <w:t>D3 Physical (15%)</w:t>
            </w:r>
          </w:p>
        </w:tc>
        <w:tc>
          <w:tcPr>
            <w:tcW w:w="1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96DBAF" w14:textId="77777777" w:rsidR="00810A26" w:rsidRDefault="00000000">
            <w:r>
              <w:rPr>
                <w:color w:val="333333"/>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767ED2" w14:textId="77777777" w:rsidR="00810A26" w:rsidRDefault="00000000">
            <w:r>
              <w:rPr>
                <w:color w:val="333333"/>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EC2B9C" w14:textId="77777777" w:rsidR="00810A26" w:rsidRDefault="00000000">
            <w:r>
              <w:rPr>
                <w:color w:val="333333"/>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51DA0A" w14:textId="77777777" w:rsidR="00810A26" w:rsidRDefault="00000000">
            <w:r>
              <w:rPr>
                <w:color w:val="333333"/>
              </w:rPr>
              <w:t>Unchanged. Regulatory transaction embedding intact.</w:t>
            </w:r>
          </w:p>
        </w:tc>
      </w:tr>
      <w:tr w:rsidR="00810A26" w14:paraId="55B42C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F0F7" w14:textId="77777777" w:rsidR="00810A26" w:rsidRDefault="00000000">
            <w:r>
              <w:rPr>
                <w:color w:val="333333"/>
              </w:rPr>
              <w:t>D4 Network/Data (40%)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0494" w14:textId="77777777" w:rsidR="00810A26" w:rsidRDefault="00000000">
            <w:r>
              <w:rPr>
                <w:color w:val="333333"/>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7B3B" w14:textId="77777777" w:rsidR="00810A26" w:rsidRDefault="00000000">
            <w:r>
              <w:rPr>
                <w:color w:val="333333"/>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45BA0" w14:textId="77777777" w:rsidR="00810A26" w:rsidRDefault="00000000">
            <w:r>
              <w:rPr>
                <w:color w:val="333333"/>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BF71E" w14:textId="77777777" w:rsidR="00810A26" w:rsidRDefault="00000000">
            <w:r>
              <w:rPr>
                <w:color w:val="333333"/>
              </w:rPr>
              <w:t xml:space="preserve">Unchanged. </w:t>
            </w:r>
            <w:proofErr w:type="spellStart"/>
            <w:r>
              <w:rPr>
                <w:color w:val="333333"/>
              </w:rPr>
              <w:t>Crossix</w:t>
            </w:r>
            <w:proofErr w:type="spellEnd"/>
            <w:r>
              <w:rPr>
                <w:color w:val="333333"/>
              </w:rPr>
              <w:t xml:space="preserve"> breakout confirms commercial data strength.</w:t>
            </w:r>
          </w:p>
        </w:tc>
      </w:tr>
    </w:tbl>
    <w:p w14:paraId="7C206078" w14:textId="77777777" w:rsidR="00810A26" w:rsidRDefault="00000000">
      <w:pPr>
        <w:spacing w:before="60" w:after="60"/>
      </w:pPr>
      <w:r>
        <w:rPr>
          <w:b/>
          <w:bCs/>
          <w:color w:val="1B3A5C"/>
        </w:rPr>
        <w:t xml:space="preserve">Revised Raw: </w:t>
      </w:r>
      <w:r>
        <w:rPr>
          <w:color w:val="333333"/>
        </w:rPr>
        <w:t>(9×0.</w:t>
      </w:r>
      <w:proofErr w:type="gramStart"/>
      <w:r>
        <w:rPr>
          <w:color w:val="333333"/>
        </w:rPr>
        <w:t>15)+(</w:t>
      </w:r>
      <w:proofErr w:type="gramEnd"/>
      <w:r>
        <w:rPr>
          <w:color w:val="333333"/>
        </w:rPr>
        <w:t>6×0.</w:t>
      </w:r>
      <w:proofErr w:type="gramStart"/>
      <w:r>
        <w:rPr>
          <w:color w:val="333333"/>
        </w:rPr>
        <w:t>30)+(</w:t>
      </w:r>
      <w:proofErr w:type="gramEnd"/>
      <w:r>
        <w:rPr>
          <w:color w:val="333333"/>
        </w:rPr>
        <w:t>7×0.</w:t>
      </w:r>
      <w:proofErr w:type="gramStart"/>
      <w:r>
        <w:rPr>
          <w:color w:val="333333"/>
        </w:rPr>
        <w:t>15)+(</w:t>
      </w:r>
      <w:proofErr w:type="gramEnd"/>
      <w:r>
        <w:rPr>
          <w:color w:val="333333"/>
        </w:rPr>
        <w:t>8×0.40) = 1.35+1.80+1.05+3.20 = 7.40 (up from 7.10)</w:t>
      </w:r>
    </w:p>
    <w:p w14:paraId="0121C8D8" w14:textId="77777777" w:rsidR="00810A26" w:rsidRDefault="00000000">
      <w:pPr>
        <w:spacing w:before="60" w:after="60"/>
      </w:pPr>
      <w:r>
        <w:rPr>
          <w:b/>
          <w:bCs/>
          <w:color w:val="1B3A5C"/>
        </w:rPr>
        <w:t xml:space="preserve">DIP: </w:t>
      </w:r>
      <w:r>
        <w:rPr>
          <w:color w:val="333333"/>
        </w:rPr>
        <w:t>+1.50 (unchanged)</w:t>
      </w:r>
    </w:p>
    <w:p w14:paraId="0822B3A7" w14:textId="77777777" w:rsidR="00810A26" w:rsidRDefault="00000000">
      <w:pPr>
        <w:spacing w:before="60" w:after="60"/>
      </w:pPr>
      <w:r>
        <w:rPr>
          <w:b/>
          <w:bCs/>
          <w:color w:val="1B3A5C"/>
        </w:rPr>
        <w:t xml:space="preserve">CPP: </w:t>
      </w:r>
      <w:r>
        <w:rPr>
          <w:color w:val="333333"/>
        </w:rPr>
        <w:t>+0.50 (score 6/12, same band as 4/12, but closer to upgrade threshold)</w:t>
      </w:r>
    </w:p>
    <w:p w14:paraId="3652D574" w14:textId="77777777" w:rsidR="00810A26" w:rsidRDefault="00000000">
      <w:pPr>
        <w:spacing w:before="60" w:after="60"/>
      </w:pPr>
      <w:r>
        <w:rPr>
          <w:b/>
          <w:bCs/>
          <w:color w:val="1B3A5C"/>
        </w:rPr>
        <w:t xml:space="preserve">FINAL COMPOSITE: </w:t>
      </w:r>
      <w:r>
        <w:rPr>
          <w:color w:val="333333"/>
        </w:rPr>
        <w:t>7.40 + 1.50 + 0.50 = 9.40 (up from 9.10)</w:t>
      </w:r>
    </w:p>
    <w:p w14:paraId="22D38292" w14:textId="77777777" w:rsidR="00810A26" w:rsidRDefault="00000000">
      <w:pPr>
        <w:pBdr>
          <w:bottom w:val="single" w:sz="8" w:space="1" w:color="2E7D32"/>
        </w:pBdr>
        <w:spacing w:before="200" w:after="200"/>
      </w:pPr>
      <w:r>
        <w:rPr>
          <w:b/>
          <w:bCs/>
          <w:color w:val="2E7D32"/>
          <w:sz w:val="26"/>
          <w:szCs w:val="26"/>
        </w:rPr>
        <w:t>CLASSIFICATION: ANTIFRAGILE — CONFIRMED &amp; STRENGTHENED (9.40)</w:t>
      </w:r>
    </w:p>
    <w:p w14:paraId="2744D87B" w14:textId="77777777" w:rsidR="00810A26" w:rsidRDefault="00000000">
      <w:r>
        <w:br w:type="page"/>
      </w:r>
    </w:p>
    <w:p w14:paraId="1731BE6D" w14:textId="77777777" w:rsidR="00810A26" w:rsidRDefault="00000000">
      <w:pPr>
        <w:pStyle w:val="Heading1"/>
      </w:pPr>
      <w:r>
        <w:lastRenderedPageBreak/>
        <w:t>SECTION 4: WILL AI MAKE VEEVA STRONGER?</w:t>
      </w:r>
    </w:p>
    <w:p w14:paraId="6A6329F8" w14:textId="77777777" w:rsidR="00810A26" w:rsidRDefault="00810A26">
      <w:pPr>
        <w:pBdr>
          <w:bottom w:val="single" w:sz="6" w:space="1" w:color="2E75B6"/>
        </w:pBdr>
        <w:spacing w:before="200" w:after="200"/>
      </w:pPr>
    </w:p>
    <w:p w14:paraId="794E0F25" w14:textId="77777777" w:rsidR="00810A26" w:rsidRDefault="00000000">
      <w:pPr>
        <w:spacing w:before="60" w:after="60"/>
      </w:pPr>
      <w:r>
        <w:rPr>
          <w:color w:val="333333"/>
        </w:rPr>
        <w:t>Answer: Yes, through three distinct mechanisms.</w:t>
      </w:r>
    </w:p>
    <w:p w14:paraId="42A7E88A" w14:textId="77777777" w:rsidR="00810A26" w:rsidRDefault="00000000">
      <w:pPr>
        <w:spacing w:before="200" w:after="120"/>
      </w:pPr>
      <w:r>
        <w:rPr>
          <w:b/>
          <w:bCs/>
          <w:color w:val="1B3A5C"/>
          <w:sz w:val="22"/>
          <w:szCs w:val="22"/>
        </w:rPr>
        <w:t>Mechanism 1: AI Deepens the Regulatory Moat (Defense)</w:t>
      </w:r>
    </w:p>
    <w:p w14:paraId="3E90D7C4" w14:textId="77777777" w:rsidR="00810A26" w:rsidRDefault="00000000">
      <w:pPr>
        <w:spacing w:before="60" w:after="60"/>
      </w:pPr>
      <w:r>
        <w:rPr>
          <w:color w:val="333333"/>
        </w:rPr>
        <w:t xml:space="preserve">Veeva’s AI agents operate INSIDE a validated, </w:t>
      </w:r>
      <w:proofErr w:type="spellStart"/>
      <w:r>
        <w:rPr>
          <w:color w:val="333333"/>
        </w:rPr>
        <w:t>GxP</w:t>
      </w:r>
      <w:proofErr w:type="spellEnd"/>
      <w:r>
        <w:rPr>
          <w:color w:val="333333"/>
        </w:rPr>
        <w:t>-compliant system. When pharma uses Veeva AI for Safety case intake or narrative generation, outputs are automatically logged in Vault’s 21 CFR Part 11 audit trail. A generic LLM cannot replicate this — even if the AI capability were superior, using a non-validated system for regulated activities would itself be a compliance violation. AI makes the DIP moat deeper, not shallower. This is the definition of antifragility.</w:t>
      </w:r>
    </w:p>
    <w:p w14:paraId="55B247AE" w14:textId="77777777" w:rsidR="00810A26" w:rsidRDefault="00000000">
      <w:pPr>
        <w:spacing w:before="200" w:after="120"/>
      </w:pPr>
      <w:r>
        <w:rPr>
          <w:b/>
          <w:bCs/>
          <w:color w:val="1B3A5C"/>
          <w:sz w:val="22"/>
          <w:szCs w:val="22"/>
        </w:rPr>
        <w:t>Mechanism 2: Token Pricing Expands TAM (Offense)</w:t>
      </w:r>
    </w:p>
    <w:p w14:paraId="3374B102" w14:textId="77777777" w:rsidR="00810A26" w:rsidRDefault="00000000">
      <w:pPr>
        <w:spacing w:before="60" w:after="60"/>
      </w:pPr>
      <w:r>
        <w:rPr>
          <w:color w:val="333333"/>
        </w:rPr>
        <w:t>Under seat pricing, revenue per customer is capped by headcount. Under token pricing, revenue scales with AI usage — every automated case, every generated narrative, every agentic CRM workflow consumes tokens. There is no headcount ceiling. Veeva can now monetize the productivity gains AI delivers to customers rather than watching those gains compress seat counts. This is the Bustamante consumption pricing thesis in action.</w:t>
      </w:r>
    </w:p>
    <w:p w14:paraId="1EB7688E" w14:textId="77777777" w:rsidR="00810A26" w:rsidRDefault="00000000">
      <w:pPr>
        <w:spacing w:before="200" w:after="120"/>
      </w:pPr>
      <w:r>
        <w:rPr>
          <w:b/>
          <w:bCs/>
          <w:color w:val="1B3A5C"/>
          <w:sz w:val="22"/>
          <w:szCs w:val="22"/>
        </w:rPr>
        <w:t>Mechanism 3: Drug Complexity Drives Structural Adoption (Secular)</w:t>
      </w:r>
    </w:p>
    <w:p w14:paraId="7D32C65B" w14:textId="77777777" w:rsidR="00810A26" w:rsidRDefault="00000000">
      <w:pPr>
        <w:spacing w:before="60" w:after="60"/>
      </w:pPr>
      <w:r>
        <w:rPr>
          <w:color w:val="333333"/>
        </w:rPr>
        <w:t xml:space="preserve">AI </w:t>
      </w:r>
      <w:proofErr w:type="gramStart"/>
      <w:r>
        <w:rPr>
          <w:color w:val="333333"/>
        </w:rPr>
        <w:t>is enabling</w:t>
      </w:r>
      <w:proofErr w:type="gramEnd"/>
      <w:r>
        <w:rPr>
          <w:color w:val="333333"/>
        </w:rPr>
        <w:t xml:space="preserve"> more complex clinical trials (adaptive designs, decentralized trials, biomarker-driven enrollment) and personalized medicine (gene therapies, cell therapies, mRNA). Each increases the data management burden on Vault eTMF, CDMS, and Safety. More complex drugs = more regulatory documentation = more Vault usage. The AI revolution in drug development is a structural tailwind for Veeva’s platform.</w:t>
      </w:r>
    </w:p>
    <w:p w14:paraId="1FF088CC" w14:textId="77777777" w:rsidR="00810A26" w:rsidRDefault="00000000">
      <w:pPr>
        <w:pStyle w:val="Heading2"/>
      </w:pPr>
      <w:r>
        <w:t>Is Veeva Antifragile?</w:t>
      </w:r>
    </w:p>
    <w:p w14:paraId="69BCB7C6" w14:textId="77777777" w:rsidR="00810A26" w:rsidRDefault="00000000">
      <w:pPr>
        <w:spacing w:before="60" w:after="60"/>
      </w:pPr>
      <w:r>
        <w:rPr>
          <w:color w:val="333333"/>
        </w:rPr>
        <w:t xml:space="preserve">Yes. The R&amp;D/Quality/Regulatory segment (~75–80% of subscription revenue) is genuinely antifragile — AI makes these products stronger through validated integration, token monetization, and increasing complexity. The commercial CRM segment (~20–25%) is robust but not antifragile — AI gives Veeva better tools but also gives Salesforce better tools. Portfolio-blended, the classification is ANTIFRAGILE with a skew toward the R&amp;D fortress. As R&amp;D continues growing as a share of revenue, the company’s </w:t>
      </w:r>
      <w:proofErr w:type="gramStart"/>
      <w:r>
        <w:rPr>
          <w:color w:val="333333"/>
        </w:rPr>
        <w:t>antifragility</w:t>
      </w:r>
      <w:proofErr w:type="gramEnd"/>
      <w:r>
        <w:rPr>
          <w:color w:val="333333"/>
        </w:rPr>
        <w:t xml:space="preserve"> strengthens over time.</w:t>
      </w:r>
    </w:p>
    <w:p w14:paraId="07E31394" w14:textId="77777777" w:rsidR="00810A26" w:rsidRDefault="00000000">
      <w:r>
        <w:br w:type="page"/>
      </w:r>
    </w:p>
    <w:p w14:paraId="2D72D6C7" w14:textId="77777777" w:rsidR="00810A26" w:rsidRDefault="00000000">
      <w:pPr>
        <w:pStyle w:val="Heading1"/>
      </w:pPr>
      <w:r>
        <w:lastRenderedPageBreak/>
        <w:t>SECTION 5: VALUATION &amp; SCENARIOS</w:t>
      </w:r>
    </w:p>
    <w:p w14:paraId="29A66B1C" w14:textId="77777777" w:rsidR="00810A26" w:rsidRDefault="00810A26">
      <w:pPr>
        <w:pBdr>
          <w:bottom w:val="single" w:sz="6" w:space="1" w:color="2E75B6"/>
        </w:pBdr>
        <w:spacing w:before="200" w:after="200"/>
      </w:pPr>
    </w:p>
    <w:p w14:paraId="7067CA57" w14:textId="77777777" w:rsidR="00810A26" w:rsidRDefault="00000000">
      <w:pPr>
        <w:spacing w:before="60" w:after="60"/>
      </w:pPr>
      <w:r>
        <w:rPr>
          <w:b/>
          <w:bCs/>
          <w:color w:val="1B3A5C"/>
        </w:rPr>
        <w:t xml:space="preserve">NTM EV/Revenue: </w:t>
      </w:r>
      <w:r>
        <w:rPr>
          <w:color w:val="333333"/>
        </w:rPr>
        <w:t>~6.8x vs 15x Antifragile threshold — PASS</w:t>
      </w:r>
    </w:p>
    <w:p w14:paraId="58CA5C26" w14:textId="77777777" w:rsidR="00810A26" w:rsidRDefault="00000000">
      <w:pPr>
        <w:spacing w:before="60" w:after="60"/>
      </w:pPr>
      <w:r>
        <w:rPr>
          <w:b/>
          <w:bCs/>
          <w:color w:val="1B3A5C"/>
        </w:rPr>
        <w:t xml:space="preserve">Forward P/E: </w:t>
      </w:r>
      <w:r>
        <w:rPr>
          <w:color w:val="333333"/>
        </w:rPr>
        <w:t>~22.9x on $8.85 FY2027 EPS</w:t>
      </w:r>
    </w:p>
    <w:p w14:paraId="663DF10C" w14:textId="77777777" w:rsidR="00810A26" w:rsidRDefault="00000000">
      <w:pPr>
        <w:spacing w:before="60" w:after="60"/>
      </w:pPr>
      <w:r>
        <w:rPr>
          <w:b/>
          <w:bCs/>
          <w:color w:val="1B3A5C"/>
        </w:rPr>
        <w:t xml:space="preserve">FCF Yield: </w:t>
      </w:r>
      <w:r>
        <w:rPr>
          <w:color w:val="333333"/>
        </w:rPr>
        <w:t>~4.5% on ~$1.4B annual FCF</w:t>
      </w:r>
    </w:p>
    <w:p w14:paraId="715551FE" w14:textId="77777777" w:rsidR="00810A26" w:rsidRDefault="00000000">
      <w:pPr>
        <w:spacing w:before="60" w:after="60"/>
      </w:pPr>
      <w:r>
        <w:rPr>
          <w:b/>
          <w:bCs/>
          <w:color w:val="1B3A5C"/>
        </w:rPr>
        <w:t xml:space="preserve">PEG Ratio: </w:t>
      </w:r>
      <w:r>
        <w:rPr>
          <w:color w:val="333333"/>
        </w:rPr>
        <w:t>~1.25x</w:t>
      </w:r>
    </w:p>
    <w:p w14:paraId="7137680B" w14:textId="77777777" w:rsidR="00810A26" w:rsidRDefault="00000000">
      <w:pPr>
        <w:spacing w:before="60" w:after="60"/>
      </w:pPr>
      <w:r>
        <w:rPr>
          <w:color w:val="333333"/>
        </w:rPr>
        <w:t>Even after the +8% post-earnings move, Veeva trades at ~50% of its historical average multiple. The valuation gap remains material.</w:t>
      </w:r>
    </w:p>
    <w:p w14:paraId="759F680D" w14:textId="77777777" w:rsidR="00810A26" w:rsidRDefault="00000000">
      <w:pPr>
        <w:spacing w:before="200" w:after="120"/>
      </w:pPr>
      <w:r>
        <w:rPr>
          <w:b/>
          <w:bCs/>
          <w:color w:val="1B3A5C"/>
          <w:sz w:val="22"/>
          <w:szCs w:val="22"/>
        </w:rPr>
        <w:t>Revised Probabilities</w:t>
      </w:r>
    </w:p>
    <w:p w14:paraId="7F67B6E0" w14:textId="77777777" w:rsidR="00810A26" w:rsidRDefault="00000000">
      <w:pPr>
        <w:spacing w:before="60" w:after="60"/>
      </w:pPr>
      <w:r>
        <w:rPr>
          <w:b/>
          <w:bCs/>
          <w:color w:val="1B3A5C"/>
        </w:rPr>
        <w:t xml:space="preserve">Bull (40%, up from 35%): </w:t>
      </w:r>
      <w:r>
        <w:rPr>
          <w:color w:val="333333"/>
        </w:rPr>
        <w:t>Token pricing scales. AI agents across all products. $340–380 target.</w:t>
      </w:r>
    </w:p>
    <w:p w14:paraId="48DFAED4" w14:textId="77777777" w:rsidR="00810A26" w:rsidRDefault="00000000">
      <w:pPr>
        <w:spacing w:before="60" w:after="60"/>
      </w:pPr>
      <w:r>
        <w:rPr>
          <w:b/>
          <w:bCs/>
          <w:color w:val="1B3A5C"/>
        </w:rPr>
        <w:t xml:space="preserve">Base (45%, unchanged): </w:t>
      </w:r>
      <w:r>
        <w:rPr>
          <w:color w:val="333333"/>
        </w:rPr>
        <w:t>12–13% growth. Margin expansion. $260–300 target.</w:t>
      </w:r>
    </w:p>
    <w:p w14:paraId="4842D3CE" w14:textId="77777777" w:rsidR="00810A26" w:rsidRDefault="00000000">
      <w:pPr>
        <w:spacing w:before="60" w:after="60"/>
      </w:pPr>
      <w:r>
        <w:rPr>
          <w:b/>
          <w:bCs/>
          <w:color w:val="1B3A5C"/>
        </w:rPr>
        <w:t xml:space="preserve">Bear (15%, down from 20%): </w:t>
      </w:r>
      <w:r>
        <w:rPr>
          <w:color w:val="333333"/>
        </w:rPr>
        <w:t>CRM displacement spreads. DIP erosion. $160–180 target.</w:t>
      </w:r>
    </w:p>
    <w:p w14:paraId="46C4690A" w14:textId="77777777" w:rsidR="00810A26" w:rsidRDefault="00000000">
      <w:pPr>
        <w:spacing w:before="60" w:after="60"/>
      </w:pPr>
      <w:r>
        <w:rPr>
          <w:b/>
          <w:bCs/>
          <w:color w:val="1B3A5C"/>
        </w:rPr>
        <w:t xml:space="preserve">Probability-Weighted: </w:t>
      </w:r>
      <w:r>
        <w:rPr>
          <w:color w:val="333333"/>
        </w:rPr>
        <w:t>~$296 (+46% from ~$203)</w:t>
      </w:r>
    </w:p>
    <w:p w14:paraId="77FE915A" w14:textId="77777777" w:rsidR="00810A26" w:rsidRDefault="00000000">
      <w:pPr>
        <w:pStyle w:val="Heading2"/>
      </w:pPr>
      <w:r>
        <w:t>Final Verdict</w:t>
      </w:r>
    </w:p>
    <w:p w14:paraId="7C1B1909" w14:textId="77777777" w:rsidR="00810A26" w:rsidRDefault="00000000">
      <w:pPr>
        <w:spacing w:before="60" w:after="60"/>
      </w:pPr>
      <w:r>
        <w:rPr>
          <w:b/>
          <w:bCs/>
          <w:color w:val="1B3A5C"/>
        </w:rPr>
        <w:t xml:space="preserve">Classification: </w:t>
      </w:r>
      <w:r>
        <w:rPr>
          <w:color w:val="333333"/>
        </w:rPr>
        <w:t>ANTIFRAGILE (</w:t>
      </w:r>
      <w:proofErr w:type="gramStart"/>
      <w:r>
        <w:rPr>
          <w:color w:val="333333"/>
        </w:rPr>
        <w:t>9.40) —</w:t>
      </w:r>
      <w:proofErr w:type="gramEnd"/>
      <w:r>
        <w:rPr>
          <w:color w:val="333333"/>
        </w:rPr>
        <w:t xml:space="preserve"> CONFIRMED</w:t>
      </w:r>
    </w:p>
    <w:p w14:paraId="369C6B7A" w14:textId="77777777" w:rsidR="00810A26" w:rsidRDefault="00000000">
      <w:pPr>
        <w:spacing w:before="60" w:after="60"/>
      </w:pPr>
      <w:r>
        <w:rPr>
          <w:b/>
          <w:bCs/>
          <w:color w:val="1B3A5C"/>
        </w:rPr>
        <w:t xml:space="preserve">Rating: </w:t>
      </w:r>
      <w:r>
        <w:rPr>
          <w:color w:val="333333"/>
        </w:rPr>
        <w:t>BUY</w:t>
      </w:r>
    </w:p>
    <w:p w14:paraId="29D3EEE1" w14:textId="77777777" w:rsidR="00810A26" w:rsidRDefault="00000000">
      <w:pPr>
        <w:spacing w:before="60" w:after="60"/>
      </w:pPr>
      <w:r>
        <w:rPr>
          <w:b/>
          <w:bCs/>
          <w:color w:val="1B3A5C"/>
        </w:rPr>
        <w:t xml:space="preserve">Position Size: </w:t>
      </w:r>
      <w:r>
        <w:rPr>
          <w:color w:val="333333"/>
        </w:rPr>
        <w:t>3–5% (expanded from 3–4%)</w:t>
      </w:r>
    </w:p>
    <w:p w14:paraId="427FF31F" w14:textId="77777777" w:rsidR="00810A26" w:rsidRDefault="00000000">
      <w:pPr>
        <w:spacing w:before="60" w:after="60"/>
      </w:pPr>
      <w:r>
        <w:rPr>
          <w:b/>
          <w:bCs/>
          <w:color w:val="1B3A5C"/>
        </w:rPr>
        <w:t xml:space="preserve">Valuation Gate: </w:t>
      </w:r>
      <w:r>
        <w:rPr>
          <w:color w:val="333333"/>
        </w:rPr>
        <w:t>PASS</w:t>
      </w:r>
    </w:p>
    <w:p w14:paraId="419ECDBE" w14:textId="77777777" w:rsidR="00810A26" w:rsidRDefault="00000000">
      <w:r>
        <w:br w:type="page"/>
      </w:r>
    </w:p>
    <w:p w14:paraId="0447D7EE" w14:textId="77777777" w:rsidR="00810A26" w:rsidRDefault="00000000">
      <w:pPr>
        <w:pStyle w:val="Heading1"/>
      </w:pPr>
      <w:r>
        <w:lastRenderedPageBreak/>
        <w:t>VERIFICATION PASS</w:t>
      </w:r>
    </w:p>
    <w:p w14:paraId="53337A22" w14:textId="77777777" w:rsidR="00810A26" w:rsidRDefault="00810A26">
      <w:pPr>
        <w:pBdr>
          <w:bottom w:val="single" w:sz="6" w:space="1" w:color="2E75B6"/>
        </w:pBdr>
        <w:spacing w:before="200" w:after="200"/>
      </w:pPr>
    </w:p>
    <w:p w14:paraId="78E15EC9" w14:textId="77777777" w:rsidR="00810A26" w:rsidRDefault="00000000">
      <w:pPr>
        <w:spacing w:before="60" w:after="60"/>
      </w:pPr>
      <w:r>
        <w:rPr>
          <w:b/>
          <w:bCs/>
          <w:color w:val="1B3A5C"/>
        </w:rPr>
        <w:t xml:space="preserve">Critical errors: </w:t>
      </w:r>
      <w:r>
        <w:rPr>
          <w:color w:val="333333"/>
        </w:rPr>
        <w:t>0</w:t>
      </w:r>
    </w:p>
    <w:p w14:paraId="78FE4F8F" w14:textId="77777777" w:rsidR="00810A26" w:rsidRDefault="00000000">
      <w:pPr>
        <w:spacing w:before="60" w:after="60"/>
      </w:pPr>
      <w:r>
        <w:rPr>
          <w:b/>
          <w:bCs/>
          <w:color w:val="1B3A5C"/>
        </w:rPr>
        <w:t xml:space="preserve">Confidence: </w:t>
      </w:r>
      <w:r>
        <w:rPr>
          <w:color w:val="333333"/>
        </w:rPr>
        <w:t xml:space="preserve">HIGH — All metrics verified against March 4, </w:t>
      </w:r>
      <w:proofErr w:type="gramStart"/>
      <w:r>
        <w:rPr>
          <w:color w:val="333333"/>
        </w:rPr>
        <w:t>2026</w:t>
      </w:r>
      <w:proofErr w:type="gramEnd"/>
      <w:r>
        <w:rPr>
          <w:color w:val="333333"/>
        </w:rPr>
        <w:t xml:space="preserve"> press release, Motley Fool earnings call transcript, and </w:t>
      </w:r>
      <w:proofErr w:type="spellStart"/>
      <w:r>
        <w:rPr>
          <w:color w:val="333333"/>
        </w:rPr>
        <w:t>StockTitan</w:t>
      </w:r>
      <w:proofErr w:type="spellEnd"/>
      <w:r>
        <w:rPr>
          <w:color w:val="333333"/>
        </w:rPr>
        <w:t xml:space="preserve"> data.</w:t>
      </w:r>
    </w:p>
    <w:p w14:paraId="4F3F1B9B" w14:textId="77777777" w:rsidR="00810A26" w:rsidRDefault="00000000">
      <w:pPr>
        <w:spacing w:before="60" w:after="60"/>
      </w:pPr>
      <w:r>
        <w:rPr>
          <w:color w:val="333333"/>
        </w:rPr>
        <w:t>Verified: Q4 revenue $836.0M, FY2026 revenue $3,195.3M (+16%), subscription $2,684.2M (+17%), Q4 EPS $2.06 (beat $1.92), FY2026 net income $908.9M (+27%), FY2027 guidance $3,585–3,600M / ~$8.85 EPS, top-20 CRM = 10 (expects 14), 125+ Vault CRM live, token-based AI pricing in use, CRM end-of-support Dec 2029, Safety 6th top-20 win, RTSM enterprise standard win.</w:t>
      </w:r>
    </w:p>
    <w:sectPr w:rsidR="00810A2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09820" w14:textId="77777777" w:rsidR="0077305B" w:rsidRDefault="0077305B">
      <w:r>
        <w:separator/>
      </w:r>
    </w:p>
  </w:endnote>
  <w:endnote w:type="continuationSeparator" w:id="0">
    <w:p w14:paraId="188A8A4A" w14:textId="77777777" w:rsidR="0077305B" w:rsidRDefault="00773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C4BA" w14:textId="77777777" w:rsidR="00810A2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14564">
      <w:rPr>
        <w:noProof/>
        <w:color w:val="999999"/>
        <w:sz w:val="16"/>
        <w:szCs w:val="16"/>
      </w:rPr>
      <w:t>1</w:t>
    </w:r>
    <w:r>
      <w:rPr>
        <w:color w:val="999999"/>
        <w:sz w:val="16"/>
        <w:szCs w:val="16"/>
      </w:rPr>
      <w:fldChar w:fldCharType="end"/>
    </w:r>
    <w:r>
      <w:rPr>
        <w:color w:val="999999"/>
        <w:sz w:val="16"/>
        <w:szCs w:val="16"/>
      </w:rPr>
      <w:t xml:space="preserve"> | Stoffel-</w:t>
    </w:r>
    <w:proofErr w:type="spellStart"/>
    <w:r>
      <w:rPr>
        <w:color w:val="999999"/>
        <w:sz w:val="16"/>
        <w:szCs w:val="16"/>
      </w:rPr>
      <w:t>Feroldi</w:t>
    </w:r>
    <w:proofErr w:type="spellEnd"/>
    <w:r>
      <w:rPr>
        <w:color w:val="999999"/>
        <w:sz w:val="16"/>
        <w:szCs w:val="16"/>
      </w:rPr>
      <w:t xml:space="preserve"> × Bustamante v2.0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EB5A" w14:textId="77777777" w:rsidR="0077305B" w:rsidRDefault="0077305B">
      <w:r>
        <w:separator/>
      </w:r>
    </w:p>
  </w:footnote>
  <w:footnote w:type="continuationSeparator" w:id="0">
    <w:p w14:paraId="2BC23D9F" w14:textId="77777777" w:rsidR="0077305B" w:rsidRDefault="00773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BA99" w14:textId="77777777" w:rsidR="00810A26" w:rsidRDefault="00000000">
    <w:pPr>
      <w:jc w:val="right"/>
    </w:pPr>
    <w:r>
      <w:rPr>
        <w:i/>
        <w:iCs/>
        <w:color w:val="999999"/>
        <w:sz w:val="16"/>
        <w:szCs w:val="16"/>
      </w:rPr>
      <w:t>VEEV — SaaS Antifragility Post-Earnings Update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05B57"/>
    <w:multiLevelType w:val="hybridMultilevel"/>
    <w:tmpl w:val="5C689D4C"/>
    <w:lvl w:ilvl="0" w:tplc="03D8E79A">
      <w:start w:val="1"/>
      <w:numFmt w:val="bullet"/>
      <w:lvlText w:val="●"/>
      <w:lvlJc w:val="left"/>
      <w:pPr>
        <w:ind w:left="720" w:hanging="360"/>
      </w:pPr>
    </w:lvl>
    <w:lvl w:ilvl="1" w:tplc="887A54BC">
      <w:start w:val="1"/>
      <w:numFmt w:val="bullet"/>
      <w:lvlText w:val="○"/>
      <w:lvlJc w:val="left"/>
      <w:pPr>
        <w:ind w:left="1440" w:hanging="360"/>
      </w:pPr>
    </w:lvl>
    <w:lvl w:ilvl="2" w:tplc="41E0B146">
      <w:start w:val="1"/>
      <w:numFmt w:val="bullet"/>
      <w:lvlText w:val="■"/>
      <w:lvlJc w:val="left"/>
      <w:pPr>
        <w:ind w:left="2160" w:hanging="360"/>
      </w:pPr>
    </w:lvl>
    <w:lvl w:ilvl="3" w:tplc="66A426D6">
      <w:start w:val="1"/>
      <w:numFmt w:val="bullet"/>
      <w:lvlText w:val="●"/>
      <w:lvlJc w:val="left"/>
      <w:pPr>
        <w:ind w:left="2880" w:hanging="360"/>
      </w:pPr>
    </w:lvl>
    <w:lvl w:ilvl="4" w:tplc="5E987EBE">
      <w:start w:val="1"/>
      <w:numFmt w:val="bullet"/>
      <w:lvlText w:val="○"/>
      <w:lvlJc w:val="left"/>
      <w:pPr>
        <w:ind w:left="3600" w:hanging="360"/>
      </w:pPr>
    </w:lvl>
    <w:lvl w:ilvl="5" w:tplc="ABCEA9BC">
      <w:start w:val="1"/>
      <w:numFmt w:val="bullet"/>
      <w:lvlText w:val="■"/>
      <w:lvlJc w:val="left"/>
      <w:pPr>
        <w:ind w:left="4320" w:hanging="360"/>
      </w:pPr>
    </w:lvl>
    <w:lvl w:ilvl="6" w:tplc="1B88995A">
      <w:start w:val="1"/>
      <w:numFmt w:val="bullet"/>
      <w:lvlText w:val="●"/>
      <w:lvlJc w:val="left"/>
      <w:pPr>
        <w:ind w:left="5040" w:hanging="360"/>
      </w:pPr>
    </w:lvl>
    <w:lvl w:ilvl="7" w:tplc="AF664C0E">
      <w:start w:val="1"/>
      <w:numFmt w:val="bullet"/>
      <w:lvlText w:val="●"/>
      <w:lvlJc w:val="left"/>
      <w:pPr>
        <w:ind w:left="5760" w:hanging="360"/>
      </w:pPr>
    </w:lvl>
    <w:lvl w:ilvl="8" w:tplc="259A03BC">
      <w:start w:val="1"/>
      <w:numFmt w:val="bullet"/>
      <w:lvlText w:val="●"/>
      <w:lvlJc w:val="left"/>
      <w:pPr>
        <w:ind w:left="6480" w:hanging="360"/>
      </w:pPr>
    </w:lvl>
  </w:abstractNum>
  <w:num w:numId="1" w16cid:durableId="1934429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A26"/>
    <w:rsid w:val="00277853"/>
    <w:rsid w:val="0058373E"/>
    <w:rsid w:val="0077305B"/>
    <w:rsid w:val="00810A26"/>
    <w:rsid w:val="00AC4C8E"/>
    <w:rsid w:val="00B1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31AC"/>
  <w15:docId w15:val="{827AA963-2BB8-4D7D-82A2-83375980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846</TotalTime>
  <Pages>8</Pages>
  <Words>1227</Words>
  <Characters>7116</Characters>
  <Application>Microsoft Office Word</Application>
  <DocSecurity>0</DocSecurity>
  <Lines>192</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2026-03-05T19:06:00Z</dcterms:created>
  <dcterms:modified xsi:type="dcterms:W3CDTF">2026-03-06T09:24:00Z</dcterms:modified>
</cp:coreProperties>
</file>