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5437C" w14:textId="77777777" w:rsidR="00C85C20" w:rsidRDefault="00000000">
      <w:pPr>
        <w:spacing w:after="60"/>
        <w:jc w:val="center"/>
      </w:pPr>
      <w:r>
        <w:rPr>
          <w:b/>
          <w:bCs/>
          <w:color w:val="1F3864"/>
          <w:sz w:val="44"/>
          <w:szCs w:val="44"/>
        </w:rPr>
        <w:t>THE 3+1 FILTER™</w:t>
      </w:r>
    </w:p>
    <w:p w14:paraId="77FAB7DF" w14:textId="77777777" w:rsidR="00C85C20" w:rsidRDefault="00000000">
      <w:pPr>
        <w:spacing w:after="60"/>
        <w:jc w:val="center"/>
      </w:pPr>
      <w:r>
        <w:rPr>
          <w:color w:val="2E75B6"/>
          <w:sz w:val="28"/>
          <w:szCs w:val="28"/>
        </w:rPr>
        <w:t>Pre-Revenue Biotech Investment Analysis</w:t>
      </w:r>
    </w:p>
    <w:p w14:paraId="686CDF52" w14:textId="77777777" w:rsidR="00C85C20" w:rsidRDefault="00000000">
      <w:pPr>
        <w:spacing w:after="200"/>
        <w:jc w:val="center"/>
      </w:pPr>
      <w:proofErr w:type="spellStart"/>
      <w:r>
        <w:rPr>
          <w:color w:val="555555"/>
          <w:sz w:val="22"/>
          <w:szCs w:val="22"/>
        </w:rPr>
        <w:t>Definium</w:t>
      </w:r>
      <w:proofErr w:type="spellEnd"/>
      <w:r>
        <w:rPr>
          <w:color w:val="555555"/>
          <w:sz w:val="22"/>
          <w:szCs w:val="22"/>
        </w:rPr>
        <w:t xml:space="preserve"> Therapeutics (NASDAQ: </w:t>
      </w:r>
      <w:proofErr w:type="gramStart"/>
      <w:r>
        <w:rPr>
          <w:color w:val="555555"/>
          <w:sz w:val="22"/>
          <w:szCs w:val="22"/>
        </w:rPr>
        <w:t>DFTX)  |</w:t>
      </w:r>
      <w:proofErr w:type="gramEnd"/>
      <w:r>
        <w:rPr>
          <w:color w:val="555555"/>
          <w:sz w:val="22"/>
          <w:szCs w:val="22"/>
        </w:rPr>
        <w:t xml:space="preserve">  </w:t>
      </w:r>
      <w:proofErr w:type="spellStart"/>
      <w:r>
        <w:rPr>
          <w:color w:val="555555"/>
          <w:sz w:val="22"/>
          <w:szCs w:val="22"/>
        </w:rPr>
        <w:t>fka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MindMed</w:t>
      </w:r>
      <w:proofErr w:type="spellEnd"/>
      <w:r>
        <w:rPr>
          <w:color w:val="555555"/>
          <w:sz w:val="22"/>
          <w:szCs w:val="22"/>
        </w:rPr>
        <w:t xml:space="preserve"> / </w:t>
      </w:r>
      <w:proofErr w:type="gramStart"/>
      <w:r>
        <w:rPr>
          <w:color w:val="555555"/>
          <w:sz w:val="22"/>
          <w:szCs w:val="22"/>
        </w:rPr>
        <w:t>MNMD  |</w:t>
      </w:r>
      <w:proofErr w:type="gramEnd"/>
      <w:r>
        <w:rPr>
          <w:color w:val="555555"/>
          <w:sz w:val="22"/>
          <w:szCs w:val="22"/>
        </w:rPr>
        <w:t xml:space="preserve">  March 21,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85C20" w14:paraId="2ACE6B9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C029A0" w14:textId="77777777" w:rsidR="00C85C20" w:rsidRDefault="00000000">
            <w:r>
              <w:rPr>
                <w:b/>
                <w:bCs/>
                <w:color w:val="AAAAAA"/>
                <w:sz w:val="18"/>
                <w:szCs w:val="18"/>
              </w:rPr>
              <w:t>COMPANY SNAPSHOT</w:t>
            </w:r>
          </w:p>
          <w:p w14:paraId="6E09BAFC" w14:textId="77777777" w:rsidR="00C85C20" w:rsidRDefault="00000000">
            <w:pPr>
              <w:spacing w:before="60" w:after="30"/>
            </w:pPr>
            <w:r>
              <w:rPr>
                <w:color w:val="FFFFFF"/>
                <w:sz w:val="18"/>
                <w:szCs w:val="18"/>
              </w:rPr>
              <w:t xml:space="preserve">Ticker: </w:t>
            </w:r>
            <w:proofErr w:type="gramStart"/>
            <w:r>
              <w:rPr>
                <w:color w:val="FFFFFF"/>
                <w:sz w:val="18"/>
                <w:szCs w:val="18"/>
              </w:rPr>
              <w:t>DFTX  (</w:t>
            </w:r>
            <w:proofErr w:type="spellStart"/>
            <w:proofErr w:type="gramEnd"/>
            <w:r>
              <w:rPr>
                <w:color w:val="FFFFFF"/>
                <w:sz w:val="18"/>
                <w:szCs w:val="18"/>
              </w:rPr>
              <w:t>fka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FFFFFF"/>
                <w:sz w:val="18"/>
                <w:szCs w:val="18"/>
              </w:rPr>
              <w:t>MNMD)  |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 Exchange: NASDAQ</w:t>
            </w:r>
          </w:p>
          <w:p w14:paraId="065749EA" w14:textId="77777777" w:rsidR="00C85C20" w:rsidRDefault="00000000">
            <w:pPr>
              <w:spacing w:before="10" w:after="10"/>
            </w:pPr>
            <w:r>
              <w:rPr>
                <w:color w:val="FFDD88"/>
                <w:sz w:val="18"/>
                <w:szCs w:val="18"/>
              </w:rPr>
              <w:t>Rebrand date: January 15, 2026</w:t>
            </w:r>
          </w:p>
          <w:p w14:paraId="5DBB4CEE" w14:textId="77777777" w:rsidR="00C85C20" w:rsidRDefault="00000000">
            <w:pPr>
              <w:spacing w:before="30" w:after="30"/>
            </w:pPr>
            <w:r>
              <w:rPr>
                <w:color w:val="FFFFFF"/>
                <w:sz w:val="18"/>
                <w:szCs w:val="18"/>
              </w:rPr>
              <w:t xml:space="preserve">Lead asset: DT120 (formerly MM120; </w:t>
            </w:r>
            <w:proofErr w:type="spellStart"/>
            <w:r>
              <w:rPr>
                <w:color w:val="FFFFFF"/>
                <w:sz w:val="18"/>
                <w:szCs w:val="18"/>
              </w:rPr>
              <w:t>lysergide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d-tartrate ODT)</w:t>
            </w:r>
          </w:p>
          <w:p w14:paraId="758325C4" w14:textId="77777777" w:rsidR="00C85C20" w:rsidRDefault="00000000">
            <w:pPr>
              <w:spacing w:before="10" w:after="10"/>
            </w:pPr>
            <w:r>
              <w:rPr>
                <w:color w:val="FFFFFF"/>
                <w:sz w:val="18"/>
                <w:szCs w:val="18"/>
              </w:rPr>
              <w:t>Indication: GAD &amp; MDD (LSD-derived psychiatry)</w:t>
            </w:r>
          </w:p>
          <w:p w14:paraId="434CD234" w14:textId="77777777" w:rsidR="00C85C20" w:rsidRDefault="00000000">
            <w:pPr>
              <w:spacing w:before="10" w:after="10"/>
            </w:pPr>
            <w:r>
              <w:rPr>
                <w:color w:val="FFFFFF"/>
                <w:sz w:val="18"/>
                <w:szCs w:val="18"/>
              </w:rPr>
              <w:t>Stage: Phase 3 — three readouts expected in 2026</w:t>
            </w:r>
          </w:p>
          <w:p w14:paraId="7528F46C" w14:textId="77777777" w:rsidR="00C85C20" w:rsidRDefault="00000000">
            <w:pPr>
              <w:spacing w:before="10" w:after="10"/>
            </w:pPr>
            <w:r>
              <w:rPr>
                <w:color w:val="FFFFFF"/>
                <w:sz w:val="18"/>
                <w:szCs w:val="18"/>
              </w:rPr>
              <w:t>Cash: ~$452M (post Oct 2025 offering); runway to 2027+</w:t>
            </w:r>
          </w:p>
          <w:p w14:paraId="3F35C3C7" w14:textId="77777777" w:rsidR="00C85C20" w:rsidRDefault="00000000">
            <w:pPr>
              <w:spacing w:before="10"/>
            </w:pPr>
            <w:r>
              <w:rPr>
                <w:color w:val="AAFFAA"/>
                <w:sz w:val="18"/>
                <w:szCs w:val="18"/>
              </w:rPr>
              <w:t>FDA Breakthrough Therapy Designation: GRANTED (Mar 2024)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A47C8B" w14:textId="77777777" w:rsidR="00C85C20" w:rsidRDefault="00000000">
            <w:r>
              <w:rPr>
                <w:b/>
                <w:bCs/>
                <w:color w:val="888888"/>
                <w:sz w:val="18"/>
                <w:szCs w:val="18"/>
              </w:rPr>
              <w:t>VERDICT</w:t>
            </w:r>
          </w:p>
          <w:p w14:paraId="1D4A8C68" w14:textId="77777777" w:rsidR="00C85C20" w:rsidRDefault="00000000">
            <w:pPr>
              <w:spacing w:before="60" w:after="30"/>
            </w:pPr>
            <w:r>
              <w:rPr>
                <w:b/>
                <w:bCs/>
                <w:color w:val="1F3864"/>
                <w:sz w:val="24"/>
                <w:szCs w:val="24"/>
              </w:rPr>
              <w:t>Composite Score</w:t>
            </w:r>
            <w:proofErr w:type="gramStart"/>
            <w:r>
              <w:rPr>
                <w:b/>
                <w:bCs/>
                <w:color w:val="1F3864"/>
                <w:sz w:val="24"/>
                <w:szCs w:val="24"/>
              </w:rPr>
              <w:t>:  3.8</w:t>
            </w:r>
            <w:proofErr w:type="gramEnd"/>
            <w:r>
              <w:rPr>
                <w:b/>
                <w:bCs/>
                <w:color w:val="1F3864"/>
                <w:sz w:val="24"/>
                <w:szCs w:val="24"/>
              </w:rPr>
              <w:t xml:space="preserve"> / 5.0</w:t>
            </w:r>
          </w:p>
          <w:p w14:paraId="4FF93631" w14:textId="77777777" w:rsidR="00C85C20" w:rsidRDefault="00000000">
            <w:pPr>
              <w:spacing w:before="30" w:after="30"/>
            </w:pPr>
            <w:r>
              <w:rPr>
                <w:b/>
                <w:bCs/>
                <w:color w:val="BF8F00"/>
              </w:rPr>
              <w:t>Enablers Gate:  ⚠ CONDITIONAL PASS</w:t>
            </w:r>
          </w:p>
          <w:p w14:paraId="26A0C96C" w14:textId="77777777" w:rsidR="00C85C20" w:rsidRDefault="00000000">
            <w:pPr>
              <w:spacing w:before="40" w:after="40"/>
            </w:pPr>
            <w:r>
              <w:rPr>
                <w:b/>
                <w:bCs/>
                <w:color w:val="375623"/>
                <w:sz w:val="26"/>
                <w:szCs w:val="26"/>
              </w:rPr>
              <w:t>Decision</w:t>
            </w:r>
            <w:proofErr w:type="gramStart"/>
            <w:r>
              <w:rPr>
                <w:b/>
                <w:bCs/>
                <w:color w:val="375623"/>
                <w:sz w:val="26"/>
                <w:szCs w:val="26"/>
              </w:rPr>
              <w:t>:  GO</w:t>
            </w:r>
            <w:proofErr w:type="gramEnd"/>
            <w:r>
              <w:rPr>
                <w:b/>
                <w:bCs/>
                <w:color w:val="375623"/>
                <w:sz w:val="26"/>
                <w:szCs w:val="26"/>
              </w:rPr>
              <w:t xml:space="preserve"> (STARTER)</w:t>
            </w:r>
          </w:p>
          <w:p w14:paraId="015C02FD" w14:textId="77777777" w:rsidR="00C85C20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Suggested sizing:  0.5–1.5% of portfolio</w:t>
            </w:r>
          </w:p>
          <w:p w14:paraId="41EB53B7" w14:textId="77777777" w:rsidR="00C85C20" w:rsidRDefault="00000000">
            <w:pPr>
              <w:spacing w:before="30" w:after="10"/>
            </w:pPr>
            <w:r>
              <w:rPr>
                <w:b/>
                <w:bCs/>
                <w:color w:val="555555"/>
                <w:sz w:val="18"/>
                <w:szCs w:val="18"/>
              </w:rPr>
              <w:t>Upgrade to Core (2–4%) if:</w:t>
            </w:r>
          </w:p>
          <w:p w14:paraId="7BF768F9" w14:textId="77777777" w:rsidR="00C85C20" w:rsidRDefault="00000000">
            <w:pPr>
              <w:spacing w:before="8" w:after="8"/>
            </w:pPr>
            <w:r>
              <w:rPr>
                <w:color w:val="555555"/>
                <w:sz w:val="18"/>
                <w:szCs w:val="18"/>
              </w:rPr>
              <w:t xml:space="preserve">  • Voyage meets primary endpoint</w:t>
            </w:r>
          </w:p>
          <w:p w14:paraId="5D83076D" w14:textId="77777777" w:rsidR="00C85C20" w:rsidRDefault="00000000">
            <w:pPr>
              <w:spacing w:before="8" w:after="30"/>
            </w:pPr>
            <w:r>
              <w:rPr>
                <w:color w:val="555555"/>
                <w:sz w:val="18"/>
                <w:szCs w:val="18"/>
              </w:rPr>
              <w:t xml:space="preserve">  • No major FDA blinding/design objection</w:t>
            </w:r>
          </w:p>
          <w:p w14:paraId="06C0BAE4" w14:textId="77777777" w:rsidR="00C85C20" w:rsidRDefault="00000000">
            <w:pPr>
              <w:spacing w:before="10"/>
            </w:pPr>
            <w:r>
              <w:rPr>
                <w:b/>
                <w:bCs/>
                <w:color w:val="BF8F00"/>
                <w:sz w:val="18"/>
                <w:szCs w:val="18"/>
              </w:rPr>
              <w:t>Voyage readout</w:t>
            </w:r>
            <w:proofErr w:type="gramStart"/>
            <w:r>
              <w:rPr>
                <w:b/>
                <w:bCs/>
                <w:color w:val="BF8F00"/>
                <w:sz w:val="18"/>
                <w:szCs w:val="18"/>
              </w:rPr>
              <w:t>:  H1</w:t>
            </w:r>
            <w:proofErr w:type="gramEnd"/>
            <w:r>
              <w:rPr>
                <w:b/>
                <w:bCs/>
                <w:color w:val="BF8F00"/>
                <w:sz w:val="18"/>
                <w:szCs w:val="18"/>
              </w:rPr>
              <w:t xml:space="preserve"> 2026 (weeks to ~3 months)</w:t>
            </w:r>
          </w:p>
        </w:tc>
      </w:tr>
    </w:tbl>
    <w:p w14:paraId="4C021A28" w14:textId="77777777" w:rsidR="00C85C20" w:rsidRDefault="00000000">
      <w:pPr>
        <w:shd w:val="clear" w:color="auto" w:fill="EAE0F0"/>
        <w:spacing w:before="200" w:after="60"/>
      </w:pPr>
      <w:r>
        <w:rPr>
          <w:b/>
          <w:bCs/>
          <w:color w:val="5B2D8E"/>
        </w:rPr>
        <w:t xml:space="preserve">FRAMEWORK FIT </w:t>
      </w:r>
      <w:proofErr w:type="gramStart"/>
      <w:r>
        <w:rPr>
          <w:b/>
          <w:bCs/>
          <w:color w:val="5B2D8E"/>
        </w:rPr>
        <w:t xml:space="preserve">ASSESSMENT  </w:t>
      </w:r>
      <w:r>
        <w:t>The</w:t>
      </w:r>
      <w:proofErr w:type="gramEnd"/>
      <w:r>
        <w:t xml:space="preserve"> 3+1 Filter™ is appropriate for DFTX — it is a pre-revenue biotech with a near-term binary catalyst. However, psychedelic medicine requires three modifications to the standard gates: (1) the Regulatory gate must explicitly address </w:t>
      </w:r>
      <w:r>
        <w:rPr>
          <w:b/>
          <w:bCs/>
        </w:rPr>
        <w:t>DEA Schedule I rescheduling</w:t>
      </w:r>
      <w:r>
        <w:t xml:space="preserve"> as a post-approval commercial risk; (2) the Commercial layer must account for a mandatory </w:t>
      </w:r>
      <w:r>
        <w:rPr>
          <w:b/>
          <w:bCs/>
        </w:rPr>
        <w:t xml:space="preserve">REMS </w:t>
      </w:r>
      <w:proofErr w:type="spellStart"/>
      <w:r>
        <w:rPr>
          <w:b/>
          <w:bCs/>
        </w:rPr>
        <w:t>programme</w:t>
      </w:r>
      <w:proofErr w:type="spellEnd"/>
      <w:r>
        <w:t xml:space="preserve"> (restricted prescribing, certified treatment </w:t>
      </w:r>
      <w:proofErr w:type="spellStart"/>
      <w:r>
        <w:t>centres</w:t>
      </w:r>
      <w:proofErr w:type="spellEnd"/>
      <w:r>
        <w:t xml:space="preserve">) that does not affect approval probability but materially constrains launch ramp; and (3) the Science layer must </w:t>
      </w:r>
      <w:proofErr w:type="spellStart"/>
      <w:r>
        <w:t>weight</w:t>
      </w:r>
      <w:proofErr w:type="spellEnd"/>
      <w:r>
        <w:t xml:space="preserve"> the </w:t>
      </w:r>
      <w:r>
        <w:rPr>
          <w:b/>
          <w:bCs/>
        </w:rPr>
        <w:t>functional unblinding / active-placebo problem</w:t>
      </w:r>
      <w:r>
        <w:t xml:space="preserve"> unique to psychedelic trials. These adaptations are incorporated into the scoring below.</w:t>
      </w:r>
    </w:p>
    <w:p w14:paraId="07B24102" w14:textId="77777777" w:rsidR="00C85C20" w:rsidRDefault="00C85C20">
      <w:pPr>
        <w:spacing w:before="180" w:after="60"/>
      </w:pPr>
    </w:p>
    <w:p w14:paraId="5C74A059" w14:textId="77777777" w:rsidR="00C85C20" w:rsidRDefault="00000000">
      <w:pPr>
        <w:spacing w:before="280" w:after="100"/>
      </w:pPr>
      <w:r>
        <w:rPr>
          <w:b/>
          <w:bCs/>
          <w:color w:val="1F3864"/>
          <w:sz w:val="28"/>
          <w:szCs w:val="28"/>
        </w:rPr>
        <w:t>SCORECARD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200"/>
        <w:gridCol w:w="2000"/>
        <w:gridCol w:w="2960"/>
      </w:tblGrid>
      <w:tr w:rsidR="00C85C20" w14:paraId="089D54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386023" w14:textId="77777777" w:rsidR="00C85C2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CCBE1C" w14:textId="77777777" w:rsidR="00C85C2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Score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A61622" w14:textId="77777777" w:rsidR="00C85C2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Rating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ABF330" w14:textId="77777777" w:rsidR="00C85C2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Key Finding</w:t>
            </w:r>
          </w:p>
        </w:tc>
      </w:tr>
      <w:tr w:rsidR="00C85C20" w14:paraId="7578533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7DBFA" w14:textId="77777777" w:rsidR="00C85C20" w:rsidRDefault="00000000">
            <w:r>
              <w:rPr>
                <w:b/>
                <w:bCs/>
                <w:color w:val="1F3864"/>
                <w:sz w:val="18"/>
                <w:szCs w:val="18"/>
              </w:rPr>
              <w:t>Layer 1 — Science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EBCAB" w14:textId="77777777" w:rsidR="00C85C20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4.0 / 5.0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8C476" w14:textId="77777777" w:rsidR="00C85C20" w:rsidRDefault="00000000">
            <w:pPr>
              <w:jc w:val="center"/>
            </w:pPr>
            <w:r>
              <w:rPr>
                <w:color w:val="375623"/>
                <w:sz w:val="18"/>
                <w:szCs w:val="18"/>
              </w:rPr>
              <w:t>●●●●○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5C2A0" w14:textId="77777777" w:rsidR="00C85C20" w:rsidRDefault="00000000">
            <w:r>
              <w:rPr>
                <w:color w:val="000000"/>
                <w:sz w:val="18"/>
                <w:szCs w:val="18"/>
              </w:rPr>
              <w:t>JAMA Ph2b: 65% response / 48% remission from single dose; FDA BTD granted; blinding risk is primary caveat</w:t>
            </w:r>
          </w:p>
        </w:tc>
      </w:tr>
      <w:tr w:rsidR="00C85C20" w14:paraId="77D5D2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D055A" w14:textId="77777777" w:rsidR="00C85C20" w:rsidRDefault="00000000">
            <w:r>
              <w:rPr>
                <w:b/>
                <w:bCs/>
                <w:color w:val="1F3864"/>
                <w:sz w:val="18"/>
                <w:szCs w:val="18"/>
              </w:rPr>
              <w:t>Layer 2 — Commercial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31328" w14:textId="77777777" w:rsidR="00C85C20" w:rsidRDefault="00000000">
            <w:pPr>
              <w:jc w:val="center"/>
            </w:pPr>
            <w:r>
              <w:rPr>
                <w:b/>
                <w:bCs/>
                <w:color w:val="BF8F00"/>
                <w:sz w:val="18"/>
                <w:szCs w:val="18"/>
              </w:rPr>
              <w:t>3.5 / 5.0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2A79E" w14:textId="77777777" w:rsidR="00C85C20" w:rsidRDefault="00000000">
            <w:pPr>
              <w:jc w:val="center"/>
            </w:pPr>
            <w:r>
              <w:rPr>
                <w:color w:val="BF8F00"/>
                <w:sz w:val="18"/>
                <w:szCs w:val="18"/>
              </w:rPr>
              <w:t>●●●●○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53A2F" w14:textId="77777777" w:rsidR="00C85C20" w:rsidRDefault="00000000">
            <w:proofErr w:type="gramStart"/>
            <w:r>
              <w:rPr>
                <w:color w:val="000000"/>
                <w:sz w:val="18"/>
                <w:szCs w:val="18"/>
              </w:rPr>
              <w:t>Large validated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GAD market ($2.5B+); strong unmet need; REMS &amp; care-pathway friction are material offsets</w:t>
            </w:r>
          </w:p>
        </w:tc>
      </w:tr>
      <w:tr w:rsidR="00C85C20" w14:paraId="53FB60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AE02D" w14:textId="77777777" w:rsidR="00C85C20" w:rsidRDefault="00000000">
            <w:r>
              <w:rPr>
                <w:b/>
                <w:bCs/>
                <w:color w:val="1F3864"/>
                <w:sz w:val="18"/>
                <w:szCs w:val="18"/>
              </w:rPr>
              <w:t>Layer 3 — Competitive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7145C" w14:textId="77777777" w:rsidR="00C85C20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4.0 / 5.0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4EA7B" w14:textId="77777777" w:rsidR="00C85C20" w:rsidRDefault="00000000">
            <w:pPr>
              <w:jc w:val="center"/>
            </w:pPr>
            <w:r>
              <w:rPr>
                <w:color w:val="375623"/>
                <w:sz w:val="18"/>
                <w:szCs w:val="18"/>
              </w:rPr>
              <w:t>●●●●○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46174" w14:textId="77777777" w:rsidR="00C85C20" w:rsidRDefault="00000000">
            <w:r>
              <w:rPr>
                <w:color w:val="000000"/>
                <w:sz w:val="18"/>
                <w:szCs w:val="18"/>
              </w:rPr>
              <w:t>Only Phase 3 psychedelic in GAD; 2-3 yr lead; BTD as FDA moat; off-patent compound limits IP depth</w:t>
            </w:r>
          </w:p>
        </w:tc>
      </w:tr>
      <w:tr w:rsidR="00C85C20" w14:paraId="1D438B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F707F" w14:textId="77777777" w:rsidR="00C85C20" w:rsidRDefault="00000000">
            <w:r>
              <w:rPr>
                <w:b/>
                <w:bCs/>
                <w:color w:val="1F3864"/>
                <w:sz w:val="18"/>
                <w:szCs w:val="18"/>
              </w:rPr>
              <w:t>+1 Gate — Enablers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BA827" w14:textId="77777777" w:rsidR="00C85C20" w:rsidRDefault="00000000">
            <w:pPr>
              <w:jc w:val="center"/>
            </w:pPr>
            <w:r>
              <w:rPr>
                <w:b/>
                <w:bCs/>
                <w:color w:val="BF8F00"/>
                <w:sz w:val="18"/>
                <w:szCs w:val="18"/>
              </w:rPr>
              <w:t>⚠ COND. PASS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ECF49" w14:textId="77777777" w:rsidR="00C85C20" w:rsidRDefault="00000000">
            <w:pPr>
              <w:jc w:val="center"/>
            </w:pPr>
            <w:r>
              <w:rPr>
                <w:color w:val="BF8F00"/>
                <w:sz w:val="18"/>
                <w:szCs w:val="18"/>
              </w:rPr>
              <w:t xml:space="preserve">CMC </w:t>
            </w:r>
            <w:proofErr w:type="gramStart"/>
            <w:r>
              <w:rPr>
                <w:color w:val="BF8F00"/>
                <w:sz w:val="18"/>
                <w:szCs w:val="18"/>
              </w:rPr>
              <w:t>✓  Reg</w:t>
            </w:r>
            <w:proofErr w:type="gramEnd"/>
            <w:r>
              <w:rPr>
                <w:color w:val="BF8F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BF8F00"/>
                <w:sz w:val="18"/>
                <w:szCs w:val="18"/>
              </w:rPr>
              <w:t>⚠  IP</w:t>
            </w:r>
            <w:proofErr w:type="gramEnd"/>
            <w:r>
              <w:rPr>
                <w:color w:val="BF8F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BF8F00"/>
                <w:sz w:val="18"/>
                <w:szCs w:val="18"/>
              </w:rPr>
              <w:t>⚠  Cash</w:t>
            </w:r>
            <w:proofErr w:type="gramEnd"/>
            <w:r>
              <w:rPr>
                <w:color w:val="BF8F00"/>
                <w:sz w:val="18"/>
                <w:szCs w:val="18"/>
              </w:rPr>
              <w:t xml:space="preserve"> ✓✓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30BAC" w14:textId="77777777" w:rsidR="00C85C20" w:rsidRDefault="00000000">
            <w:r>
              <w:rPr>
                <w:color w:val="000000"/>
                <w:sz w:val="18"/>
                <w:szCs w:val="18"/>
              </w:rPr>
              <w:t>Blinding methodology &amp; DEA scheduling are the two live regulatory risks; cash is strongest gate item ($452M)</w:t>
            </w:r>
          </w:p>
        </w:tc>
      </w:tr>
      <w:tr w:rsidR="00C85C20" w14:paraId="411FE3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7673A" w14:textId="77777777" w:rsidR="00C85C20" w:rsidRDefault="00000000">
            <w:r>
              <w:rPr>
                <w:b/>
                <w:bCs/>
                <w:color w:val="FFFFFF"/>
                <w:sz w:val="18"/>
                <w:szCs w:val="18"/>
              </w:rPr>
              <w:t>COMPOSITE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normalised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0–5)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FE521" w14:textId="77777777" w:rsidR="00C85C20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3.8 / 5.0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5DA4A" w14:textId="77777777" w:rsidR="00C85C20" w:rsidRDefault="00000000">
            <w:pPr>
              <w:jc w:val="center"/>
            </w:pPr>
            <w:r>
              <w:rPr>
                <w:color w:val="375623"/>
                <w:sz w:val="18"/>
                <w:szCs w:val="18"/>
              </w:rPr>
              <w:t>●●●●○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3FE4F" w14:textId="77777777" w:rsidR="00C85C20" w:rsidRDefault="00000000">
            <w:r>
              <w:rPr>
                <w:b/>
                <w:bCs/>
                <w:color w:val="375623"/>
                <w:sz w:val="18"/>
                <w:szCs w:val="18"/>
              </w:rPr>
              <w:t>Go (Starter) — 0.5–1.5%; upgrade on positive Voyage readout (H1 2026)</w:t>
            </w:r>
          </w:p>
        </w:tc>
      </w:tr>
    </w:tbl>
    <w:p w14:paraId="7F705E43" w14:textId="77777777" w:rsidR="00C85C20" w:rsidRDefault="00000000">
      <w:pPr>
        <w:spacing w:before="160" w:after="60"/>
      </w:pPr>
      <w:r>
        <w:rPr>
          <w:b/>
          <w:bCs/>
          <w:color w:val="555555"/>
          <w:sz w:val="18"/>
          <w:szCs w:val="18"/>
        </w:rPr>
        <w:t xml:space="preserve">Score Math Note: </w:t>
      </w:r>
      <w:r>
        <w:rPr>
          <w:color w:val="666666"/>
          <w:sz w:val="18"/>
          <w:szCs w:val="18"/>
        </w:rPr>
        <w:t xml:space="preserve">Weights total 75%. Raw composite (2.875) is </w:t>
      </w:r>
      <w:proofErr w:type="spellStart"/>
      <w:r>
        <w:rPr>
          <w:color w:val="666666"/>
          <w:sz w:val="18"/>
          <w:szCs w:val="18"/>
        </w:rPr>
        <w:t>normalised</w:t>
      </w:r>
      <w:proofErr w:type="spellEnd"/>
      <w:r>
        <w:rPr>
          <w:color w:val="666666"/>
          <w:sz w:val="18"/>
          <w:szCs w:val="18"/>
        </w:rPr>
        <w:t xml:space="preserve"> to 0–5 scale by dividing by 0.75. See calculation table below.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200"/>
        <w:gridCol w:w="1500"/>
        <w:gridCol w:w="1500"/>
        <w:gridCol w:w="2360"/>
      </w:tblGrid>
      <w:tr w:rsidR="00C85C20" w14:paraId="62871F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DD2EAC" w14:textId="77777777" w:rsidR="00C85C2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Layer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54398E" w14:textId="77777777" w:rsidR="00C85C2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Raw Score (0–5)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30B17D" w14:textId="77777777" w:rsidR="00C85C2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Weight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15C508" w14:textId="77777777" w:rsidR="00C85C2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Contribution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34755B" w14:textId="77777777" w:rsidR="00C85C2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Normalised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Score (÷0.75×5)</w:t>
            </w:r>
          </w:p>
        </w:tc>
      </w:tr>
      <w:tr w:rsidR="00C85C20" w14:paraId="6C00B3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A77C5" w14:textId="77777777" w:rsidR="00C85C20" w:rsidRDefault="00000000">
            <w:r>
              <w:rPr>
                <w:color w:val="000000"/>
                <w:sz w:val="18"/>
                <w:szCs w:val="18"/>
              </w:rPr>
              <w:t>Science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1AB09" w14:textId="77777777" w:rsidR="00C85C20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4.0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B7CD2" w14:textId="77777777" w:rsidR="00C85C20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30%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04434" w14:textId="77777777" w:rsidR="00C85C20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1.20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55667" w14:textId="77777777" w:rsidR="00C85C20" w:rsidRDefault="00C85C20"/>
        </w:tc>
      </w:tr>
      <w:tr w:rsidR="00C85C20" w14:paraId="756563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77429" w14:textId="77777777" w:rsidR="00C85C20" w:rsidRDefault="00000000">
            <w:r>
              <w:rPr>
                <w:color w:val="000000"/>
                <w:sz w:val="18"/>
                <w:szCs w:val="18"/>
              </w:rPr>
              <w:t>Commercial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038EA" w14:textId="77777777" w:rsidR="00C85C20" w:rsidRDefault="00000000">
            <w:pPr>
              <w:jc w:val="center"/>
            </w:pPr>
            <w:r>
              <w:rPr>
                <w:b/>
                <w:bCs/>
                <w:color w:val="BF8F00"/>
                <w:sz w:val="18"/>
                <w:szCs w:val="18"/>
              </w:rPr>
              <w:t>3.5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431C2" w14:textId="77777777" w:rsidR="00C85C20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25%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5EDFF" w14:textId="77777777" w:rsidR="00C85C20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0.875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7EF55" w14:textId="77777777" w:rsidR="00C85C20" w:rsidRDefault="00C85C20"/>
        </w:tc>
      </w:tr>
      <w:tr w:rsidR="00C85C20" w14:paraId="09F64A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14B83" w14:textId="77777777" w:rsidR="00C85C20" w:rsidRDefault="00000000">
            <w:r>
              <w:rPr>
                <w:color w:val="000000"/>
                <w:sz w:val="18"/>
                <w:szCs w:val="18"/>
              </w:rPr>
              <w:t>Competitive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AB5EF" w14:textId="77777777" w:rsidR="00C85C20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4.0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26764" w14:textId="77777777" w:rsidR="00C85C20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20%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551CD" w14:textId="77777777" w:rsidR="00C85C20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0.80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00396" w14:textId="77777777" w:rsidR="00C85C20" w:rsidRDefault="00C85C20"/>
        </w:tc>
      </w:tr>
      <w:tr w:rsidR="00C85C20" w14:paraId="7068DC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FA675" w14:textId="77777777" w:rsidR="00C85C20" w:rsidRDefault="00000000">
            <w:r>
              <w:rPr>
                <w:b/>
                <w:bCs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1AAB7" w14:textId="77777777" w:rsidR="00C85C20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EFF54" w14:textId="77777777" w:rsidR="00C85C2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75%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612FB" w14:textId="77777777" w:rsidR="00C85C2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2.875 / 3.75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2FC61" w14:textId="77777777" w:rsidR="00C85C20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3.83 / </w:t>
            </w:r>
            <w:proofErr w:type="gramStart"/>
            <w:r>
              <w:rPr>
                <w:b/>
                <w:bCs/>
                <w:color w:val="375623"/>
                <w:sz w:val="18"/>
                <w:szCs w:val="18"/>
              </w:rPr>
              <w:t>5.0  →</w:t>
            </w:r>
            <w:proofErr w:type="gramEnd"/>
            <w:r>
              <w:rPr>
                <w:b/>
                <w:bCs/>
                <w:color w:val="375623"/>
                <w:sz w:val="18"/>
                <w:szCs w:val="18"/>
              </w:rPr>
              <w:t xml:space="preserve">  Go (Starter)</w:t>
            </w:r>
          </w:p>
        </w:tc>
      </w:tr>
    </w:tbl>
    <w:p w14:paraId="01EE235E" w14:textId="77777777" w:rsidR="00C85C20" w:rsidRDefault="00000000">
      <w:pPr>
        <w:spacing w:before="200" w:after="60"/>
      </w:pPr>
      <w:r>
        <w:rPr>
          <w:b/>
          <w:bCs/>
          <w:color w:val="1F3864"/>
          <w:sz w:val="22"/>
          <w:szCs w:val="22"/>
        </w:rPr>
        <w:t>THE PLAIN-ENGLISH TEST</w:t>
      </w:r>
    </w:p>
    <w:p w14:paraId="27CF8439" w14:textId="77777777" w:rsidR="00C85C20" w:rsidRDefault="00000000">
      <w:pPr>
        <w:shd w:val="clear" w:color="auto" w:fill="D5E8F0"/>
        <w:spacing w:before="60" w:after="40"/>
      </w:pPr>
      <w:r>
        <w:rPr>
          <w:b/>
          <w:bCs/>
        </w:rPr>
        <w:t>Why it works in the body</w:t>
      </w:r>
      <w:proofErr w:type="gramStart"/>
      <w:r>
        <w:rPr>
          <w:b/>
          <w:bCs/>
        </w:rPr>
        <w:t xml:space="preserve">:  </w:t>
      </w:r>
      <w:r>
        <w:t>A</w:t>
      </w:r>
      <w:proofErr w:type="gramEnd"/>
      <w:r>
        <w:t xml:space="preserve"> single dose of DT120 (LSD d-tartrate) activates 5-HT2A serotonin receptors, producing rapid and durable neuroplastic changes that reduce anxiety symptoms — with 65% of patients responding and 48% achieving remission at 12 weeks from one dose, vs. 46% response and 33% remission with placebo.</w:t>
      </w:r>
    </w:p>
    <w:p w14:paraId="5F104597" w14:textId="77777777" w:rsidR="00C85C20" w:rsidRDefault="00000000">
      <w:pPr>
        <w:shd w:val="clear" w:color="auto" w:fill="E2EFDA"/>
        <w:spacing w:before="40" w:after="40"/>
      </w:pPr>
      <w:r>
        <w:rPr>
          <w:b/>
          <w:bCs/>
        </w:rPr>
        <w:t xml:space="preserve">Why payers will pay:  </w:t>
      </w:r>
      <w:r>
        <w:t xml:space="preserve">A single curative-intent administration at $10,000–$15,000 competes </w:t>
      </w:r>
      <w:proofErr w:type="spellStart"/>
      <w:r>
        <w:t>favourably</w:t>
      </w:r>
      <w:proofErr w:type="spellEnd"/>
      <w:r>
        <w:t xml:space="preserve"> against years of SSRIs with monitoring costs, 72% of GAD stakeholders have identified the need for faster-acting non-addictive options as critical, and J&amp;J's </w:t>
      </w:r>
      <w:proofErr w:type="spellStart"/>
      <w:r>
        <w:t>Spravato</w:t>
      </w:r>
      <w:proofErr w:type="spellEnd"/>
      <w:r>
        <w:t xml:space="preserve"> has already validated the "single-administered dose in a clinic" reimbursement model for psychiatry.</w:t>
      </w:r>
    </w:p>
    <w:p w14:paraId="0E4A9C42" w14:textId="77777777" w:rsidR="00C85C20" w:rsidRDefault="00000000">
      <w:pPr>
        <w:shd w:val="clear" w:color="auto" w:fill="E2EFDA"/>
        <w:spacing w:before="40" w:after="60"/>
      </w:pPr>
      <w:r>
        <w:rPr>
          <w:b/>
          <w:bCs/>
        </w:rPr>
        <w:t xml:space="preserve">Why it beats rivals:  </w:t>
      </w:r>
      <w:r>
        <w:t>No competitor has a psychedelic therapy in Phase 3 for GAD; SSRIs take 4–6 weeks to work and require daily adherence; DT120 works in days from a single dose and has a 2–</w:t>
      </w:r>
      <w:proofErr w:type="gramStart"/>
      <w:r>
        <w:t>3 year</w:t>
      </w:r>
      <w:proofErr w:type="gramEnd"/>
      <w:r>
        <w:t xml:space="preserve"> head start on the nearest psychedelic competitor in this indication.</w:t>
      </w:r>
    </w:p>
    <w:p w14:paraId="5F5940C1" w14:textId="77777777" w:rsidR="00C85C20" w:rsidRDefault="00000000">
      <w:pPr>
        <w:spacing w:before="60" w:after="60"/>
      </w:pPr>
      <w:r>
        <w:rPr>
          <w:b/>
          <w:bCs/>
          <w:color w:val="1F3864"/>
        </w:rPr>
        <w:t xml:space="preserve">Squishiness check: </w:t>
      </w:r>
      <w:r>
        <w:rPr>
          <w:color w:val="333333"/>
        </w:rPr>
        <w:t xml:space="preserve">Sentence 1 is moderately solid — the mechanism is plausible and Phase 2 validated but the durability beyond 12 weeks is still unproven (single-dose for a chronic disorder raises a re-dosing question). Sentence 2 is solid commercially but requires payer acceptance of the REMS model. </w:t>
      </w:r>
      <w:r>
        <w:rPr>
          <w:i/>
          <w:iCs/>
          <w:color w:val="333333"/>
        </w:rPr>
        <w:t>No layer requires a forced downgrade per the framework rule, but Layer 1 is already docked 1 point for the blinding/durability concern.</w:t>
      </w:r>
    </w:p>
    <w:p w14:paraId="7E160F77" w14:textId="77777777" w:rsidR="00C85C20" w:rsidRDefault="00C85C20">
      <w:pPr>
        <w:pBdr>
          <w:bottom w:val="single" w:sz="4" w:space="1" w:color="2E75B6"/>
        </w:pBdr>
        <w:spacing w:before="80" w:after="80"/>
      </w:pPr>
    </w:p>
    <w:p w14:paraId="2F5C42E4" w14:textId="77777777" w:rsidR="00C85C20" w:rsidRDefault="00000000">
      <w:pPr>
        <w:spacing w:before="280" w:after="100"/>
      </w:pPr>
      <w:r>
        <w:rPr>
          <w:b/>
          <w:bCs/>
          <w:color w:val="1F3864"/>
          <w:sz w:val="28"/>
          <w:szCs w:val="28"/>
        </w:rPr>
        <w:t xml:space="preserve">LAYER 1 — </w:t>
      </w:r>
      <w:proofErr w:type="gramStart"/>
      <w:r>
        <w:rPr>
          <w:b/>
          <w:bCs/>
          <w:color w:val="1F3864"/>
          <w:sz w:val="28"/>
          <w:szCs w:val="28"/>
        </w:rPr>
        <w:t>SCIENCE  |</w:t>
      </w:r>
      <w:proofErr w:type="gramEnd"/>
      <w:r>
        <w:rPr>
          <w:b/>
          <w:bCs/>
          <w:color w:val="1F3864"/>
          <w:sz w:val="28"/>
          <w:szCs w:val="28"/>
        </w:rPr>
        <w:t xml:space="preserve">  Score: 4.0 / 5.0</w:t>
      </w:r>
    </w:p>
    <w:p w14:paraId="017EE5A5" w14:textId="77777777" w:rsidR="00C85C20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>Mechanism &amp; Target Quality</w:t>
      </w:r>
    </w:p>
    <w:p w14:paraId="7C3CA2FC" w14:textId="77777777" w:rsidR="00C85C20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222222"/>
        </w:rPr>
        <w:t xml:space="preserve">Target: </w:t>
      </w:r>
      <w:r>
        <w:rPr>
          <w:color w:val="333333"/>
        </w:rPr>
        <w:t xml:space="preserve">5-HT2A receptor agonism. Plausible and partially validated for anxiety and mood disorders, supported by decades of academic research and now by the first large-scale </w:t>
      </w:r>
      <w:proofErr w:type="spellStart"/>
      <w:r>
        <w:rPr>
          <w:color w:val="333333"/>
        </w:rPr>
        <w:t>randomised</w:t>
      </w:r>
      <w:proofErr w:type="spellEnd"/>
      <w:r>
        <w:rPr>
          <w:color w:val="333333"/>
        </w:rPr>
        <w:t xml:space="preserve"> clinical trial of LSD ever conducted in the US.</w:t>
      </w:r>
    </w:p>
    <w:p w14:paraId="3D4598A8" w14:textId="77777777" w:rsidR="00C85C20" w:rsidRDefault="00000000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rPr>
          <w:b/>
          <w:bCs/>
          <w:color w:val="222222"/>
        </w:rPr>
        <w:t>MoA</w:t>
      </w:r>
      <w:proofErr w:type="spellEnd"/>
      <w:r>
        <w:rPr>
          <w:b/>
          <w:bCs/>
          <w:color w:val="222222"/>
        </w:rPr>
        <w:t xml:space="preserve"> uncertainty: </w:t>
      </w:r>
      <w:r>
        <w:rPr>
          <w:color w:val="333333"/>
        </w:rPr>
        <w:t xml:space="preserve">The precise mechanism linking 5-HT2A activation to durable anxiety reduction is not fully </w:t>
      </w:r>
      <w:proofErr w:type="spellStart"/>
      <w:r>
        <w:rPr>
          <w:color w:val="333333"/>
        </w:rPr>
        <w:t>characterised</w:t>
      </w:r>
      <w:proofErr w:type="spellEnd"/>
      <w:r>
        <w:rPr>
          <w:color w:val="333333"/>
        </w:rPr>
        <w:t xml:space="preserve"> — current hypotheses include acute neuroplasticity (BDNF-mediated), default mode network disruption, and enhanced fear extinction. This is less "validated" than correcting a single broken gene (LAD-I), but the Phase 2 clinical signal is strong regardless of mechanistic certainty. Importantly, FDA accepted this uncertainty in granting BTD.</w:t>
      </w:r>
    </w:p>
    <w:p w14:paraId="31FE34D5" w14:textId="77777777" w:rsidR="00C85C20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>Clinical Data — Phase 2b (Published in JAMA, October 2025)</w:t>
      </w:r>
    </w:p>
    <w:p w14:paraId="003D9404" w14:textId="77777777" w:rsidR="00C85C20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222222"/>
        </w:rPr>
        <w:t xml:space="preserve">Trial design: </w:t>
      </w:r>
      <w:r>
        <w:rPr>
          <w:color w:val="333333"/>
        </w:rPr>
        <w:t xml:space="preserve">198 adults with moderate-to-severe GAD (HAM-A ≥20); </w:t>
      </w:r>
      <w:proofErr w:type="spellStart"/>
      <w:r>
        <w:rPr>
          <w:color w:val="333333"/>
        </w:rPr>
        <w:t>randomised</w:t>
      </w:r>
      <w:proofErr w:type="spellEnd"/>
      <w:r>
        <w:rPr>
          <w:color w:val="333333"/>
        </w:rPr>
        <w:t>, double-blind, placebo-controlled; 22 US outpatient psychiatric sites; August 2022 – August 2023. Largest well-controlled clinical trial of LSD ever conducted.</w:t>
      </w:r>
    </w:p>
    <w:p w14:paraId="55641F9D" w14:textId="77777777" w:rsidR="00C85C20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222222"/>
        </w:rPr>
        <w:t xml:space="preserve">Primary result: </w:t>
      </w:r>
      <w:r>
        <w:rPr>
          <w:color w:val="333333"/>
        </w:rPr>
        <w:t>Statistically significant dose-response relationship (MCP-Mod method). MM120 (now DT120) 100 µg: –7.6 HAM-A points vs. placebo at Week 4 (p&lt;0.001). MM120 200 µg: –5.5 HAM-A vs. placebo (p=0.01).</w:t>
      </w:r>
    </w:p>
    <w:p w14:paraId="7D1DB2C8" w14:textId="77777777" w:rsidR="00C85C20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222222"/>
        </w:rPr>
        <w:t xml:space="preserve">Secondary results: </w:t>
      </w:r>
      <w:r>
        <w:rPr>
          <w:color w:val="333333"/>
        </w:rPr>
        <w:t xml:space="preserve">65% clinical response rate and 48% clinical remission rate </w:t>
      </w:r>
      <w:proofErr w:type="gramStart"/>
      <w:r>
        <w:rPr>
          <w:color w:val="333333"/>
        </w:rPr>
        <w:t>at</w:t>
      </w:r>
      <w:proofErr w:type="gramEnd"/>
      <w:r>
        <w:rPr>
          <w:color w:val="333333"/>
        </w:rPr>
        <w:t xml:space="preserve"> Week 12 from a single dose. Durable without re-</w:t>
      </w:r>
      <w:proofErr w:type="gramStart"/>
      <w:r>
        <w:rPr>
          <w:color w:val="333333"/>
        </w:rPr>
        <w:t>dosing</w:t>
      </w:r>
      <w:proofErr w:type="gramEnd"/>
      <w:r>
        <w:rPr>
          <w:color w:val="333333"/>
        </w:rPr>
        <w:t xml:space="preserve">. Adverse events </w:t>
      </w:r>
      <w:proofErr w:type="gramStart"/>
      <w:r>
        <w:rPr>
          <w:color w:val="333333"/>
        </w:rPr>
        <w:t>limited</w:t>
      </w:r>
      <w:proofErr w:type="gramEnd"/>
      <w:r>
        <w:rPr>
          <w:color w:val="333333"/>
        </w:rPr>
        <w:t xml:space="preserve"> to dosing day, mostly mild-to-moderate, consistent with mechanism (transient psychedelic effects). Zero serious treatment-emergent adverse events.</w:t>
      </w:r>
    </w:p>
    <w:p w14:paraId="7760AEB2" w14:textId="77777777" w:rsidR="00C85C20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222222"/>
        </w:rPr>
        <w:t xml:space="preserve">FDA BTD: </w:t>
      </w:r>
      <w:r>
        <w:rPr>
          <w:color w:val="333333"/>
        </w:rPr>
        <w:t>Granted March 2024 — FDA's highest level of collaborative designation, reserved for drugs showing "substantial improvement over available therapy" in a serious condition. This is a direct regulatory endorsement of the Phase 2 signal.</w:t>
      </w:r>
    </w:p>
    <w:p w14:paraId="531ACF3C" w14:textId="77777777" w:rsidR="00C85C20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lastRenderedPageBreak/>
        <w:t>Critical Methodological Risk — The Blinding Problem</w:t>
      </w:r>
    </w:p>
    <w:p w14:paraId="468D1247" w14:textId="77777777" w:rsidR="00C85C20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222222"/>
        </w:rPr>
        <w:t xml:space="preserve">Active-placebo issue: </w:t>
      </w:r>
      <w:r>
        <w:rPr>
          <w:color w:val="333333"/>
        </w:rPr>
        <w:t xml:space="preserve">Patients know if they received a </w:t>
      </w:r>
      <w:proofErr w:type="gramStart"/>
      <w:r>
        <w:rPr>
          <w:color w:val="333333"/>
        </w:rPr>
        <w:t>psychedelic —</w:t>
      </w:r>
      <w:proofErr w:type="gramEnd"/>
      <w:r>
        <w:rPr>
          <w:color w:val="333333"/>
        </w:rPr>
        <w:t xml:space="preserve"> the subjective effects are unambiguous. This creates expectancy bias and functional unblinding. If patients who know they took DT120 feel better partly because of expectation (not just drug effect), Phase 3 data may overstate the drug's true effect size.</w:t>
      </w:r>
    </w:p>
    <w:p w14:paraId="2D0313B2" w14:textId="77777777" w:rsidR="00C85C20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222222"/>
        </w:rPr>
        <w:t xml:space="preserve">Mitigants: </w:t>
      </w:r>
      <w:proofErr w:type="spellStart"/>
      <w:r>
        <w:rPr>
          <w:color w:val="333333"/>
        </w:rPr>
        <w:t>Definium</w:t>
      </w:r>
      <w:proofErr w:type="spellEnd"/>
      <w:r>
        <w:rPr>
          <w:color w:val="333333"/>
        </w:rPr>
        <w:t xml:space="preserve"> uses independent raters (blinded to treatment arm), pre-specified primary endpoints, and a Phase 3 design informed by the FDA's guidance that explicitly addressed the Lykos/MDMA trial failures. BTD was </w:t>
      </w:r>
      <w:proofErr w:type="gramStart"/>
      <w:r>
        <w:rPr>
          <w:color w:val="333333"/>
        </w:rPr>
        <w:t>granted with</w:t>
      </w:r>
      <w:proofErr w:type="gramEnd"/>
      <w:r>
        <w:rPr>
          <w:color w:val="333333"/>
        </w:rPr>
        <w:t xml:space="preserve"> full knowledge of this methodological challenge, suggesting FDA </w:t>
      </w:r>
      <w:proofErr w:type="gramStart"/>
      <w:r>
        <w:rPr>
          <w:color w:val="333333"/>
        </w:rPr>
        <w:t>accepts</w:t>
      </w:r>
      <w:proofErr w:type="gramEnd"/>
      <w:r>
        <w:rPr>
          <w:color w:val="333333"/>
        </w:rPr>
        <w:t xml:space="preserve"> the design. However, this risk cannot be fully eliminated and remains the primary Phase 3 failure mode.</w:t>
      </w:r>
    </w:p>
    <w:p w14:paraId="6A176EB3" w14:textId="77777777" w:rsidR="00C85C20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222222"/>
        </w:rPr>
        <w:t xml:space="preserve">Placebo response risk: </w:t>
      </w:r>
      <w:r>
        <w:rPr>
          <w:color w:val="333333"/>
        </w:rPr>
        <w:t>Psychiatric trials historically suffer from high and variable placebo response, which can shrink effect sizes from Phase 2 to Phase 3. DT120's durable single-dose response makes this somewhat more trackable than daily-medication trials.</w:t>
      </w:r>
    </w:p>
    <w:p w14:paraId="1FFEBD78" w14:textId="77777777" w:rsidR="00C85C20" w:rsidRDefault="00000000">
      <w:pPr>
        <w:spacing w:before="60" w:after="60"/>
      </w:pPr>
      <w:r>
        <w:rPr>
          <w:b/>
          <w:bCs/>
          <w:color w:val="1F3864"/>
        </w:rPr>
        <w:t xml:space="preserve">Science Score Rationale: </w:t>
      </w:r>
      <w:r>
        <w:rPr>
          <w:color w:val="333333"/>
        </w:rPr>
        <w:t>4.0/5. Strong JAMA-published data, FDA BTD, clear endpoints, large well-designed trial. Scored below RCKT's 5.0 because: (a) psychiatric indication is heterogeneous vs. monogenic disease, (b) mechanism is not as precisely validated as single-gene correction, and (c) active-placebo blinding is an irreducible methodological risk that the framework's "translational logic" criterion must discount.</w:t>
      </w:r>
    </w:p>
    <w:p w14:paraId="0AB7626A" w14:textId="77777777" w:rsidR="00C85C20" w:rsidRDefault="00C85C20">
      <w:pPr>
        <w:pBdr>
          <w:bottom w:val="single" w:sz="4" w:space="1" w:color="2E75B6"/>
        </w:pBdr>
        <w:spacing w:before="80" w:after="80"/>
      </w:pPr>
    </w:p>
    <w:p w14:paraId="38472A5D" w14:textId="77777777" w:rsidR="00C85C20" w:rsidRDefault="00000000">
      <w:pPr>
        <w:spacing w:before="280" w:after="100"/>
      </w:pPr>
      <w:r>
        <w:rPr>
          <w:b/>
          <w:bCs/>
          <w:color w:val="1F3864"/>
          <w:sz w:val="28"/>
          <w:szCs w:val="28"/>
        </w:rPr>
        <w:t xml:space="preserve">LAYER 2 — </w:t>
      </w:r>
      <w:proofErr w:type="gramStart"/>
      <w:r>
        <w:rPr>
          <w:b/>
          <w:bCs/>
          <w:color w:val="1F3864"/>
          <w:sz w:val="28"/>
          <w:szCs w:val="28"/>
        </w:rPr>
        <w:t>COMMERCIAL  |</w:t>
      </w:r>
      <w:proofErr w:type="gramEnd"/>
      <w:r>
        <w:rPr>
          <w:b/>
          <w:bCs/>
          <w:color w:val="1F3864"/>
          <w:sz w:val="28"/>
          <w:szCs w:val="28"/>
        </w:rPr>
        <w:t xml:space="preserve">  Score: 3.5 / 5.0</w:t>
      </w:r>
    </w:p>
    <w:p w14:paraId="1D3111EC" w14:textId="77777777" w:rsidR="00C85C20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>Market Size &amp; Type</w:t>
      </w:r>
    </w:p>
    <w:p w14:paraId="7E893FEE" w14:textId="77777777" w:rsidR="00C85C20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GAD affects ~6.8 million adults in the US (3.1% of population) and hundreds of millions worldwide. The current GAD drug market is $2.36–2.50B in 2025–2026, growing to $3.5B by 2032 (5.7% CAGR). This is a large, validated market — categorically different from RCKT's ultra-rare disease.</w:t>
      </w:r>
    </w:p>
    <w:p w14:paraId="72668C50" w14:textId="77777777" w:rsidR="00C85C20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222222"/>
        </w:rPr>
        <w:t xml:space="preserve">Addressable population for DT120: </w:t>
      </w:r>
      <w:r>
        <w:rPr>
          <w:color w:val="333333"/>
        </w:rPr>
        <w:t xml:space="preserve">DT120 is unlikely to be </w:t>
      </w:r>
      <w:proofErr w:type="gramStart"/>
      <w:r>
        <w:rPr>
          <w:color w:val="333333"/>
        </w:rPr>
        <w:t>first-line</w:t>
      </w:r>
      <w:proofErr w:type="gramEnd"/>
      <w:r>
        <w:rPr>
          <w:color w:val="333333"/>
        </w:rPr>
        <w:t xml:space="preserve"> (SSRIs are generic, cheap, and widely used). The addressable market is treatment-resistant/inadequate-response GAD patients — estimated at 30–40% of the diagnosed GAD population who don't achieve adequate response with SSRIs/SNRIs. In the US alone: ~2M eligible patients annually, but REMS will restrict access further in early launch years.</w:t>
      </w:r>
    </w:p>
    <w:p w14:paraId="6321C6D5" w14:textId="77777777" w:rsidR="00C85C20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>Willingness-to-Pay &amp; Pricing Analogs</w:t>
      </w:r>
    </w:p>
    <w:p w14:paraId="21D5B744" w14:textId="77777777" w:rsidR="00C85C20" w:rsidRDefault="00000000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rPr>
          <w:b/>
          <w:bCs/>
          <w:color w:val="222222"/>
        </w:rPr>
        <w:t>Spravato</w:t>
      </w:r>
      <w:proofErr w:type="spellEnd"/>
      <w:r>
        <w:rPr>
          <w:b/>
          <w:bCs/>
          <w:color w:val="222222"/>
        </w:rPr>
        <w:t xml:space="preserve"> (esketamine) precedent: </w:t>
      </w:r>
      <w:r>
        <w:rPr>
          <w:color w:val="333333"/>
        </w:rPr>
        <w:t xml:space="preserve">J&amp;J's </w:t>
      </w:r>
      <w:proofErr w:type="spellStart"/>
      <w:r>
        <w:rPr>
          <w:color w:val="333333"/>
        </w:rPr>
        <w:t>Spravato</w:t>
      </w:r>
      <w:proofErr w:type="spellEnd"/>
      <w:r>
        <w:rPr>
          <w:color w:val="333333"/>
        </w:rPr>
        <w:t>, a nasal spray for treatment-resistant MDD (different mechanism, non-classic psychedelic), is priced at ~$6,785 per treatment session, requires in-clinic supervised administration, and achieved Medicare/CMS coverage. It reached ~$2B in annual sales in 2025. This is the closest commercial blueprint for DT120.</w:t>
      </w:r>
    </w:p>
    <w:p w14:paraId="1EE47609" w14:textId="77777777" w:rsidR="00C85C20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222222"/>
        </w:rPr>
        <w:t xml:space="preserve">DT120 pricing potential: </w:t>
      </w:r>
      <w:r>
        <w:rPr>
          <w:color w:val="333333"/>
        </w:rPr>
        <w:t>A single oral dose in a supervised clinical setting — potential pricing of $8,000–$15,000 per treatment. If re-dosing is needed (e.g., 1-2 doses/year), annual revenue per patient could be $8,000–$30,000. At peak penetration of even 200,000–500,000 patients, revenue potential is in the billions. This is a categorically larger commercial opportunity than KRESLADI.</w:t>
      </w:r>
    </w:p>
    <w:p w14:paraId="3D90F1F0" w14:textId="77777777" w:rsidR="00C85C20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222222"/>
        </w:rPr>
        <w:t xml:space="preserve">Unmet need signal: </w:t>
      </w:r>
      <w:r>
        <w:rPr>
          <w:color w:val="333333"/>
        </w:rPr>
        <w:t>72% of GAD stakeholders globally identified the need for faster-acting, non-addictive treatment options as a critical priority. Current SSRIs have delayed onset (4–6 weeks), 40–50% non-response rate, discontinuation syndrome, and low remission rates. DT120 addresses all four weaknesses.</w:t>
      </w:r>
    </w:p>
    <w:p w14:paraId="7C9E66A4" w14:textId="77777777" w:rsidR="00C85C20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>Commercial Friction Points — REMS &amp; Care Pathway</w:t>
      </w:r>
    </w:p>
    <w:p w14:paraId="63D49557" w14:textId="77777777" w:rsidR="00C85C20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222222"/>
        </w:rPr>
        <w:t xml:space="preserve">REMS </w:t>
      </w:r>
      <w:proofErr w:type="spellStart"/>
      <w:r>
        <w:rPr>
          <w:b/>
          <w:bCs/>
          <w:color w:val="222222"/>
        </w:rPr>
        <w:t>programme</w:t>
      </w:r>
      <w:proofErr w:type="spellEnd"/>
      <w:r>
        <w:rPr>
          <w:b/>
          <w:bCs/>
          <w:color w:val="222222"/>
        </w:rPr>
        <w:t xml:space="preserve"> (</w:t>
      </w:r>
      <w:proofErr w:type="gramStart"/>
      <w:r>
        <w:rPr>
          <w:b/>
          <w:bCs/>
          <w:color w:val="222222"/>
        </w:rPr>
        <w:t>near-certain</w:t>
      </w:r>
      <w:proofErr w:type="gramEnd"/>
      <w:r>
        <w:rPr>
          <w:b/>
          <w:bCs/>
          <w:color w:val="222222"/>
        </w:rPr>
        <w:t xml:space="preserve">): </w:t>
      </w:r>
      <w:r>
        <w:rPr>
          <w:color w:val="333333"/>
        </w:rPr>
        <w:t xml:space="preserve">Any approved psychedelic will require a Risk Evaluation and Mitigation Strategy requiring certified treatment </w:t>
      </w:r>
      <w:proofErr w:type="spellStart"/>
      <w:r>
        <w:rPr>
          <w:color w:val="333333"/>
        </w:rPr>
        <w:t>centres</w:t>
      </w:r>
      <w:proofErr w:type="spellEnd"/>
      <w:r>
        <w:rPr>
          <w:color w:val="333333"/>
        </w:rPr>
        <w:t xml:space="preserve">, trained prescribers, and monitored </w:t>
      </w:r>
      <w:proofErr w:type="gramStart"/>
      <w:r>
        <w:rPr>
          <w:color w:val="333333"/>
        </w:rPr>
        <w:t>4-8 hour</w:t>
      </w:r>
      <w:proofErr w:type="gramEnd"/>
      <w:r>
        <w:rPr>
          <w:color w:val="333333"/>
        </w:rPr>
        <w:t xml:space="preserve"> dosing sessions. </w:t>
      </w:r>
      <w:proofErr w:type="spellStart"/>
      <w:r>
        <w:rPr>
          <w:color w:val="333333"/>
        </w:rPr>
        <w:t>Spravato's</w:t>
      </w:r>
      <w:proofErr w:type="spellEnd"/>
      <w:r>
        <w:rPr>
          <w:color w:val="333333"/>
        </w:rPr>
        <w:t xml:space="preserve"> REMS has ~8,000 certified treatment </w:t>
      </w:r>
      <w:proofErr w:type="spellStart"/>
      <w:r>
        <w:rPr>
          <w:color w:val="333333"/>
        </w:rPr>
        <w:t>centres</w:t>
      </w:r>
      <w:proofErr w:type="spellEnd"/>
      <w:r>
        <w:rPr>
          <w:color w:val="333333"/>
        </w:rPr>
        <w:t>. The REMS will constrain DT120's launch ramp — the first 12-18 months post-approval will look modest.</w:t>
      </w:r>
    </w:p>
    <w:p w14:paraId="6D721CDE" w14:textId="77777777" w:rsidR="00C85C20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222222"/>
        </w:rPr>
        <w:t xml:space="preserve">Physician uptake friction: </w:t>
      </w:r>
      <w:r>
        <w:rPr>
          <w:color w:val="333333"/>
        </w:rPr>
        <w:t>Psychiatrists will prescribe DT120 to select, treatment-resistant patients. Primary care will not prescribe. This is a specialty model with a narrow initial prescribing funnel.</w:t>
      </w:r>
    </w:p>
    <w:p w14:paraId="4DCA70ED" w14:textId="77777777" w:rsidR="00C85C20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222222"/>
        </w:rPr>
        <w:t xml:space="preserve">LSD stigma: </w:t>
      </w:r>
      <w:r>
        <w:rPr>
          <w:color w:val="333333"/>
        </w:rPr>
        <w:t xml:space="preserve">Despite the chemical accuracy (DT120 is a tartrate salt of LSD at a precise dose), payer and prescriber hesitation around the "LSD medicine" narrative is a real marketing challenge. The rebrand to </w:t>
      </w:r>
      <w:proofErr w:type="spellStart"/>
      <w:r>
        <w:rPr>
          <w:color w:val="333333"/>
        </w:rPr>
        <w:t>Definium</w:t>
      </w:r>
      <w:proofErr w:type="spellEnd"/>
      <w:r>
        <w:rPr>
          <w:color w:val="333333"/>
        </w:rPr>
        <w:t xml:space="preserve"> Therapeutics and DT120 (rather than </w:t>
      </w:r>
      <w:proofErr w:type="spellStart"/>
      <w:r>
        <w:rPr>
          <w:color w:val="333333"/>
        </w:rPr>
        <w:t>MindMed</w:t>
      </w:r>
      <w:proofErr w:type="spellEnd"/>
      <w:r>
        <w:rPr>
          <w:color w:val="333333"/>
        </w:rPr>
        <w:t>/MM120) partially addresses this.</w:t>
      </w:r>
    </w:p>
    <w:p w14:paraId="6A5B0CBC" w14:textId="77777777" w:rsidR="00C85C20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222222"/>
        </w:rPr>
        <w:lastRenderedPageBreak/>
        <w:t xml:space="preserve">DEA scheduling (commercial delay): </w:t>
      </w:r>
      <w:r>
        <w:rPr>
          <w:color w:val="333333"/>
        </w:rPr>
        <w:t>After FDA approval, DEA has 90 days to reschedule DT120 from Schedule I. Current HHS/FDA leadership (Makary) and HHS Secretary (RFK Jr.) have expressed public support for psychedelic medicine approval. This risk is lower than under the prior administration but cannot be assumed away.</w:t>
      </w:r>
    </w:p>
    <w:p w14:paraId="420483EE" w14:textId="77777777" w:rsidR="00C85C20" w:rsidRDefault="00000000">
      <w:pPr>
        <w:spacing w:before="60" w:after="60"/>
      </w:pPr>
      <w:r>
        <w:rPr>
          <w:b/>
          <w:bCs/>
          <w:color w:val="1F3864"/>
        </w:rPr>
        <w:t xml:space="preserve">Commercial Score Rationale: </w:t>
      </w:r>
      <w:r>
        <w:rPr>
          <w:color w:val="333333"/>
        </w:rPr>
        <w:t>3.5/5. Large validated market and strong unmet need argue for 4/5. Docked 0.5 for REMS-driven launch friction, care-pathway constraints, and payer/prescriber stigma that will slow the revenue ramp meaningfully in years 1–3 post-approval. This is materially better than RCKT's commercial story (no patient volume ceiling) but has its own friction set.</w:t>
      </w:r>
    </w:p>
    <w:p w14:paraId="42461010" w14:textId="77777777" w:rsidR="00C85C20" w:rsidRDefault="00C85C20">
      <w:pPr>
        <w:pBdr>
          <w:bottom w:val="single" w:sz="4" w:space="1" w:color="2E75B6"/>
        </w:pBdr>
        <w:spacing w:before="80" w:after="80"/>
      </w:pPr>
    </w:p>
    <w:p w14:paraId="14E2FE0C" w14:textId="77777777" w:rsidR="00C85C20" w:rsidRDefault="00000000">
      <w:pPr>
        <w:spacing w:before="280" w:after="100"/>
      </w:pPr>
      <w:r>
        <w:rPr>
          <w:b/>
          <w:bCs/>
          <w:color w:val="1F3864"/>
          <w:sz w:val="28"/>
          <w:szCs w:val="28"/>
        </w:rPr>
        <w:t xml:space="preserve">LAYER 3 — </w:t>
      </w:r>
      <w:proofErr w:type="gramStart"/>
      <w:r>
        <w:rPr>
          <w:b/>
          <w:bCs/>
          <w:color w:val="1F3864"/>
          <w:sz w:val="28"/>
          <w:szCs w:val="28"/>
        </w:rPr>
        <w:t>COMPETITIVE  |</w:t>
      </w:r>
      <w:proofErr w:type="gramEnd"/>
      <w:r>
        <w:rPr>
          <w:b/>
          <w:bCs/>
          <w:color w:val="1F3864"/>
          <w:sz w:val="28"/>
          <w:szCs w:val="28"/>
        </w:rPr>
        <w:t xml:space="preserve">  Score: 4.0 / 5.0</w:t>
      </w:r>
    </w:p>
    <w:p w14:paraId="6338C9BB" w14:textId="77777777" w:rsidR="00C85C20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>Head-to-Head Position in GAD</w:t>
      </w:r>
    </w:p>
    <w:p w14:paraId="149FEDB1" w14:textId="77777777" w:rsidR="00C85C20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 xml:space="preserve">No competitor has a psychedelic or novel mechanism product in Phase 3 for GAD specifically. </w:t>
      </w:r>
      <w:proofErr w:type="spellStart"/>
      <w:r>
        <w:rPr>
          <w:color w:val="333333"/>
        </w:rPr>
        <w:t>Definium</w:t>
      </w:r>
      <w:proofErr w:type="spellEnd"/>
      <w:r>
        <w:rPr>
          <w:color w:val="333333"/>
        </w:rPr>
        <w:t xml:space="preserve"> is the clear first mover in this indication.</w:t>
      </w:r>
    </w:p>
    <w:p w14:paraId="566E6236" w14:textId="77777777" w:rsidR="00C85C20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222222"/>
        </w:rPr>
        <w:t xml:space="preserve">Competition vs. current SoC: </w:t>
      </w:r>
      <w:r>
        <w:rPr>
          <w:color w:val="333333"/>
        </w:rPr>
        <w:t xml:space="preserve">SSRIs and SNRIs (escitalopram, duloxetine, etc.) are generic, cheap, and widely used. DT120 is not competing to replace them — it is positioned as a </w:t>
      </w:r>
      <w:proofErr w:type="gramStart"/>
      <w:r>
        <w:rPr>
          <w:color w:val="333333"/>
        </w:rPr>
        <w:t>second-line</w:t>
      </w:r>
      <w:proofErr w:type="gramEnd"/>
      <w:r>
        <w:rPr>
          <w:color w:val="333333"/>
        </w:rPr>
        <w:t xml:space="preserve">/treatment-resistant option in the specialist channel, </w:t>
      </w:r>
      <w:proofErr w:type="gramStart"/>
      <w:r>
        <w:rPr>
          <w:color w:val="333333"/>
        </w:rPr>
        <w:t>similar to</w:t>
      </w:r>
      <w:proofErr w:type="gramEnd"/>
      <w:r>
        <w:rPr>
          <w:color w:val="333333"/>
        </w:rPr>
        <w:t xml:space="preserve"> how </w:t>
      </w:r>
      <w:proofErr w:type="spellStart"/>
      <w:r>
        <w:rPr>
          <w:color w:val="333333"/>
        </w:rPr>
        <w:t>Spravato</w:t>
      </w:r>
      <w:proofErr w:type="spellEnd"/>
      <w:r>
        <w:rPr>
          <w:color w:val="333333"/>
        </w:rPr>
        <w:t xml:space="preserve"> sits in the MDD space. DT120 can co-exist with SSRIs as a step-up therapy.</w:t>
      </w:r>
    </w:p>
    <w:p w14:paraId="63BA9352" w14:textId="77777777" w:rsidR="00C85C20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>Psychedelic Competitor Landscape</w:t>
      </w:r>
    </w:p>
    <w:p w14:paraId="07B2AB9A" w14:textId="77777777" w:rsidR="00C85C20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222222"/>
        </w:rPr>
        <w:t xml:space="preserve">Compass Pathways (COMP360 — psilocybin): </w:t>
      </w:r>
      <w:r>
        <w:rPr>
          <w:color w:val="333333"/>
        </w:rPr>
        <w:t xml:space="preserve">Phase 3 for treatment-resistant depression (TRD), NOT GAD. Ph3 Part A met primary endpoint in June </w:t>
      </w:r>
      <w:proofErr w:type="gramStart"/>
      <w:r>
        <w:rPr>
          <w:color w:val="333333"/>
        </w:rPr>
        <w:t>2025</w:t>
      </w:r>
      <w:proofErr w:type="gramEnd"/>
      <w:r>
        <w:rPr>
          <w:color w:val="333333"/>
        </w:rPr>
        <w:t xml:space="preserve"> but investors were disappointed by magnitude. Compass is 2-3 years behind </w:t>
      </w:r>
      <w:proofErr w:type="spellStart"/>
      <w:r>
        <w:rPr>
          <w:color w:val="333333"/>
        </w:rPr>
        <w:t>Definium</w:t>
      </w:r>
      <w:proofErr w:type="spellEnd"/>
      <w:r>
        <w:rPr>
          <w:color w:val="333333"/>
        </w:rPr>
        <w:t xml:space="preserve"> on a regulatory timeline even if their TRD program succeeds, and their indication is different. However, Compass will compete for psychiatric treatment </w:t>
      </w:r>
      <w:proofErr w:type="spellStart"/>
      <w:r>
        <w:rPr>
          <w:color w:val="333333"/>
        </w:rPr>
        <w:t>centre</w:t>
      </w:r>
      <w:proofErr w:type="spellEnd"/>
      <w:r>
        <w:rPr>
          <w:color w:val="333333"/>
        </w:rPr>
        <w:t xml:space="preserve"> capacity, prescriber attention, and payer reimbursement bandwidth.</w:t>
      </w:r>
    </w:p>
    <w:p w14:paraId="6C6DDB41" w14:textId="77777777" w:rsidR="00C85C20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222222"/>
        </w:rPr>
        <w:t xml:space="preserve">Lykos Therapeutics (MDMA for PTSD): </w:t>
      </w:r>
      <w:r>
        <w:rPr>
          <w:color w:val="333333"/>
        </w:rPr>
        <w:t xml:space="preserve">CRL received in 2024 for trial design issues (inadequate blinding controls, functional unblinding, data integrity concerns at some sites). Different compound (MDMA), different indication (PTSD). The Lykos failure </w:t>
      </w:r>
      <w:proofErr w:type="gramStart"/>
      <w:r>
        <w:rPr>
          <w:color w:val="333333"/>
        </w:rPr>
        <w:t>actually benefits</w:t>
      </w:r>
      <w:proofErr w:type="gramEnd"/>
      <w:r>
        <w:rPr>
          <w:color w:val="333333"/>
        </w:rPr>
        <w:t xml:space="preserve"> </w:t>
      </w:r>
      <w:proofErr w:type="spellStart"/>
      <w:r>
        <w:rPr>
          <w:color w:val="333333"/>
        </w:rPr>
        <w:t>Definium</w:t>
      </w:r>
      <w:proofErr w:type="spellEnd"/>
      <w:r>
        <w:rPr>
          <w:color w:val="333333"/>
        </w:rPr>
        <w:t xml:space="preserve"> — FDA's specific objections were addressed in </w:t>
      </w:r>
      <w:proofErr w:type="spellStart"/>
      <w:r>
        <w:rPr>
          <w:color w:val="333333"/>
        </w:rPr>
        <w:t>Definium's</w:t>
      </w:r>
      <w:proofErr w:type="spellEnd"/>
      <w:r>
        <w:rPr>
          <w:color w:val="333333"/>
        </w:rPr>
        <w:t xml:space="preserve"> Phase 3 design, and the Lykos CRL precedent makes it clear what NOT to do.</w:t>
      </w:r>
    </w:p>
    <w:p w14:paraId="4D81422D" w14:textId="77777777" w:rsidR="00C85C20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222222"/>
        </w:rPr>
        <w:t>AbbVie/Gilgamesh (</w:t>
      </w:r>
      <w:proofErr w:type="spellStart"/>
      <w:r>
        <w:rPr>
          <w:b/>
          <w:bCs/>
          <w:color w:val="222222"/>
        </w:rPr>
        <w:t>bretisilocin</w:t>
      </w:r>
      <w:proofErr w:type="spellEnd"/>
      <w:r>
        <w:rPr>
          <w:b/>
          <w:bCs/>
          <w:color w:val="222222"/>
        </w:rPr>
        <w:t xml:space="preserve"> — psilocybin analog for MDD): </w:t>
      </w:r>
      <w:r>
        <w:rPr>
          <w:color w:val="333333"/>
        </w:rPr>
        <w:t xml:space="preserve">$1.2B acquisition for a Phase 1/2-stage asset in MDD. Multiple years behind. Confirms Big Pharma interest in </w:t>
      </w:r>
      <w:proofErr w:type="gramStart"/>
      <w:r>
        <w:rPr>
          <w:color w:val="333333"/>
        </w:rPr>
        <w:t>the space</w:t>
      </w:r>
      <w:proofErr w:type="gramEnd"/>
      <w:r>
        <w:rPr>
          <w:color w:val="333333"/>
        </w:rPr>
        <w:t xml:space="preserve">, which has M&amp;A implications for </w:t>
      </w:r>
      <w:proofErr w:type="spellStart"/>
      <w:r>
        <w:rPr>
          <w:color w:val="333333"/>
        </w:rPr>
        <w:t>Definium</w:t>
      </w:r>
      <w:proofErr w:type="spellEnd"/>
      <w:r>
        <w:rPr>
          <w:color w:val="333333"/>
        </w:rPr>
        <w:t xml:space="preserve"> if DT120 approves.</w:t>
      </w:r>
    </w:p>
    <w:p w14:paraId="72D49209" w14:textId="77777777" w:rsidR="00C85C20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>Defensibility &amp; IP</w:t>
      </w:r>
    </w:p>
    <w:p w14:paraId="5FF34D5E" w14:textId="77777777" w:rsidR="00C85C20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222222"/>
        </w:rPr>
        <w:t xml:space="preserve">Patent position: </w:t>
      </w:r>
      <w:r>
        <w:rPr>
          <w:color w:val="333333"/>
        </w:rPr>
        <w:t xml:space="preserve">USPN 12,036,220 covers the ODT formulation, manufacturing method, and method of use for DT120 — expires 2041. This is meaningful but not the same class of moat as Orphan Drug exclusivity (RCKT). LSD compound </w:t>
      </w:r>
      <w:proofErr w:type="gramStart"/>
      <w:r>
        <w:rPr>
          <w:color w:val="333333"/>
        </w:rPr>
        <w:t>off-patent</w:t>
      </w:r>
      <w:proofErr w:type="gramEnd"/>
      <w:r>
        <w:rPr>
          <w:color w:val="333333"/>
        </w:rPr>
        <w:t>: smart competitors could attempt alternative salt forms or delivery systems.</w:t>
      </w:r>
    </w:p>
    <w:p w14:paraId="13EBF0C8" w14:textId="77777777" w:rsidR="00C85C20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222222"/>
        </w:rPr>
        <w:t xml:space="preserve">First-mover advantage: </w:t>
      </w:r>
      <w:r>
        <w:rPr>
          <w:color w:val="333333"/>
        </w:rPr>
        <w:t xml:space="preserve">Brand equity, physician relationships, REMS infrastructure build, and payer coverage contracts will be difficult for a second entrant to replicate. </w:t>
      </w:r>
      <w:proofErr w:type="spellStart"/>
      <w:r>
        <w:rPr>
          <w:color w:val="333333"/>
        </w:rPr>
        <w:t>Spravato's</w:t>
      </w:r>
      <w:proofErr w:type="spellEnd"/>
      <w:r>
        <w:rPr>
          <w:color w:val="333333"/>
        </w:rPr>
        <w:t xml:space="preserve"> experience </w:t>
      </w:r>
      <w:proofErr w:type="gramStart"/>
      <w:r>
        <w:rPr>
          <w:color w:val="333333"/>
        </w:rPr>
        <w:t>shows</w:t>
      </w:r>
      <w:proofErr w:type="gramEnd"/>
      <w:r>
        <w:rPr>
          <w:color w:val="333333"/>
        </w:rPr>
        <w:t xml:space="preserve"> first-mover in a new psychiatric modality has multi-year advantages.</w:t>
      </w:r>
    </w:p>
    <w:p w14:paraId="5D80F621" w14:textId="77777777" w:rsidR="00C85C20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222222"/>
        </w:rPr>
        <w:t xml:space="preserve">BTD as regulatory moat: </w:t>
      </w:r>
      <w:r>
        <w:rPr>
          <w:color w:val="333333"/>
        </w:rPr>
        <w:t>FDA's Breakthrough Therapy Designation means FDA is actively collaborating on the Phase 3 design. No competitor in GAD has BTD. This reduces the risk of a Phase 3 design objection and accelerates the review timeline.</w:t>
      </w:r>
    </w:p>
    <w:p w14:paraId="376F4926" w14:textId="77777777" w:rsidR="00C85C20" w:rsidRDefault="00000000">
      <w:pPr>
        <w:spacing w:before="60" w:after="60"/>
      </w:pPr>
      <w:r>
        <w:rPr>
          <w:b/>
          <w:bCs/>
          <w:color w:val="1F3864"/>
        </w:rPr>
        <w:t xml:space="preserve">Competitive Score Rationale: </w:t>
      </w:r>
      <w:r>
        <w:rPr>
          <w:color w:val="333333"/>
        </w:rPr>
        <w:t xml:space="preserve">4.0/5. First mover in Phase 3 for GAD-specific psychedelic therapy, no direct competitor, Lykos CRL improves probability of </w:t>
      </w:r>
      <w:proofErr w:type="spellStart"/>
      <w:r>
        <w:rPr>
          <w:color w:val="333333"/>
        </w:rPr>
        <w:t>Definium's</w:t>
      </w:r>
      <w:proofErr w:type="spellEnd"/>
      <w:r>
        <w:rPr>
          <w:color w:val="333333"/>
        </w:rPr>
        <w:t xml:space="preserve"> FDA success, Big Pharma M&amp;A interest validates the platform. Docked 1.0 point: off-patent compound creates IP vulnerability over a 10–</w:t>
      </w:r>
      <w:proofErr w:type="gramStart"/>
      <w:r>
        <w:rPr>
          <w:color w:val="333333"/>
        </w:rPr>
        <w:t>15 year</w:t>
      </w:r>
      <w:proofErr w:type="gramEnd"/>
      <w:r>
        <w:rPr>
          <w:color w:val="333333"/>
        </w:rPr>
        <w:t xml:space="preserve"> horizon, and indirect competition from </w:t>
      </w:r>
      <w:proofErr w:type="spellStart"/>
      <w:r>
        <w:rPr>
          <w:color w:val="333333"/>
        </w:rPr>
        <w:t>Spravato</w:t>
      </w:r>
      <w:proofErr w:type="spellEnd"/>
      <w:r>
        <w:rPr>
          <w:color w:val="333333"/>
        </w:rPr>
        <w:t xml:space="preserve"> and SSRIs for psychiatric infrastructure and prescriber attention is real.</w:t>
      </w:r>
    </w:p>
    <w:p w14:paraId="435605A1" w14:textId="77777777" w:rsidR="00C85C20" w:rsidRDefault="00C85C20">
      <w:pPr>
        <w:pBdr>
          <w:bottom w:val="single" w:sz="4" w:space="1" w:color="2E75B6"/>
        </w:pBdr>
        <w:spacing w:before="80" w:after="80"/>
      </w:pPr>
    </w:p>
    <w:p w14:paraId="5622CEA0" w14:textId="77777777" w:rsidR="00C85C20" w:rsidRDefault="00000000">
      <w:pPr>
        <w:spacing w:before="280" w:after="100"/>
      </w:pPr>
      <w:r>
        <w:rPr>
          <w:b/>
          <w:bCs/>
          <w:color w:val="1F3864"/>
          <w:sz w:val="28"/>
          <w:szCs w:val="28"/>
        </w:rPr>
        <w:t xml:space="preserve">+1 ENABLERS </w:t>
      </w:r>
      <w:proofErr w:type="gramStart"/>
      <w:r>
        <w:rPr>
          <w:b/>
          <w:bCs/>
          <w:color w:val="1F3864"/>
          <w:sz w:val="28"/>
          <w:szCs w:val="28"/>
        </w:rPr>
        <w:t>GATE  |</w:t>
      </w:r>
      <w:proofErr w:type="gramEnd"/>
      <w:r>
        <w:rPr>
          <w:b/>
          <w:bCs/>
          <w:color w:val="1F3864"/>
          <w:sz w:val="28"/>
          <w:szCs w:val="28"/>
        </w:rPr>
        <w:t xml:space="preserve">  Conditional Pass</w:t>
      </w:r>
    </w:p>
    <w:p w14:paraId="105DA180" w14:textId="77777777" w:rsidR="00C85C20" w:rsidRDefault="00000000">
      <w:pPr>
        <w:spacing w:before="60" w:after="60"/>
      </w:pPr>
      <w:r>
        <w:rPr>
          <w:color w:val="555555"/>
        </w:rPr>
        <w:t xml:space="preserve">All four gates must pass. A hard </w:t>
      </w:r>
      <w:proofErr w:type="gramStart"/>
      <w:r>
        <w:rPr>
          <w:color w:val="555555"/>
        </w:rPr>
        <w:t>fail</w:t>
      </w:r>
      <w:proofErr w:type="gramEnd"/>
      <w:r>
        <w:rPr>
          <w:color w:val="555555"/>
        </w:rPr>
        <w:t xml:space="preserve"> converts the decision to No-Go regardless of composite score.</w:t>
      </w:r>
    </w:p>
    <w:p w14:paraId="73096903" w14:textId="77777777" w:rsidR="00C85C20" w:rsidRDefault="00C85C20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00"/>
        <w:gridCol w:w="6360"/>
      </w:tblGrid>
      <w:tr w:rsidR="00C85C20" w14:paraId="14A22A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0E9D2A" w14:textId="77777777" w:rsidR="00C85C2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B01E84" w14:textId="77777777" w:rsidR="00C85C2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8F61A8" w14:textId="77777777" w:rsidR="00C85C2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Detail &amp; Evidence</w:t>
            </w:r>
          </w:p>
        </w:tc>
      </w:tr>
      <w:tr w:rsidR="00C85C20" w14:paraId="3A9CB8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B7FEA" w14:textId="77777777" w:rsidR="00C85C20" w:rsidRDefault="00000000">
            <w:r>
              <w:rPr>
                <w:b/>
                <w:bCs/>
                <w:color w:val="375623"/>
                <w:sz w:val="18"/>
                <w:szCs w:val="18"/>
              </w:rPr>
              <w:t>CMC (Manufacturing)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7035C" w14:textId="77777777" w:rsidR="00C85C20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✓ PASS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8A19B" w14:textId="77777777" w:rsidR="00C85C20" w:rsidRDefault="00000000">
            <w:r>
              <w:rPr>
                <w:color w:val="000000"/>
                <w:sz w:val="18"/>
                <w:szCs w:val="18"/>
              </w:rPr>
              <w:t>DT120 is an Orally Disintegrating Tablet (</w:t>
            </w:r>
            <w:proofErr w:type="gramStart"/>
            <w:r>
              <w:rPr>
                <w:color w:val="000000"/>
                <w:sz w:val="18"/>
                <w:szCs w:val="18"/>
              </w:rPr>
              <w:t>ODT) —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a standard, well-understood pharmaceutical form. LSD tartrate synthesis is chemically straightforward vs. gene therapies. No reported CMC issues with FDA to date. Manufacturing scale-up for a psychiatric medication with REMS-restricted prescribing (small eligible population initially) is a manageable challenge. Source: </w:t>
            </w:r>
            <w:proofErr w:type="spellStart"/>
            <w:r>
              <w:rPr>
                <w:color w:val="000000"/>
                <w:sz w:val="18"/>
                <w:szCs w:val="18"/>
              </w:rPr>
              <w:t>BusinessWire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Definium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IR.</w:t>
            </w:r>
          </w:p>
        </w:tc>
      </w:tr>
      <w:tr w:rsidR="00C85C20" w14:paraId="5DFC2C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3811" w14:textId="77777777" w:rsidR="00C85C20" w:rsidRDefault="00000000">
            <w:r>
              <w:rPr>
                <w:b/>
                <w:bCs/>
                <w:color w:val="BF8F00"/>
                <w:sz w:val="18"/>
                <w:szCs w:val="18"/>
              </w:rPr>
              <w:t>Regulatory / Trial Design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0B028" w14:textId="77777777" w:rsidR="00C85C20" w:rsidRDefault="00000000">
            <w:pPr>
              <w:jc w:val="center"/>
            </w:pPr>
            <w:r>
              <w:rPr>
                <w:b/>
                <w:bCs/>
                <w:color w:val="BF8F00"/>
                <w:sz w:val="18"/>
                <w:szCs w:val="18"/>
              </w:rPr>
              <w:t>⚠ COND. PASS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2A90D" w14:textId="77777777" w:rsidR="00C85C20" w:rsidRDefault="00000000">
            <w:r>
              <w:rPr>
                <w:color w:val="000000"/>
                <w:sz w:val="18"/>
                <w:szCs w:val="18"/>
              </w:rPr>
              <w:t xml:space="preserve">THREE distinct regulatory risk layers: (1) Active-placebo blinding — patients know if they received a psychedelic, creating potential expectancy bias. </w:t>
            </w:r>
            <w:proofErr w:type="spellStart"/>
            <w:r>
              <w:rPr>
                <w:color w:val="000000"/>
                <w:sz w:val="18"/>
                <w:szCs w:val="18"/>
              </w:rPr>
              <w:t>Definium's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Phase 3 design uses independent </w:t>
            </w:r>
            <w:proofErr w:type="gramStart"/>
            <w:r>
              <w:rPr>
                <w:color w:val="000000"/>
                <w:sz w:val="18"/>
                <w:szCs w:val="18"/>
              </w:rPr>
              <w:t>raters</w:t>
            </w:r>
            <w:proofErr w:type="gramEnd"/>
            <w:r>
              <w:rPr>
                <w:color w:val="000000"/>
                <w:sz w:val="18"/>
                <w:szCs w:val="18"/>
              </w:rPr>
              <w:t>, pre-specified analyses, and addresses the Lykos/MDMA failures. BTD means FDA is aligned on the design. (2) REMS requirement — almost certain post-approval; supervised administration in certified clinical settings (</w:t>
            </w:r>
            <w:proofErr w:type="gramStart"/>
            <w:r>
              <w:rPr>
                <w:color w:val="000000"/>
                <w:sz w:val="18"/>
                <w:szCs w:val="18"/>
              </w:rPr>
              <w:t>similar to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Spravato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). This is not a rejection risk but a launch friction risk. (3) DEA rescheduling — after any FDA approval, DEA has 90 days to act on rescheduling DT120 from Schedule I; current administration (RFK/Makary) is publicly supportive of psychedelic medicine. Constructive EOP2 meeting with FDA in June 2024. Source: </w:t>
            </w:r>
            <w:proofErr w:type="spellStart"/>
            <w:r>
              <w:rPr>
                <w:color w:val="000000"/>
                <w:sz w:val="18"/>
                <w:szCs w:val="18"/>
              </w:rPr>
              <w:t>BusinessWire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(Jun 2024), JAMA, </w:t>
            </w:r>
            <w:proofErr w:type="spellStart"/>
            <w:r>
              <w:rPr>
                <w:color w:val="000000"/>
                <w:sz w:val="18"/>
                <w:szCs w:val="18"/>
              </w:rPr>
              <w:t>StatNews</w:t>
            </w:r>
            <w:proofErr w:type="spellEnd"/>
            <w:r>
              <w:rPr>
                <w:color w:val="000000"/>
                <w:sz w:val="18"/>
                <w:szCs w:val="18"/>
              </w:rPr>
              <w:t>, Science.org.</w:t>
            </w:r>
          </w:p>
        </w:tc>
      </w:tr>
      <w:tr w:rsidR="00C85C20" w14:paraId="768DFA0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A1C2B" w14:textId="77777777" w:rsidR="00C85C20" w:rsidRDefault="00000000">
            <w:r>
              <w:rPr>
                <w:b/>
                <w:bCs/>
                <w:color w:val="BF8F00"/>
                <w:sz w:val="18"/>
                <w:szCs w:val="18"/>
              </w:rPr>
              <w:t>IP / FTO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768B4" w14:textId="77777777" w:rsidR="00C85C20" w:rsidRDefault="00000000">
            <w:pPr>
              <w:jc w:val="center"/>
            </w:pPr>
            <w:r>
              <w:rPr>
                <w:b/>
                <w:bCs/>
                <w:color w:val="BF8F00"/>
                <w:sz w:val="18"/>
                <w:szCs w:val="18"/>
              </w:rPr>
              <w:t>⚠ COND. PASS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87504" w14:textId="77777777" w:rsidR="00C85C20" w:rsidRDefault="00000000">
            <w:r>
              <w:rPr>
                <w:color w:val="000000"/>
                <w:sz w:val="18"/>
                <w:szCs w:val="18"/>
              </w:rPr>
              <w:t xml:space="preserve">DT120 IP has two components: (1) USPN 12,036,220 — covers the specific ODT formulation, manufacturing method, and method of treatment; expires 2041. (2) LSD compound itself is </w:t>
            </w:r>
            <w:proofErr w:type="gramStart"/>
            <w:r>
              <w:rPr>
                <w:color w:val="000000"/>
                <w:sz w:val="18"/>
                <w:szCs w:val="18"/>
              </w:rPr>
              <w:t>off-patent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synthesised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1938, Albert Hofmann; patents long expired). The formulation/method-of-use patents are </w:t>
            </w:r>
            <w:proofErr w:type="gramStart"/>
            <w:r>
              <w:rPr>
                <w:color w:val="000000"/>
                <w:sz w:val="18"/>
                <w:szCs w:val="18"/>
              </w:rPr>
              <w:t>meaningful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but competitors could develop alternative formulations of LSD (e.g., different salt </w:t>
            </w:r>
            <w:proofErr w:type="gramStart"/>
            <w:r>
              <w:rPr>
                <w:color w:val="000000"/>
                <w:sz w:val="18"/>
                <w:szCs w:val="18"/>
              </w:rPr>
              <w:t>form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, different </w:t>
            </w:r>
            <w:proofErr w:type="gramStart"/>
            <w:r>
              <w:rPr>
                <w:color w:val="000000"/>
                <w:sz w:val="18"/>
                <w:szCs w:val="18"/>
              </w:rPr>
              <w:t>delivery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) and attempt to design around. AbbVie's purchase of a psilocybin derivative ($1.2B for </w:t>
            </w:r>
            <w:proofErr w:type="spellStart"/>
            <w:r>
              <w:rPr>
                <w:color w:val="000000"/>
                <w:sz w:val="18"/>
                <w:szCs w:val="18"/>
              </w:rPr>
              <w:t>bretisilocin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 shows Big Pharma interest in developing next-gen formulations. If DT120 approves, expect branded / generic competition dynamics within 10–15 years rather than the 7-year Orphan Drug moat that protects RCKT. Source: </w:t>
            </w:r>
            <w:proofErr w:type="spellStart"/>
            <w:r>
              <w:rPr>
                <w:color w:val="000000"/>
                <w:sz w:val="18"/>
                <w:szCs w:val="18"/>
              </w:rPr>
              <w:t>BusinessWire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(Jul 2024), </w:t>
            </w:r>
            <w:proofErr w:type="spellStart"/>
            <w:r>
              <w:rPr>
                <w:color w:val="000000"/>
                <w:sz w:val="18"/>
                <w:szCs w:val="18"/>
              </w:rPr>
              <w:t>Definium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IR, Synapse.</w:t>
            </w:r>
          </w:p>
        </w:tc>
      </w:tr>
      <w:tr w:rsidR="00C85C20" w14:paraId="2B0A1E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F08F6" w14:textId="77777777" w:rsidR="00C85C20" w:rsidRDefault="00000000">
            <w:r>
              <w:rPr>
                <w:b/>
                <w:bCs/>
                <w:color w:val="375623"/>
                <w:sz w:val="18"/>
                <w:szCs w:val="18"/>
              </w:rPr>
              <w:t>Financing Runway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7946B" w14:textId="77777777" w:rsidR="00C85C20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✓✓ STRONG PASS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5988C" w14:textId="77777777" w:rsidR="00C85C20" w:rsidRDefault="00000000">
            <w:r>
              <w:rPr>
                <w:color w:val="000000"/>
                <w:sz w:val="18"/>
                <w:szCs w:val="18"/>
              </w:rPr>
              <w:t xml:space="preserve">~$452M pro forma cash following October 2025 offering ($242.8M net proceeds). Management guides runway "into 2027" and at least 12 months beyond anticipated Phase 3 topline data. K2 </w:t>
            </w:r>
            <w:proofErr w:type="spellStart"/>
            <w:r>
              <w:rPr>
                <w:color w:val="000000"/>
                <w:sz w:val="18"/>
                <w:szCs w:val="18"/>
              </w:rPr>
              <w:t>HealthVentures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credit facility provides an additional $120M available on milestone achievement. With three Phase 3 readouts expected across 2026, the company is well-</w:t>
            </w:r>
            <w:proofErr w:type="spellStart"/>
            <w:r>
              <w:rPr>
                <w:color w:val="000000"/>
                <w:sz w:val="18"/>
                <w:szCs w:val="18"/>
              </w:rPr>
              <w:t>capitalised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to reach multiple value-creating events without a dilutive </w:t>
            </w:r>
            <w:proofErr w:type="gramStart"/>
            <w:r>
              <w:rPr>
                <w:color w:val="000000"/>
                <w:sz w:val="18"/>
                <w:szCs w:val="18"/>
              </w:rPr>
              <w:t>raise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. This is a materially stronger financing position than RCKT. Source: </w:t>
            </w:r>
            <w:proofErr w:type="spellStart"/>
            <w:r>
              <w:rPr>
                <w:color w:val="000000"/>
                <w:sz w:val="18"/>
                <w:szCs w:val="18"/>
              </w:rPr>
              <w:t>Definium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Q3 2025 earnings; </w:t>
            </w:r>
            <w:proofErr w:type="spellStart"/>
            <w:r>
              <w:rPr>
                <w:color w:val="000000"/>
                <w:sz w:val="18"/>
                <w:szCs w:val="18"/>
              </w:rPr>
              <w:t>StockTitan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FY2024 results.</w:t>
            </w:r>
          </w:p>
        </w:tc>
      </w:tr>
    </w:tbl>
    <w:p w14:paraId="3E36A270" w14:textId="77777777" w:rsidR="00C85C20" w:rsidRDefault="00000000">
      <w:pPr>
        <w:spacing w:before="160" w:after="60"/>
      </w:pPr>
      <w:r>
        <w:rPr>
          <w:b/>
          <w:bCs/>
          <w:color w:val="1F3864"/>
        </w:rPr>
        <w:t xml:space="preserve">Gate Summary: </w:t>
      </w:r>
      <w:r>
        <w:t xml:space="preserve">No hard Gate fails. Financing is </w:t>
      </w:r>
      <w:proofErr w:type="spellStart"/>
      <w:r>
        <w:t>Definium's</w:t>
      </w:r>
      <w:proofErr w:type="spellEnd"/>
      <w:r>
        <w:t xml:space="preserve"> strongest gate item — $452M with runway beyond the Phase 3 readouts is the best-funded position in psychedelic medicine. The two conditional passes (Regulatory and IP) reflect structural features of the psychedelic medicine category, not company-specific failures. The DEA scheduling risk is partially mitigated by the current administration's public stance.</w:t>
      </w:r>
    </w:p>
    <w:p w14:paraId="510276D5" w14:textId="77777777" w:rsidR="00C85C20" w:rsidRDefault="00C85C20">
      <w:pPr>
        <w:pBdr>
          <w:bottom w:val="single" w:sz="4" w:space="1" w:color="2E75B6"/>
        </w:pBdr>
        <w:spacing w:before="80" w:after="80"/>
      </w:pPr>
    </w:p>
    <w:p w14:paraId="6695A28B" w14:textId="77777777" w:rsidR="00C85C20" w:rsidRDefault="00000000">
      <w:pPr>
        <w:spacing w:before="280" w:after="100"/>
      </w:pPr>
      <w:r>
        <w:rPr>
          <w:b/>
          <w:bCs/>
          <w:color w:val="1F3864"/>
          <w:sz w:val="28"/>
          <w:szCs w:val="28"/>
        </w:rPr>
        <w:t xml:space="preserve">SCENARIO </w:t>
      </w:r>
      <w:proofErr w:type="gramStart"/>
      <w:r>
        <w:rPr>
          <w:b/>
          <w:bCs/>
          <w:color w:val="1F3864"/>
          <w:sz w:val="28"/>
          <w:szCs w:val="28"/>
        </w:rPr>
        <w:t>ANALYSIS  |</w:t>
      </w:r>
      <w:proofErr w:type="gramEnd"/>
      <w:r>
        <w:rPr>
          <w:b/>
          <w:bCs/>
          <w:color w:val="1F3864"/>
          <w:sz w:val="28"/>
          <w:szCs w:val="28"/>
        </w:rPr>
        <w:t xml:space="preserve">  Binary Event: Voyage Phase 3 Topline (H1 2026)</w:t>
      </w:r>
    </w:p>
    <w:p w14:paraId="15898E2F" w14:textId="77777777" w:rsidR="00C85C20" w:rsidRDefault="00000000">
      <w:pPr>
        <w:spacing w:before="60" w:after="60"/>
      </w:pPr>
      <w:r>
        <w:rPr>
          <w:color w:val="555555"/>
        </w:rPr>
        <w:t>Unlike RCKT's known March 28 date, Voyage could read out any time in H1 2026. Holding through the readout requires conviction in the Phase 2→Phase 3 translation.</w:t>
      </w:r>
    </w:p>
    <w:p w14:paraId="592052D3" w14:textId="77777777" w:rsidR="00C85C20" w:rsidRDefault="00C85C20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500"/>
        <w:gridCol w:w="1500"/>
        <w:gridCol w:w="4160"/>
      </w:tblGrid>
      <w:tr w:rsidR="00C85C20" w14:paraId="6207C4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1659DE" w14:textId="77777777" w:rsidR="00C85C2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828519" w14:textId="77777777" w:rsidR="00C85C2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Probability (est.)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38D5B0" w14:textId="77777777" w:rsidR="00C85C2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Stock Reaction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6AB753" w14:textId="77777777" w:rsidR="00C85C2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Key Driver</w:t>
            </w:r>
          </w:p>
        </w:tc>
      </w:tr>
      <w:tr w:rsidR="00C85C20" w14:paraId="1442D0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19676" w14:textId="77777777" w:rsidR="00C85C20" w:rsidRDefault="00000000">
            <w:r>
              <w:rPr>
                <w:b/>
                <w:bCs/>
                <w:color w:val="375623"/>
                <w:sz w:val="18"/>
                <w:szCs w:val="18"/>
              </w:rPr>
              <w:t>Voyage meets primary endpoint (H1 2026)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616BE" w14:textId="77777777" w:rsidR="00C85C20" w:rsidRDefault="00000000">
            <w:pPr>
              <w:jc w:val="center"/>
            </w:pPr>
            <w:r>
              <w:rPr>
                <w:color w:val="375623"/>
                <w:sz w:val="18"/>
                <w:szCs w:val="18"/>
              </w:rPr>
              <w:t>~55–65%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343C1" w14:textId="77777777" w:rsidR="00C85C20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+60–100%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AF697" w14:textId="77777777" w:rsidR="00C85C20" w:rsidRDefault="00000000">
            <w:r>
              <w:rPr>
                <w:color w:val="000000"/>
                <w:sz w:val="18"/>
                <w:szCs w:val="18"/>
              </w:rPr>
              <w:t>Confirms Phase 2 signal in pivotal trial; NDA filing path clear; Panorama (EU/US) &amp; Emerge (MDD) become high-probability follow-ons; potential partnership interest from Big Pharma</w:t>
            </w:r>
          </w:p>
        </w:tc>
      </w:tr>
      <w:tr w:rsidR="00C85C20" w14:paraId="5DD2CD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6A46E" w14:textId="77777777" w:rsidR="00C85C20" w:rsidRDefault="00000000">
            <w:r>
              <w:rPr>
                <w:b/>
                <w:bCs/>
                <w:color w:val="BF8F00"/>
                <w:sz w:val="18"/>
                <w:szCs w:val="18"/>
              </w:rPr>
              <w:lastRenderedPageBreak/>
              <w:t>Voyage meets endpoint but FDA raises blinding concerns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F048D" w14:textId="77777777" w:rsidR="00C85C20" w:rsidRDefault="00000000">
            <w:pPr>
              <w:jc w:val="center"/>
            </w:pPr>
            <w:r>
              <w:rPr>
                <w:color w:val="BF8F00"/>
                <w:sz w:val="18"/>
                <w:szCs w:val="18"/>
              </w:rPr>
              <w:t>~15%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E60F9" w14:textId="77777777" w:rsidR="00C85C20" w:rsidRDefault="00000000">
            <w:pPr>
              <w:jc w:val="center"/>
            </w:pPr>
            <w:r>
              <w:rPr>
                <w:b/>
                <w:bCs/>
                <w:color w:val="BF8F00"/>
                <w:sz w:val="18"/>
                <w:szCs w:val="18"/>
              </w:rPr>
              <w:t>+10–30%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B22CC" w14:textId="77777777" w:rsidR="00C85C20" w:rsidRDefault="00000000">
            <w:r>
              <w:rPr>
                <w:color w:val="000000"/>
                <w:sz w:val="18"/>
                <w:szCs w:val="18"/>
              </w:rPr>
              <w:t>Data positive but FDA issues letter requiring additional analyses or supporting study; NDA timeline slips 6–12 months; company must respond with functional unblinding sensitivity analyses</w:t>
            </w:r>
          </w:p>
        </w:tc>
      </w:tr>
      <w:tr w:rsidR="00C85C20" w14:paraId="55A52B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4C088" w14:textId="77777777" w:rsidR="00C85C20" w:rsidRDefault="00000000">
            <w:r>
              <w:rPr>
                <w:b/>
                <w:bCs/>
                <w:color w:val="C00000"/>
                <w:sz w:val="18"/>
                <w:szCs w:val="18"/>
              </w:rPr>
              <w:t>Voyage misses primary endpoint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B152B" w14:textId="77777777" w:rsidR="00C85C20" w:rsidRDefault="00000000">
            <w:pPr>
              <w:jc w:val="center"/>
            </w:pPr>
            <w:r>
              <w:rPr>
                <w:color w:val="C00000"/>
                <w:sz w:val="18"/>
                <w:szCs w:val="18"/>
              </w:rPr>
              <w:t>~20–25%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804E4" w14:textId="77777777" w:rsidR="00C85C20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–50–70%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05262" w14:textId="77777777" w:rsidR="00C85C20" w:rsidRDefault="00000000">
            <w:r>
              <w:rPr>
                <w:color w:val="000000"/>
                <w:sz w:val="18"/>
                <w:szCs w:val="18"/>
              </w:rPr>
              <w:t>Despite strong Phase 2 data, Phase 2→3 translation failure; high placebo response rate in Phase 3 is the most likely culprit (common in psychiatric trials); Panorama and Emerge remain but re-rating to development-stage company</w:t>
            </w:r>
          </w:p>
        </w:tc>
      </w:tr>
      <w:tr w:rsidR="00C85C20" w14:paraId="1A1960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12C02" w14:textId="77777777" w:rsidR="00C85C20" w:rsidRDefault="00000000">
            <w:r>
              <w:rPr>
                <w:b/>
                <w:bCs/>
                <w:color w:val="BF8F00"/>
                <w:sz w:val="18"/>
                <w:szCs w:val="18"/>
              </w:rPr>
              <w:t>Voyage meets endpoint but DEA delays rescheduling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22E55" w14:textId="77777777" w:rsidR="00C85C20" w:rsidRDefault="00000000">
            <w:pPr>
              <w:jc w:val="center"/>
            </w:pPr>
            <w:r>
              <w:rPr>
                <w:color w:val="BF8F00"/>
                <w:sz w:val="18"/>
                <w:szCs w:val="18"/>
              </w:rPr>
              <w:t>~5–10%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8320A" w14:textId="77777777" w:rsidR="00C85C20" w:rsidRDefault="00000000">
            <w:pPr>
              <w:jc w:val="center"/>
            </w:pPr>
            <w:r>
              <w:rPr>
                <w:b/>
                <w:bCs/>
                <w:color w:val="BF8F00"/>
                <w:sz w:val="18"/>
                <w:szCs w:val="18"/>
              </w:rPr>
              <w:t>–10–20%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4AE8E" w14:textId="77777777" w:rsidR="00C85C20" w:rsidRDefault="00000000">
            <w:r>
              <w:rPr>
                <w:color w:val="000000"/>
                <w:sz w:val="18"/>
                <w:szCs w:val="18"/>
              </w:rPr>
              <w:t>FDA approves but DEA takes longer than 90 days (regulatory/political risk); drug approved but not commercially available; current administration support reduces this risk materially</w:t>
            </w:r>
          </w:p>
        </w:tc>
      </w:tr>
    </w:tbl>
    <w:p w14:paraId="5A94B2C0" w14:textId="77777777" w:rsidR="00C85C20" w:rsidRDefault="00000000">
      <w:pPr>
        <w:spacing w:before="160" w:after="80"/>
      </w:pPr>
      <w:r>
        <w:rPr>
          <w:b/>
          <w:bCs/>
          <w:color w:val="1F3864"/>
        </w:rPr>
        <w:t xml:space="preserve">Position sizing logic: </w:t>
      </w:r>
      <w:r>
        <w:t xml:space="preserve">At 1% Starter position, a Voyage miss costs ~0.5–0.7% of portfolio. A positive readout at that size delivers ~0.6–1.0% portfolio gain with a path to re-rating. Unlike RCKT, the catalyst is weeks-to-months away (not days), so the position can be built more deliberately. </w:t>
      </w:r>
      <w:proofErr w:type="spellStart"/>
      <w:r>
        <w:t>Definium's</w:t>
      </w:r>
      <w:proofErr w:type="spellEnd"/>
      <w:r>
        <w:t xml:space="preserve"> $452M cash means no near-term financing overhang even in a miss scenario — providing some floor on valuation.</w:t>
      </w:r>
    </w:p>
    <w:p w14:paraId="159A4D57" w14:textId="77777777" w:rsidR="00C85C20" w:rsidRDefault="00000000">
      <w:pPr>
        <w:spacing w:before="280" w:after="100"/>
      </w:pPr>
      <w:r>
        <w:rPr>
          <w:b/>
          <w:bCs/>
          <w:color w:val="1F3864"/>
          <w:sz w:val="28"/>
          <w:szCs w:val="28"/>
        </w:rPr>
        <w:t>RED FLAG CHECKLIST</w:t>
      </w:r>
    </w:p>
    <w:p w14:paraId="5B95B10F" w14:textId="77777777" w:rsidR="00C85C20" w:rsidRDefault="00C85C20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1000"/>
        <w:gridCol w:w="3680"/>
      </w:tblGrid>
      <w:tr w:rsidR="00C85C20" w14:paraId="2AD80B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B67DF8" w14:textId="77777777" w:rsidR="00C85C2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Red Flag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0B4DB0" w14:textId="77777777" w:rsidR="00C85C2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B0346D" w14:textId="77777777" w:rsidR="00C85C2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C85C20" w14:paraId="50D0DB2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F6FB7" w14:textId="77777777" w:rsidR="00C85C20" w:rsidRDefault="00000000">
            <w:r>
              <w:rPr>
                <w:color w:val="000000"/>
                <w:sz w:val="18"/>
                <w:szCs w:val="18"/>
              </w:rPr>
              <w:t>Changing primary endpoints mid-development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D95F2" w14:textId="77777777" w:rsidR="00C85C20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✓ Clear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E5648" w14:textId="77777777" w:rsidR="00C85C20" w:rsidRDefault="00000000">
            <w:r>
              <w:rPr>
                <w:color w:val="000000"/>
                <w:sz w:val="18"/>
                <w:szCs w:val="18"/>
              </w:rPr>
              <w:t xml:space="preserve">HAM-A </w:t>
            </w:r>
            <w:proofErr w:type="gramStart"/>
            <w:r>
              <w:rPr>
                <w:color w:val="000000"/>
                <w:sz w:val="18"/>
                <w:szCs w:val="18"/>
              </w:rPr>
              <w:t>at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Week 4 has been the consistent primary endpoint; no changes post-initiation</w:t>
            </w:r>
          </w:p>
        </w:tc>
      </w:tr>
      <w:tr w:rsidR="00C85C20" w14:paraId="72039A0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53113" w14:textId="77777777" w:rsidR="00C85C20" w:rsidRDefault="00000000">
            <w:r>
              <w:rPr>
                <w:color w:val="000000"/>
                <w:sz w:val="18"/>
                <w:szCs w:val="18"/>
              </w:rPr>
              <w:t>Overreliance on subgroup/post-hoc signals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89D09" w14:textId="77777777" w:rsidR="00C85C20" w:rsidRDefault="00000000">
            <w:pPr>
              <w:jc w:val="center"/>
            </w:pPr>
            <w:r>
              <w:rPr>
                <w:b/>
                <w:bCs/>
                <w:color w:val="BF8F00"/>
                <w:sz w:val="18"/>
                <w:szCs w:val="18"/>
              </w:rPr>
              <w:t>⚠ Watch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D5B48" w14:textId="77777777" w:rsidR="00C85C20" w:rsidRDefault="00000000">
            <w:r>
              <w:rPr>
                <w:color w:val="000000"/>
                <w:sz w:val="18"/>
                <w:szCs w:val="18"/>
              </w:rPr>
              <w:t>Phase 2 showed dose-response; 100µg selected as optimal dose via MCP-Mod analysis (pre-specified). However, psychiatric trial populations are inherently heterogeneous — Phase 3 may reveal population-level dilution of effect. Monitor subgroup data at readout.</w:t>
            </w:r>
          </w:p>
        </w:tc>
      </w:tr>
      <w:tr w:rsidR="00C85C20" w14:paraId="48CC4DE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97D61" w14:textId="77777777" w:rsidR="00C85C20" w:rsidRDefault="00000000">
            <w:r>
              <w:rPr>
                <w:color w:val="000000"/>
                <w:sz w:val="18"/>
                <w:szCs w:val="18"/>
              </w:rPr>
              <w:t>Platform story with weak lead-asset economics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B9C93" w14:textId="77777777" w:rsidR="00C85C20" w:rsidRDefault="00000000">
            <w:pPr>
              <w:jc w:val="center"/>
            </w:pPr>
            <w:r>
              <w:rPr>
                <w:b/>
                <w:bCs/>
                <w:color w:val="BF8F00"/>
                <w:sz w:val="18"/>
                <w:szCs w:val="18"/>
              </w:rPr>
              <w:t>⚠ Watch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27EEF" w14:textId="77777777" w:rsidR="00C85C20" w:rsidRDefault="00000000">
            <w:proofErr w:type="spellStart"/>
            <w:r>
              <w:rPr>
                <w:color w:val="000000"/>
                <w:sz w:val="18"/>
                <w:szCs w:val="18"/>
              </w:rPr>
              <w:t>Definium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has THREE Ph3 readouts in 2026 (GAD Voyage, GAD Panorama, MDD Emerge). If </w:t>
            </w:r>
            <w:proofErr w:type="gramStart"/>
            <w:r>
              <w:rPr>
                <w:color w:val="000000"/>
                <w:sz w:val="18"/>
                <w:szCs w:val="18"/>
              </w:rPr>
              <w:t>lead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GAD program succeeds, MDD is a second blockbuster opportunity. But if Voyage fails, the whole platform re-rates down including MDD. Over-reliance on a single compound (DT120) across multiple indications is a concentration risk.</w:t>
            </w:r>
          </w:p>
        </w:tc>
      </w:tr>
      <w:tr w:rsidR="00C85C20" w14:paraId="274A544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5376F" w14:textId="77777777" w:rsidR="00C85C20" w:rsidRDefault="00000000">
            <w:r>
              <w:rPr>
                <w:color w:val="000000"/>
                <w:sz w:val="18"/>
                <w:szCs w:val="18"/>
              </w:rPr>
              <w:t>Cash &lt; 12 months with no near-term catalytic data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C9715" w14:textId="77777777" w:rsidR="00C85C20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✓ Clear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E0D6" w14:textId="77777777" w:rsidR="00C85C20" w:rsidRDefault="00000000">
            <w:r>
              <w:rPr>
                <w:color w:val="000000"/>
                <w:sz w:val="18"/>
                <w:szCs w:val="18"/>
              </w:rPr>
              <w:t>$452M cash; runway to 2027+; three Phase 3 readouts coming in 2026 = multiple near-term value catalysts before any capital need</w:t>
            </w:r>
          </w:p>
        </w:tc>
      </w:tr>
      <w:tr w:rsidR="00C85C20" w14:paraId="4E668D2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FD5CC" w14:textId="77777777" w:rsidR="00C85C20" w:rsidRDefault="00000000">
            <w:r>
              <w:rPr>
                <w:color w:val="000000"/>
                <w:sz w:val="18"/>
                <w:szCs w:val="18"/>
              </w:rPr>
              <w:t>IP built on narrow claims with obvious design-arounds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9E12E" w14:textId="77777777" w:rsidR="00C85C20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⚠ Flag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07507" w14:textId="77777777" w:rsidR="00C85C20" w:rsidRDefault="00000000">
            <w:r>
              <w:rPr>
                <w:color w:val="000000"/>
                <w:sz w:val="18"/>
                <w:szCs w:val="18"/>
              </w:rPr>
              <w:t xml:space="preserve">This IS a valid flag. LSD compound is </w:t>
            </w:r>
            <w:proofErr w:type="gramStart"/>
            <w:r>
              <w:rPr>
                <w:color w:val="000000"/>
                <w:sz w:val="18"/>
                <w:szCs w:val="18"/>
              </w:rPr>
              <w:t>off-patent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. The ODT formulation patent (USPN 12,036,220, exp. 2041) is method-of-use + formulation. Competitors could develop alternative LSD formulations — but doing so requires clinical validation, </w:t>
            </w:r>
            <w:r>
              <w:rPr>
                <w:color w:val="000000"/>
                <w:sz w:val="18"/>
                <w:szCs w:val="18"/>
              </w:rPr>
              <w:lastRenderedPageBreak/>
              <w:t>which is years and hundreds of millions away. Not an immediate threat but a real long-term IP vulnerability.</w:t>
            </w:r>
          </w:p>
        </w:tc>
      </w:tr>
    </w:tbl>
    <w:p w14:paraId="4F41AB2B" w14:textId="77777777" w:rsidR="00C85C20" w:rsidRDefault="00C85C20">
      <w:pPr>
        <w:pBdr>
          <w:bottom w:val="single" w:sz="4" w:space="1" w:color="2E75B6"/>
        </w:pBdr>
        <w:spacing w:before="80" w:after="80"/>
      </w:pPr>
    </w:p>
    <w:p w14:paraId="25506B96" w14:textId="77777777" w:rsidR="00C85C20" w:rsidRDefault="00000000">
      <w:pPr>
        <w:spacing w:before="280" w:after="100"/>
      </w:pPr>
      <w:r>
        <w:rPr>
          <w:b/>
          <w:bCs/>
          <w:color w:val="1F3864"/>
          <w:sz w:val="28"/>
          <w:szCs w:val="28"/>
        </w:rPr>
        <w:t>SIDE-BY-SIDE: RCKT vs. DFTX</w:t>
      </w:r>
    </w:p>
    <w:p w14:paraId="193C209A" w14:textId="77777777" w:rsidR="00C85C20" w:rsidRDefault="00000000">
      <w:pPr>
        <w:spacing w:before="60" w:after="60"/>
      </w:pPr>
      <w:r>
        <w:rPr>
          <w:color w:val="555555"/>
        </w:rPr>
        <w:t>Both are Go (Starter) positions but with materially different risk/reward profiles and timing.</w:t>
      </w:r>
    </w:p>
    <w:p w14:paraId="32BB75E2" w14:textId="77777777" w:rsidR="00C85C20" w:rsidRDefault="00C85C20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C85C20" w14:paraId="34B290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A632F2" w14:textId="77777777" w:rsidR="00C85C2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Dimension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FD5191" w14:textId="77777777" w:rsidR="00C85C2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RCKT / KRESLADI (LAD-I gene therapy)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2F17D9" w14:textId="77777777" w:rsidR="00C85C2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DFTX / DT120 (GAD psychedelic)</w:t>
            </w:r>
          </w:p>
        </w:tc>
      </w:tr>
      <w:tr w:rsidR="00C85C20" w14:paraId="626005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154CE" w14:textId="77777777" w:rsidR="00C85C20" w:rsidRDefault="00000000">
            <w:r>
              <w:rPr>
                <w:b/>
                <w:bCs/>
                <w:color w:val="000000"/>
                <w:sz w:val="18"/>
                <w:szCs w:val="18"/>
              </w:rPr>
              <w:t>Composite Score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F297E" w14:textId="77777777" w:rsidR="00C85C20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4.2 / 5.0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7ABA0" w14:textId="77777777" w:rsidR="00C85C20" w:rsidRDefault="00000000">
            <w:pPr>
              <w:jc w:val="center"/>
            </w:pPr>
            <w:r>
              <w:rPr>
                <w:b/>
                <w:bCs/>
                <w:color w:val="BF8F00"/>
                <w:sz w:val="18"/>
                <w:szCs w:val="18"/>
              </w:rPr>
              <w:t>3.8 / 5.0</w:t>
            </w:r>
          </w:p>
        </w:tc>
      </w:tr>
      <w:tr w:rsidR="00C85C20" w14:paraId="0A29AD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75F26" w14:textId="77777777" w:rsidR="00C85C20" w:rsidRDefault="00000000">
            <w:r>
              <w:rPr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9F458" w14:textId="77777777" w:rsidR="00C85C20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GO (Starter → Core on approval)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FAF02" w14:textId="77777777" w:rsidR="00C85C20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GO (Starter → Core on Voyage data)</w:t>
            </w:r>
          </w:p>
        </w:tc>
      </w:tr>
      <w:tr w:rsidR="00C85C20" w14:paraId="380A10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D75A6" w14:textId="77777777" w:rsidR="00C85C20" w:rsidRDefault="00000000">
            <w:r>
              <w:rPr>
                <w:b/>
                <w:bCs/>
                <w:color w:val="000000"/>
                <w:sz w:val="18"/>
                <w:szCs w:val="18"/>
              </w:rPr>
              <w:t>Binary event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75BE3" w14:textId="77777777" w:rsidR="00C85C20" w:rsidRDefault="00000000">
            <w:r>
              <w:rPr>
                <w:b/>
                <w:bCs/>
                <w:color w:val="C00000"/>
                <w:sz w:val="18"/>
                <w:szCs w:val="18"/>
              </w:rPr>
              <w:t>PDUFA March 28 (7 days)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CF399" w14:textId="77777777" w:rsidR="00C85C20" w:rsidRDefault="00000000">
            <w:r>
              <w:rPr>
                <w:b/>
                <w:bCs/>
                <w:color w:val="BF8F00"/>
                <w:sz w:val="18"/>
                <w:szCs w:val="18"/>
              </w:rPr>
              <w:t>Voyage Phase 3 topline H1 2026 (weeks–months)</w:t>
            </w:r>
          </w:p>
        </w:tc>
      </w:tr>
      <w:tr w:rsidR="00C85C20" w14:paraId="284AE2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A33EE" w14:textId="77777777" w:rsidR="00C85C20" w:rsidRDefault="00000000">
            <w:r>
              <w:rPr>
                <w:b/>
                <w:bCs/>
                <w:color w:val="000000"/>
                <w:sz w:val="18"/>
                <w:szCs w:val="18"/>
              </w:rPr>
              <w:t>Market size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71F29" w14:textId="77777777" w:rsidR="00C85C20" w:rsidRDefault="00000000">
            <w:r>
              <w:rPr>
                <w:color w:val="000000"/>
                <w:sz w:val="18"/>
                <w:szCs w:val="18"/>
              </w:rPr>
              <w:t>Ultra-rare (&lt;100 pts/yr globally); ~$150-300M peak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31860" w14:textId="77777777" w:rsidR="00C85C20" w:rsidRDefault="00000000">
            <w:r>
              <w:rPr>
                <w:color w:val="000000"/>
                <w:sz w:val="18"/>
                <w:szCs w:val="18"/>
              </w:rPr>
              <w:t>Large validated ($2.5B+); billions of potential if broad uptake</w:t>
            </w:r>
          </w:p>
        </w:tc>
      </w:tr>
      <w:tr w:rsidR="00C85C20" w14:paraId="706D9B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AA1D6" w14:textId="77777777" w:rsidR="00C85C20" w:rsidRDefault="00000000">
            <w:r>
              <w:rPr>
                <w:b/>
                <w:bCs/>
                <w:color w:val="000000"/>
                <w:sz w:val="18"/>
                <w:szCs w:val="18"/>
              </w:rPr>
              <w:t>Science quality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F7458" w14:textId="77777777" w:rsidR="00C85C20" w:rsidRDefault="00000000">
            <w:r>
              <w:rPr>
                <w:color w:val="000000"/>
                <w:sz w:val="18"/>
                <w:szCs w:val="18"/>
              </w:rPr>
              <w:t>5/5 — validated monogenic target; 100% OS in NEJM trial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F397F" w14:textId="77777777" w:rsidR="00C85C20" w:rsidRDefault="00000000">
            <w:r>
              <w:rPr>
                <w:color w:val="000000"/>
                <w:sz w:val="18"/>
                <w:szCs w:val="18"/>
              </w:rPr>
              <w:t>4/5 — strong JAMA data; blinding methodology is an open question</w:t>
            </w:r>
          </w:p>
        </w:tc>
      </w:tr>
      <w:tr w:rsidR="00C85C20" w14:paraId="528DD2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DBE37" w14:textId="77777777" w:rsidR="00C85C20" w:rsidRDefault="00000000">
            <w:r>
              <w:rPr>
                <w:b/>
                <w:bCs/>
                <w:color w:val="000000"/>
                <w:sz w:val="18"/>
                <w:szCs w:val="18"/>
              </w:rPr>
              <w:t>Cash runway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72251" w14:textId="77777777" w:rsidR="00C85C20" w:rsidRDefault="00000000">
            <w:r>
              <w:rPr>
                <w:color w:val="BF8F00"/>
                <w:sz w:val="18"/>
                <w:szCs w:val="18"/>
              </w:rPr>
              <w:t>~15–16 months (borderline); PRV bridges if approved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C4B34" w14:textId="77777777" w:rsidR="00C85C20" w:rsidRDefault="00000000">
            <w:r>
              <w:rPr>
                <w:color w:val="375623"/>
                <w:sz w:val="18"/>
                <w:szCs w:val="18"/>
              </w:rPr>
              <w:t>$452M; runway to 2027+ (strong)</w:t>
            </w:r>
          </w:p>
        </w:tc>
      </w:tr>
      <w:tr w:rsidR="00C85C20" w14:paraId="6AA69B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5ACDF" w14:textId="77777777" w:rsidR="00C85C20" w:rsidRDefault="00000000">
            <w:r>
              <w:rPr>
                <w:b/>
                <w:bCs/>
                <w:color w:val="000000"/>
                <w:sz w:val="18"/>
                <w:szCs w:val="18"/>
              </w:rPr>
              <w:t>IP moat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59F49" w14:textId="77777777" w:rsidR="00C85C20" w:rsidRDefault="00000000">
            <w:r>
              <w:rPr>
                <w:color w:val="000000"/>
                <w:sz w:val="18"/>
                <w:szCs w:val="18"/>
              </w:rPr>
              <w:t>Orphan Drug (7 yr US exclusivity); in-licensed from CIEMAT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C76CE" w14:textId="77777777" w:rsidR="00C85C20" w:rsidRDefault="00000000">
            <w:r>
              <w:rPr>
                <w:color w:val="000000"/>
                <w:sz w:val="18"/>
                <w:szCs w:val="18"/>
              </w:rPr>
              <w:t xml:space="preserve">Formulation patent exp. 2041; compound </w:t>
            </w:r>
            <w:proofErr w:type="gramStart"/>
            <w:r>
              <w:rPr>
                <w:color w:val="000000"/>
                <w:sz w:val="18"/>
                <w:szCs w:val="18"/>
              </w:rPr>
              <w:t>off-patent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(weaker)</w:t>
            </w:r>
          </w:p>
        </w:tc>
      </w:tr>
      <w:tr w:rsidR="00C85C20" w14:paraId="1D85B8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5F506" w14:textId="77777777" w:rsidR="00C85C20" w:rsidRDefault="00000000">
            <w:r>
              <w:rPr>
                <w:b/>
                <w:bCs/>
                <w:color w:val="000000"/>
                <w:sz w:val="18"/>
                <w:szCs w:val="18"/>
              </w:rPr>
              <w:t>Key risk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5915D" w14:textId="77777777" w:rsidR="00C85C20" w:rsidRDefault="00000000">
            <w:r>
              <w:rPr>
                <w:color w:val="000000"/>
                <w:sz w:val="18"/>
                <w:szCs w:val="18"/>
              </w:rPr>
              <w:t>Second CMC-related CRL (manufacturing)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680BE" w14:textId="77777777" w:rsidR="00C85C20" w:rsidRDefault="00000000">
            <w:r>
              <w:rPr>
                <w:color w:val="000000"/>
                <w:sz w:val="18"/>
                <w:szCs w:val="18"/>
              </w:rPr>
              <w:t>Phase 3 miss due to high placebo rate (psychiatric trial risk)</w:t>
            </w:r>
          </w:p>
        </w:tc>
      </w:tr>
      <w:tr w:rsidR="00C85C20" w14:paraId="6A228F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DA7BD" w14:textId="77777777" w:rsidR="00C85C20" w:rsidRDefault="00000000">
            <w:r>
              <w:rPr>
                <w:b/>
                <w:bCs/>
                <w:color w:val="000000"/>
                <w:sz w:val="18"/>
                <w:szCs w:val="18"/>
              </w:rPr>
              <w:t>Upside on approval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8D818" w14:textId="77777777" w:rsidR="00C85C20" w:rsidRDefault="00000000">
            <w:r>
              <w:rPr>
                <w:color w:val="000000"/>
                <w:sz w:val="18"/>
                <w:szCs w:val="18"/>
              </w:rPr>
              <w:t>+60–120%; PRV + commercial launch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71A24" w14:textId="77777777" w:rsidR="00C85C20" w:rsidRDefault="00000000">
            <w:r>
              <w:rPr>
                <w:color w:val="000000"/>
                <w:sz w:val="18"/>
                <w:szCs w:val="18"/>
              </w:rPr>
              <w:t>+60–100%; platform re-rating + Big Pharma partnership potential</w:t>
            </w:r>
          </w:p>
        </w:tc>
      </w:tr>
    </w:tbl>
    <w:p w14:paraId="4AEDB277" w14:textId="77777777" w:rsidR="00C85C20" w:rsidRDefault="00000000">
      <w:pPr>
        <w:spacing w:before="160" w:after="60"/>
      </w:pPr>
      <w:r>
        <w:rPr>
          <w:b/>
          <w:bCs/>
          <w:color w:val="1F3864"/>
        </w:rPr>
        <w:t xml:space="preserve">Portfolio perspective: </w:t>
      </w:r>
      <w:r>
        <w:t xml:space="preserve">RCKT and DFTX </w:t>
      </w:r>
      <w:proofErr w:type="gramStart"/>
      <w:r>
        <w:t>are</w:t>
      </w:r>
      <w:proofErr w:type="gramEnd"/>
      <w:r>
        <w:t xml:space="preserve"> uncorrelated risks. RCKT is a 7-day regulatory event with manufacturing risk; DFTX is a </w:t>
      </w:r>
      <w:proofErr w:type="gramStart"/>
      <w:r>
        <w:t>weeks</w:t>
      </w:r>
      <w:proofErr w:type="gramEnd"/>
      <w:r>
        <w:t xml:space="preserve">-to-months clinical readout with blinding/placebo risk. Owning Starter positions in both is not doubling down on a single bet — the failure modes are independent. RCKT's binary </w:t>
      </w:r>
      <w:proofErr w:type="gramStart"/>
      <w:r>
        <w:t>resolves</w:t>
      </w:r>
      <w:proofErr w:type="gramEnd"/>
      <w:r>
        <w:t xml:space="preserve"> first.</w:t>
      </w:r>
    </w:p>
    <w:p w14:paraId="1BE44CEF" w14:textId="77777777" w:rsidR="00C85C20" w:rsidRDefault="00C85C20">
      <w:pPr>
        <w:pBdr>
          <w:bottom w:val="single" w:sz="4" w:space="1" w:color="2E75B6"/>
        </w:pBdr>
        <w:spacing w:before="80" w:after="80"/>
      </w:pPr>
    </w:p>
    <w:p w14:paraId="20682E2A" w14:textId="77777777" w:rsidR="00C85C20" w:rsidRDefault="00000000">
      <w:pPr>
        <w:spacing w:before="200" w:after="100"/>
      </w:pPr>
      <w:r>
        <w:rPr>
          <w:b/>
          <w:bCs/>
          <w:color w:val="1F3864"/>
          <w:sz w:val="28"/>
          <w:szCs w:val="28"/>
        </w:rPr>
        <w:t>FINAL VERDICT &amp; ACTION PLAN</w:t>
      </w:r>
    </w:p>
    <w:p w14:paraId="57BFC3B8" w14:textId="77777777" w:rsidR="00C85C20" w:rsidRDefault="00000000">
      <w:pPr>
        <w:shd w:val="clear" w:color="auto" w:fill="E2EFDA"/>
        <w:spacing w:before="80" w:after="80"/>
      </w:pPr>
      <w:r>
        <w:rPr>
          <w:b/>
          <w:bCs/>
          <w:color w:val="375623"/>
          <w:sz w:val="22"/>
          <w:szCs w:val="22"/>
        </w:rPr>
        <w:t>DECISION:  GO (</w:t>
      </w:r>
      <w:proofErr w:type="gramStart"/>
      <w:r>
        <w:rPr>
          <w:b/>
          <w:bCs/>
          <w:color w:val="375623"/>
          <w:sz w:val="22"/>
          <w:szCs w:val="22"/>
        </w:rPr>
        <w:t>STARTER)  |</w:t>
      </w:r>
      <w:proofErr w:type="gramEnd"/>
      <w:r>
        <w:rPr>
          <w:b/>
          <w:bCs/>
          <w:color w:val="375623"/>
          <w:sz w:val="22"/>
          <w:szCs w:val="22"/>
        </w:rPr>
        <w:t xml:space="preserve">  0.5–1.5% of </w:t>
      </w:r>
      <w:proofErr w:type="gramStart"/>
      <w:r>
        <w:rPr>
          <w:b/>
          <w:bCs/>
          <w:color w:val="375623"/>
          <w:sz w:val="22"/>
          <w:szCs w:val="22"/>
        </w:rPr>
        <w:t>portfolio  |</w:t>
      </w:r>
      <w:proofErr w:type="gramEnd"/>
      <w:r>
        <w:rPr>
          <w:b/>
          <w:bCs/>
          <w:color w:val="375623"/>
          <w:sz w:val="22"/>
          <w:szCs w:val="22"/>
        </w:rPr>
        <w:t xml:space="preserve">  Binary event H1 2026</w:t>
      </w:r>
    </w:p>
    <w:p w14:paraId="72C4481A" w14:textId="77777777" w:rsidR="00C85C20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222222"/>
        </w:rPr>
        <w:t xml:space="preserve">Pre-Voyage (now → H1 2026 readout): </w:t>
      </w:r>
      <w:r>
        <w:rPr>
          <w:color w:val="333333"/>
        </w:rPr>
        <w:t xml:space="preserve">Initiate a Starter position (0.5–1.5%). The well-funded balance sheet ($452M) reduces urgency, but Phase 2b→3 translation in psychiatry historically shows regression to the mean in effect size. Do not </w:t>
      </w:r>
      <w:proofErr w:type="gramStart"/>
      <w:r>
        <w:rPr>
          <w:color w:val="333333"/>
        </w:rPr>
        <w:t>over-weight</w:t>
      </w:r>
      <w:proofErr w:type="gramEnd"/>
      <w:r>
        <w:rPr>
          <w:color w:val="333333"/>
        </w:rPr>
        <w:t xml:space="preserve"> before the pivotal data. Average in gradually rather than buying all at once.</w:t>
      </w:r>
    </w:p>
    <w:p w14:paraId="6F0EFA9D" w14:textId="77777777" w:rsidR="00C85C20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222222"/>
        </w:rPr>
        <w:t xml:space="preserve">On positive Voyage readout: </w:t>
      </w:r>
      <w:r>
        <w:rPr>
          <w:color w:val="333333"/>
        </w:rPr>
        <w:t>Upgrade to Core (2–4%). Watch for FDA's written response regarding blinding/design — that is the first place a CRL signal would appear. If clean, position for NDA filing, Panorama (EU/US), and Emerge (MDD) as three additional value catalysts through 2027. Monitor for Big Pharma partnership or acquisition interest.</w:t>
      </w:r>
    </w:p>
    <w:p w14:paraId="2CB14BE7" w14:textId="77777777" w:rsidR="00C85C20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222222"/>
        </w:rPr>
        <w:t xml:space="preserve">On Voyage miss: </w:t>
      </w:r>
      <w:r>
        <w:rPr>
          <w:color w:val="333333"/>
        </w:rPr>
        <w:t xml:space="preserve">Hold reduced position only if company provides a clear mechanistic explanation (e.g., high placebo rate in a specific subgroup, not a drug effect failure). Exit fully if </w:t>
      </w:r>
      <w:proofErr w:type="spellStart"/>
      <w:r>
        <w:rPr>
          <w:color w:val="333333"/>
        </w:rPr>
        <w:t>Definium</w:t>
      </w:r>
      <w:proofErr w:type="spellEnd"/>
      <w:r>
        <w:rPr>
          <w:color w:val="333333"/>
        </w:rPr>
        <w:t xml:space="preserve"> cannot credibly explain the failure or does not have an immediate clinical path forward. Panorama and Emerge data </w:t>
      </w:r>
      <w:proofErr w:type="gramStart"/>
      <w:r>
        <w:rPr>
          <w:color w:val="333333"/>
        </w:rPr>
        <w:t>still</w:t>
      </w:r>
      <w:proofErr w:type="gramEnd"/>
      <w:r>
        <w:rPr>
          <w:color w:val="333333"/>
        </w:rPr>
        <w:t xml:space="preserve"> pending, but re-rating will be severe.</w:t>
      </w:r>
    </w:p>
    <w:p w14:paraId="28B9A1EE" w14:textId="77777777" w:rsidR="00C85C20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222222"/>
        </w:rPr>
        <w:lastRenderedPageBreak/>
        <w:t xml:space="preserve">Watch — Scanner Update Required: </w:t>
      </w:r>
      <w:r>
        <w:rPr>
          <w:color w:val="333333"/>
        </w:rPr>
        <w:t>MNMD is now DFTX (ticker changed January 15, 2026). The drug is now DT120, not MM120. Update your Biotech Scuttlebutt Scanner watchlist and any future reports to reflect DFTX / DT120.</w:t>
      </w:r>
    </w:p>
    <w:p w14:paraId="7485E619" w14:textId="77777777" w:rsidR="00C85C20" w:rsidRDefault="00000000">
      <w:pPr>
        <w:pBdr>
          <w:top w:val="single" w:sz="4" w:space="4" w:color="CCCCCC"/>
          <w:bottom w:val="single" w:sz="4" w:space="4" w:color="CCCCCC"/>
        </w:pBdr>
        <w:shd w:val="clear" w:color="auto" w:fill="F5F5F5"/>
        <w:spacing w:before="200" w:after="80"/>
      </w:pPr>
      <w:r>
        <w:rPr>
          <w:b/>
          <w:bCs/>
          <w:color w:val="444444"/>
          <w:sz w:val="18"/>
          <w:szCs w:val="18"/>
        </w:rPr>
        <w:t xml:space="preserve">DISCLAIMER: </w:t>
      </w:r>
      <w:r>
        <w:rPr>
          <w:color w:val="777777"/>
          <w:sz w:val="16"/>
          <w:szCs w:val="16"/>
        </w:rPr>
        <w:t xml:space="preserve">This analysis applies the 3+1 Filter™ framework and is for informational purposes only. Not investment advice. Biotech investing involves substantial risk. Psychedelic medicine is a novel regulatory category with additional risks including DEA scheduling uncertainty. Sources: </w:t>
      </w:r>
      <w:proofErr w:type="spellStart"/>
      <w:r>
        <w:rPr>
          <w:color w:val="777777"/>
          <w:sz w:val="16"/>
          <w:szCs w:val="16"/>
        </w:rPr>
        <w:t>BusinessWire</w:t>
      </w:r>
      <w:proofErr w:type="spellEnd"/>
      <w:r>
        <w:rPr>
          <w:color w:val="777777"/>
          <w:sz w:val="16"/>
          <w:szCs w:val="16"/>
        </w:rPr>
        <w:t xml:space="preserve">; JAMA (Phase 2b results, Oct 2025); </w:t>
      </w:r>
      <w:proofErr w:type="spellStart"/>
      <w:r>
        <w:rPr>
          <w:color w:val="777777"/>
          <w:sz w:val="16"/>
          <w:szCs w:val="16"/>
        </w:rPr>
        <w:t>Definium</w:t>
      </w:r>
      <w:proofErr w:type="spellEnd"/>
      <w:r>
        <w:rPr>
          <w:color w:val="777777"/>
          <w:sz w:val="16"/>
          <w:szCs w:val="16"/>
        </w:rPr>
        <w:t xml:space="preserve"> Therapeutics IR (definiumtx.com); </w:t>
      </w:r>
      <w:proofErr w:type="spellStart"/>
      <w:r>
        <w:rPr>
          <w:color w:val="777777"/>
          <w:sz w:val="16"/>
          <w:szCs w:val="16"/>
        </w:rPr>
        <w:t>FiercePharma</w:t>
      </w:r>
      <w:proofErr w:type="spellEnd"/>
      <w:r>
        <w:rPr>
          <w:color w:val="777777"/>
          <w:sz w:val="16"/>
          <w:szCs w:val="16"/>
        </w:rPr>
        <w:t xml:space="preserve">; </w:t>
      </w:r>
      <w:proofErr w:type="spellStart"/>
      <w:r>
        <w:rPr>
          <w:color w:val="777777"/>
          <w:sz w:val="16"/>
          <w:szCs w:val="16"/>
        </w:rPr>
        <w:t>BioSpace</w:t>
      </w:r>
      <w:proofErr w:type="spellEnd"/>
      <w:r>
        <w:rPr>
          <w:color w:val="777777"/>
          <w:sz w:val="16"/>
          <w:szCs w:val="16"/>
        </w:rPr>
        <w:t xml:space="preserve">; </w:t>
      </w:r>
      <w:proofErr w:type="spellStart"/>
      <w:r>
        <w:rPr>
          <w:color w:val="777777"/>
          <w:sz w:val="16"/>
          <w:szCs w:val="16"/>
        </w:rPr>
        <w:t>StockTitan</w:t>
      </w:r>
      <w:proofErr w:type="spellEnd"/>
      <w:r>
        <w:rPr>
          <w:color w:val="777777"/>
          <w:sz w:val="16"/>
          <w:szCs w:val="16"/>
        </w:rPr>
        <w:t xml:space="preserve">; Yahoo Finance; </w:t>
      </w:r>
      <w:proofErr w:type="spellStart"/>
      <w:r>
        <w:rPr>
          <w:color w:val="777777"/>
          <w:sz w:val="16"/>
          <w:szCs w:val="16"/>
        </w:rPr>
        <w:t>ClinicalTrialsArena</w:t>
      </w:r>
      <w:proofErr w:type="spellEnd"/>
      <w:r>
        <w:rPr>
          <w:color w:val="777777"/>
          <w:sz w:val="16"/>
          <w:szCs w:val="16"/>
        </w:rPr>
        <w:t xml:space="preserve">; </w:t>
      </w:r>
      <w:proofErr w:type="spellStart"/>
      <w:proofErr w:type="gramStart"/>
      <w:r>
        <w:rPr>
          <w:color w:val="777777"/>
          <w:sz w:val="16"/>
          <w:szCs w:val="16"/>
        </w:rPr>
        <w:t>StatNews</w:t>
      </w:r>
      <w:proofErr w:type="spellEnd"/>
      <w:r>
        <w:rPr>
          <w:color w:val="777777"/>
          <w:sz w:val="16"/>
          <w:szCs w:val="16"/>
        </w:rPr>
        <w:t>; Science Magazine</w:t>
      </w:r>
      <w:proofErr w:type="gramEnd"/>
      <w:r>
        <w:rPr>
          <w:color w:val="777777"/>
          <w:sz w:val="16"/>
          <w:szCs w:val="16"/>
        </w:rPr>
        <w:t xml:space="preserve">; IMARC Group; Towards Healthcare; Delve Insight; </w:t>
      </w:r>
      <w:proofErr w:type="spellStart"/>
      <w:r>
        <w:rPr>
          <w:color w:val="777777"/>
          <w:sz w:val="16"/>
          <w:szCs w:val="16"/>
        </w:rPr>
        <w:t>PharmaVoice</w:t>
      </w:r>
      <w:proofErr w:type="spellEnd"/>
      <w:r>
        <w:rPr>
          <w:color w:val="777777"/>
          <w:sz w:val="16"/>
          <w:szCs w:val="16"/>
        </w:rPr>
        <w:t>.</w:t>
      </w:r>
    </w:p>
    <w:sectPr w:rsidR="00C85C20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A5EE2" w14:textId="77777777" w:rsidR="00867141" w:rsidRDefault="00867141">
      <w:r>
        <w:separator/>
      </w:r>
    </w:p>
  </w:endnote>
  <w:endnote w:type="continuationSeparator" w:id="0">
    <w:p w14:paraId="1DCB5743" w14:textId="77777777" w:rsidR="00867141" w:rsidRDefault="008671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CFCDB" w14:textId="77777777" w:rsidR="00C85C20" w:rsidRDefault="00000000">
    <w:pPr>
      <w:pBdr>
        <w:top w:val="single" w:sz="4" w:space="1" w:color="2E75B6"/>
      </w:pBdr>
    </w:pPr>
    <w:r>
      <w:rPr>
        <w:color w:val="AAAAAA"/>
        <w:sz w:val="16"/>
        <w:szCs w:val="16"/>
      </w:rPr>
      <w:t xml:space="preserve">NOT INVESTMENT ADVICE — For informational purposes </w:t>
    </w:r>
    <w:proofErr w:type="gramStart"/>
    <w:r>
      <w:rPr>
        <w:color w:val="AAAAAA"/>
        <w:sz w:val="16"/>
        <w:szCs w:val="16"/>
      </w:rPr>
      <w:t>only  |</w:t>
    </w:r>
    <w:proofErr w:type="gramEnd"/>
    <w:r>
      <w:rPr>
        <w:color w:val="AAAAAA"/>
        <w:sz w:val="16"/>
        <w:szCs w:val="16"/>
      </w:rPr>
      <w:t xml:space="preserve">  Page </w:t>
    </w:r>
    <w:r>
      <w:rPr>
        <w:color w:val="AAAAAA"/>
        <w:sz w:val="16"/>
        <w:szCs w:val="16"/>
      </w:rPr>
      <w:fldChar w:fldCharType="begin"/>
    </w:r>
    <w:r>
      <w:rPr>
        <w:color w:val="AAAAAA"/>
        <w:sz w:val="16"/>
        <w:szCs w:val="16"/>
      </w:rPr>
      <w:instrText>PAGE</w:instrText>
    </w:r>
    <w:r>
      <w:rPr>
        <w:color w:val="AAAAAA"/>
        <w:sz w:val="16"/>
        <w:szCs w:val="16"/>
      </w:rPr>
      <w:fldChar w:fldCharType="separate"/>
    </w:r>
    <w:r w:rsidR="0078322D">
      <w:rPr>
        <w:noProof/>
        <w:color w:val="AAAAAA"/>
        <w:sz w:val="16"/>
        <w:szCs w:val="16"/>
      </w:rPr>
      <w:t>1</w:t>
    </w:r>
    <w:r>
      <w:rPr>
        <w:color w:val="AAAAA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91CC7" w14:textId="77777777" w:rsidR="00867141" w:rsidRDefault="00867141">
      <w:r>
        <w:separator/>
      </w:r>
    </w:p>
  </w:footnote>
  <w:footnote w:type="continuationSeparator" w:id="0">
    <w:p w14:paraId="3CD022B0" w14:textId="77777777" w:rsidR="00867141" w:rsidRDefault="008671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E553C" w14:textId="77777777" w:rsidR="00C85C20" w:rsidRDefault="00000000">
    <w:pPr>
      <w:pBdr>
        <w:bottom w:val="single" w:sz="6" w:space="1" w:color="2E75B6"/>
      </w:pBdr>
    </w:pPr>
    <w:r>
      <w:rPr>
        <w:color w:val="888888"/>
        <w:sz w:val="16"/>
        <w:szCs w:val="16"/>
      </w:rPr>
      <w:t xml:space="preserve">The 3+1 Filter™ — Investment </w:t>
    </w:r>
    <w:proofErr w:type="gramStart"/>
    <w:r>
      <w:rPr>
        <w:color w:val="888888"/>
        <w:sz w:val="16"/>
        <w:szCs w:val="16"/>
      </w:rPr>
      <w:t>Analysis  |</w:t>
    </w:r>
    <w:proofErr w:type="gramEnd"/>
    <w:r>
      <w:rPr>
        <w:color w:val="888888"/>
        <w:sz w:val="16"/>
        <w:szCs w:val="16"/>
      </w:rPr>
      <w:t xml:space="preserve">  </w:t>
    </w:r>
    <w:proofErr w:type="spellStart"/>
    <w:r>
      <w:rPr>
        <w:b/>
        <w:bCs/>
        <w:color w:val="1F3864"/>
        <w:sz w:val="16"/>
        <w:szCs w:val="16"/>
      </w:rPr>
      <w:t>Definium</w:t>
    </w:r>
    <w:proofErr w:type="spellEnd"/>
    <w:r>
      <w:rPr>
        <w:b/>
        <w:bCs/>
        <w:color w:val="1F3864"/>
        <w:sz w:val="16"/>
        <w:szCs w:val="16"/>
      </w:rPr>
      <w:t xml:space="preserve"> Therapeutics (DFTX) — </w:t>
    </w:r>
    <w:proofErr w:type="spellStart"/>
    <w:r>
      <w:rPr>
        <w:b/>
        <w:bCs/>
        <w:color w:val="1F3864"/>
        <w:sz w:val="16"/>
        <w:szCs w:val="16"/>
      </w:rPr>
      <w:t>fka</w:t>
    </w:r>
    <w:proofErr w:type="spellEnd"/>
    <w:r>
      <w:rPr>
        <w:b/>
        <w:bCs/>
        <w:color w:val="1F3864"/>
        <w:sz w:val="16"/>
        <w:szCs w:val="16"/>
      </w:rPr>
      <w:t xml:space="preserve"> </w:t>
    </w:r>
    <w:proofErr w:type="spellStart"/>
    <w:r>
      <w:rPr>
        <w:b/>
        <w:bCs/>
        <w:color w:val="1F3864"/>
        <w:sz w:val="16"/>
        <w:szCs w:val="16"/>
      </w:rPr>
      <w:t>MindMed</w:t>
    </w:r>
    <w:proofErr w:type="spellEnd"/>
    <w:r>
      <w:rPr>
        <w:b/>
        <w:bCs/>
        <w:color w:val="1F3864"/>
        <w:sz w:val="16"/>
        <w:szCs w:val="16"/>
      </w:rPr>
      <w:t xml:space="preserve"> (</w:t>
    </w:r>
    <w:proofErr w:type="gramStart"/>
    <w:r>
      <w:rPr>
        <w:b/>
        <w:bCs/>
        <w:color w:val="1F3864"/>
        <w:sz w:val="16"/>
        <w:szCs w:val="16"/>
      </w:rPr>
      <w:t>MNMD)</w:t>
    </w:r>
    <w:r>
      <w:rPr>
        <w:color w:val="888888"/>
        <w:sz w:val="16"/>
        <w:szCs w:val="16"/>
      </w:rPr>
      <w:t xml:space="preserve">  |</w:t>
    </w:r>
    <w:proofErr w:type="gramEnd"/>
    <w:r>
      <w:rPr>
        <w:color w:val="888888"/>
        <w:sz w:val="16"/>
        <w:szCs w:val="16"/>
      </w:rPr>
      <w:t xml:space="preserve">  March 21,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A326C"/>
    <w:multiLevelType w:val="hybridMultilevel"/>
    <w:tmpl w:val="3AE485C2"/>
    <w:lvl w:ilvl="0" w:tplc="F000D11C">
      <w:start w:val="1"/>
      <w:numFmt w:val="bullet"/>
      <w:lvlText w:val="•"/>
      <w:lvlJc w:val="left"/>
      <w:pPr>
        <w:ind w:left="720" w:hanging="360"/>
      </w:pPr>
    </w:lvl>
    <w:lvl w:ilvl="1" w:tplc="DB2A9808">
      <w:numFmt w:val="decimal"/>
      <w:lvlText w:val=""/>
      <w:lvlJc w:val="left"/>
    </w:lvl>
    <w:lvl w:ilvl="2" w:tplc="107CA284">
      <w:numFmt w:val="decimal"/>
      <w:lvlText w:val=""/>
      <w:lvlJc w:val="left"/>
    </w:lvl>
    <w:lvl w:ilvl="3" w:tplc="0F48B6E8">
      <w:numFmt w:val="decimal"/>
      <w:lvlText w:val=""/>
      <w:lvlJc w:val="left"/>
    </w:lvl>
    <w:lvl w:ilvl="4" w:tplc="7A964682">
      <w:numFmt w:val="decimal"/>
      <w:lvlText w:val=""/>
      <w:lvlJc w:val="left"/>
    </w:lvl>
    <w:lvl w:ilvl="5" w:tplc="382EA0F4">
      <w:numFmt w:val="decimal"/>
      <w:lvlText w:val=""/>
      <w:lvlJc w:val="left"/>
    </w:lvl>
    <w:lvl w:ilvl="6" w:tplc="2E6080B0">
      <w:numFmt w:val="decimal"/>
      <w:lvlText w:val=""/>
      <w:lvlJc w:val="left"/>
    </w:lvl>
    <w:lvl w:ilvl="7" w:tplc="7D1ACA72">
      <w:numFmt w:val="decimal"/>
      <w:lvlText w:val=""/>
      <w:lvlJc w:val="left"/>
    </w:lvl>
    <w:lvl w:ilvl="8" w:tplc="F72CF0B4">
      <w:numFmt w:val="decimal"/>
      <w:lvlText w:val=""/>
      <w:lvlJc w:val="left"/>
    </w:lvl>
  </w:abstractNum>
  <w:abstractNum w:abstractNumId="1" w15:restartNumberingAfterBreak="0">
    <w:nsid w:val="0ED64F13"/>
    <w:multiLevelType w:val="hybridMultilevel"/>
    <w:tmpl w:val="845C4892"/>
    <w:lvl w:ilvl="0" w:tplc="5CDA878E">
      <w:start w:val="1"/>
      <w:numFmt w:val="bullet"/>
      <w:lvlText w:val="●"/>
      <w:lvlJc w:val="left"/>
      <w:pPr>
        <w:ind w:left="720" w:hanging="360"/>
      </w:pPr>
    </w:lvl>
    <w:lvl w:ilvl="1" w:tplc="D2E05A1C">
      <w:start w:val="1"/>
      <w:numFmt w:val="bullet"/>
      <w:lvlText w:val="○"/>
      <w:lvlJc w:val="left"/>
      <w:pPr>
        <w:ind w:left="1440" w:hanging="360"/>
      </w:pPr>
    </w:lvl>
    <w:lvl w:ilvl="2" w:tplc="7E2E438A">
      <w:start w:val="1"/>
      <w:numFmt w:val="bullet"/>
      <w:lvlText w:val="■"/>
      <w:lvlJc w:val="left"/>
      <w:pPr>
        <w:ind w:left="2160" w:hanging="360"/>
      </w:pPr>
    </w:lvl>
    <w:lvl w:ilvl="3" w:tplc="60BC71B0">
      <w:start w:val="1"/>
      <w:numFmt w:val="bullet"/>
      <w:lvlText w:val="●"/>
      <w:lvlJc w:val="left"/>
      <w:pPr>
        <w:ind w:left="2880" w:hanging="360"/>
      </w:pPr>
    </w:lvl>
    <w:lvl w:ilvl="4" w:tplc="D4A2D14E">
      <w:start w:val="1"/>
      <w:numFmt w:val="bullet"/>
      <w:lvlText w:val="○"/>
      <w:lvlJc w:val="left"/>
      <w:pPr>
        <w:ind w:left="3600" w:hanging="360"/>
      </w:pPr>
    </w:lvl>
    <w:lvl w:ilvl="5" w:tplc="5E728E34">
      <w:start w:val="1"/>
      <w:numFmt w:val="bullet"/>
      <w:lvlText w:val="■"/>
      <w:lvlJc w:val="left"/>
      <w:pPr>
        <w:ind w:left="4320" w:hanging="360"/>
      </w:pPr>
    </w:lvl>
    <w:lvl w:ilvl="6" w:tplc="CD4A1582">
      <w:start w:val="1"/>
      <w:numFmt w:val="bullet"/>
      <w:lvlText w:val="●"/>
      <w:lvlJc w:val="left"/>
      <w:pPr>
        <w:ind w:left="5040" w:hanging="360"/>
      </w:pPr>
    </w:lvl>
    <w:lvl w:ilvl="7" w:tplc="67EC22F2">
      <w:start w:val="1"/>
      <w:numFmt w:val="bullet"/>
      <w:lvlText w:val="●"/>
      <w:lvlJc w:val="left"/>
      <w:pPr>
        <w:ind w:left="5760" w:hanging="360"/>
      </w:pPr>
    </w:lvl>
    <w:lvl w:ilvl="8" w:tplc="229C075E">
      <w:start w:val="1"/>
      <w:numFmt w:val="bullet"/>
      <w:lvlText w:val="●"/>
      <w:lvlJc w:val="left"/>
      <w:pPr>
        <w:ind w:left="6480" w:hanging="360"/>
      </w:pPr>
    </w:lvl>
  </w:abstractNum>
  <w:num w:numId="1" w16cid:durableId="258100054">
    <w:abstractNumId w:val="1"/>
    <w:lvlOverride w:ilvl="0">
      <w:startOverride w:val="1"/>
    </w:lvlOverride>
  </w:num>
  <w:num w:numId="2" w16cid:durableId="6253086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C20"/>
    <w:rsid w:val="0040410A"/>
    <w:rsid w:val="0078322D"/>
    <w:rsid w:val="00867141"/>
    <w:rsid w:val="00C55504"/>
    <w:rsid w:val="00C85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183CD"/>
  <w15:docId w15:val="{984F16CD-3DA2-49AC-8606-B6D40BF07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3416</Words>
  <Characters>19978</Characters>
  <Application>Microsoft Office Word</Application>
  <DocSecurity>0</DocSecurity>
  <Lines>474</Lines>
  <Paragraphs>214</Paragraphs>
  <ScaleCrop>false</ScaleCrop>
  <Company/>
  <LinksUpToDate>false</LinksUpToDate>
  <CharactersWithSpaces>23257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ampsson ampsson</cp:lastModifiedBy>
  <cp:revision>3</cp:revision>
  <dcterms:created xsi:type="dcterms:W3CDTF">2026-03-22T03:03:00Z</dcterms:created>
  <dcterms:modified xsi:type="dcterms:W3CDTF">2026-03-22T03:08:00Z</dcterms:modified>
</cp:coreProperties>
</file>