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jc w:val="center"/>
            </w:pPr>
            <w:r>
              <w:rPr>
                <w:rFonts w:ascii="Arial" w:cs="Arial" w:eastAsia="Arial" w:hAnsi="Arial"/>
                <w:b/>
                <w:bCs/>
                <w:color w:val="FFFFFF"/>
                <w:sz w:val="44"/>
                <w:szCs w:val="44"/>
              </w:rPr>
              <w:t xml:space="preserve">BADGER METER, INC. (NYSE: BMI)</w:t>
            </w:r>
          </w:p>
          <w:p>
            <w:pPr>
              <w:spacing w:before="80"/>
              <w:jc w:val="center"/>
            </w:pPr>
            <w:r>
              <w:rPr>
                <w:rFonts w:ascii="Arial" w:cs="Arial" w:eastAsia="Arial" w:hAnsi="Arial"/>
                <w:b w:val="false"/>
                <w:bCs w:val="false"/>
                <w:color w:val="A8C4E0"/>
                <w:sz w:val="24"/>
                <w:szCs w:val="24"/>
              </w:rPr>
              <w:t xml:space="preserve">COMPREHENSIVE INVESTMENT ANALYSIS — 5-PROMPT DEEP DIVE</w:t>
            </w:r>
          </w:p>
          <w:p>
            <w:pPr>
              <w:spacing w:before="60"/>
              <w:jc w:val="center"/>
            </w:pPr>
            <w:r>
              <w:rPr>
                <w:rFonts w:ascii="Arial" w:cs="Arial" w:eastAsia="Arial" w:hAnsi="Arial"/>
                <w:i/>
                <w:iCs/>
                <w:color w:val="7AAFD4"/>
                <w:sz w:val="18"/>
                <w:szCs w:val="18"/>
              </w:rPr>
              <w:t xml:space="preserve">Sources: SEC 10-K/10-Q Filings | Earnings Releases | Investor Presentations | March 2026</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FY2024 Revenue</w:t>
            </w:r>
          </w:p>
        </w:tc>
        <w:tc>
          <w:tcPr>
            <w:tcW w:type="dxa" w:w="1872"/>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Op Margin</w:t>
            </w:r>
          </w:p>
        </w:tc>
        <w:tc>
          <w:tcPr>
            <w:tcW w:type="dxa" w:w="1872"/>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FCF Conversion</w:t>
            </w:r>
          </w:p>
        </w:tc>
        <w:tc>
          <w:tcPr>
            <w:tcW w:type="dxa" w:w="1872"/>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ROIC</w:t>
            </w:r>
          </w:p>
        </w:tc>
        <w:tc>
          <w:tcPr>
            <w:tcW w:type="dxa" w:w="1872"/>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Net Cash</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2"/>
                <w:szCs w:val="22"/>
              </w:rPr>
              <w:t xml:space="preserve">$826.6M</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2"/>
                <w:szCs w:val="22"/>
              </w:rPr>
              <w:t xml:space="preserve">19.1%</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2"/>
                <w:szCs w:val="22"/>
              </w:rPr>
              <w:t xml:space="preserve">114%</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2"/>
                <w:szCs w:val="22"/>
              </w:rPr>
              <w:t xml:space="preserve">~20-22%</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2"/>
                <w:szCs w:val="22"/>
              </w:rPr>
              <w:t xml:space="preserve">$295.3M</w:t>
            </w:r>
          </w:p>
        </w:tc>
      </w:tr>
    </w:tbl>
    <w:p>
      <w:pPr>
        <w:spacing w:before="80" w:after="0"/>
      </w:pPr>
      <w:r>
        <w:t xml:space="preserve"/>
      </w:r>
    </w:p>
    <w:p>
      <w:pPr>
        <w:spacing w:before="60" w:after="60"/>
        <w:jc w:val="left"/>
      </w:pPr>
      <w:r>
        <w:rPr>
          <w:rFonts w:ascii="Arial" w:cs="Arial" w:eastAsia="Arial" w:hAnsi="Arial"/>
          <w:b w:val="false"/>
          <w:bCs w:val="false"/>
          <w:i/>
          <w:iCs/>
          <w:color w:val="5A6A7A"/>
          <w:sz w:val="16"/>
          <w:szCs w:val="16"/>
        </w:rPr>
        <w:t xml:space="preserve">Source: BMI 10-K FY2024 (filed Feb 2025) | Earnings Release Jan 28 2025 | Investor Presentations</w:t>
      </w:r>
    </w:p>
    <w:p>
      <w:pPr>
        <w:spacing w:before="3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220"/>
              <w:left w:type="dxa" w:w="300"/>
              <w:bottom w:type="dxa" w:w="220"/>
              <w:right w:type="dxa" w:w="300"/>
            </w:tcMar>
          </w:tcPr>
          <w:p>
            <w:r>
              <w:rPr>
                <w:rFonts w:ascii="Arial" w:cs="Arial" w:eastAsia="Arial" w:hAnsi="Arial"/>
                <w:b/>
                <w:bCs/>
                <w:color w:val="C8973A"/>
                <w:sz w:val="20"/>
                <w:szCs w:val="20"/>
              </w:rPr>
              <w:t xml:space="preserve">PROMPT 1  </w:t>
            </w:r>
            <w:r>
              <w:rPr>
                <w:rFonts w:ascii="Arial" w:cs="Arial" w:eastAsia="Arial" w:hAnsi="Arial"/>
                <w:b/>
                <w:bCs/>
                <w:color w:val="FFFFFF"/>
                <w:sz w:val="28"/>
                <w:szCs w:val="28"/>
              </w:rPr>
              <w:t xml:space="preserve">BUSINESS OVERVIEW &amp; MODEL UNDERSTANDING</w:t>
            </w:r>
          </w:p>
          <w:p>
            <w:pPr>
              <w:spacing w:before="40"/>
            </w:pPr>
            <w:r>
              <w:rPr>
                <w:rFonts w:ascii="Arial" w:cs="Arial" w:eastAsia="Arial" w:hAnsi="Arial"/>
                <w:i/>
                <w:iCs/>
                <w:color w:val="C8DFF0"/>
                <w:sz w:val="20"/>
                <w:szCs w:val="20"/>
              </w:rPr>
              <w:t xml:space="preserve">13-Section Deep Dive — What Is Badger Meter, Really?</w:t>
            </w:r>
          </w:p>
        </w:tc>
      </w:tr>
    </w:tbl>
    <w:p>
      <w:pPr>
        <w:spacing w:before="120" w:after="0"/>
      </w:pPr>
      <w:r>
        <w:t xml:space="preserve"/>
      </w:r>
    </w:p>
    <w:p>
      <w:pPr>
        <w:pStyle w:val="Heading2"/>
        <w:spacing w:before="280" w:after="120"/>
      </w:pPr>
      <w:r>
        <w:rPr>
          <w:rFonts w:ascii="Arial" w:cs="Arial" w:eastAsia="Arial" w:hAnsi="Arial"/>
          <w:b/>
          <w:bCs/>
          <w:color w:val="2E6DA4"/>
          <w:sz w:val="28"/>
          <w:szCs w:val="28"/>
        </w:rPr>
        <w:t xml:space="preserve">1. Business Understanding</w:t>
      </w:r>
    </w:p>
    <w:p>
      <w:pPr>
        <w:spacing w:before="60" w:after="60"/>
        <w:jc w:val="left"/>
      </w:pPr>
      <w:r>
        <w:rPr>
          <w:rFonts w:ascii="Arial" w:cs="Arial" w:eastAsia="Arial" w:hAnsi="Arial"/>
          <w:b w:val="false"/>
          <w:bCs w:val="false"/>
          <w:i w:val="false"/>
          <w:iCs w:val="false"/>
          <w:color w:val="000000"/>
          <w:sz w:val="20"/>
          <w:szCs w:val="20"/>
        </w:rPr>
        <w:t xml:space="preserve">Badger Meter (NYSE: BMI) designs, manufactures, and markets smart water management solutions — primarily water flow meters, cellular communication endpoints (ORION®), and cloud-based analytics software (BEACON® SaaS). Founded in Milwaukee in 1905, it has evolved from a mechanical meter maker into a hardware-enabled software platform serving water utilities, municipalities, and commercial/industrial customers worldwide. Nearly 95% of net sales derive from water-related applications. [Source: 10-K FY2024, Business Overview]</w:t>
      </w:r>
    </w:p>
    <w:p>
      <w:pPr>
        <w:spacing w:before="60" w:after="0"/>
      </w:pPr>
      <w:r>
        <w:t xml:space="preserve"/>
      </w:r>
    </w:p>
    <w:p>
      <w:pPr>
        <w:spacing w:before="40" w:after="60"/>
        <w:jc w:val="left"/>
      </w:pPr>
      <w:r>
        <w:rPr>
          <w:rFonts w:ascii="Arial" w:cs="Arial" w:eastAsia="Arial" w:hAnsi="Arial"/>
          <w:b w:val="false"/>
          <w:bCs w:val="false"/>
          <w:i w:val="false"/>
          <w:iCs w:val="false"/>
          <w:color w:val="000000"/>
          <w:sz w:val="20"/>
          <w:szCs w:val="20"/>
        </w:rPr>
        <w:t xml:space="preserve">Core problems solved: </w:t>
      </w:r>
      <w:r>
        <w:rPr>
          <w:rFonts w:ascii="Arial" w:cs="Arial" w:eastAsia="Arial" w:hAnsi="Arial"/>
          <w:b w:val="false"/>
          <w:bCs w:val="false"/>
          <w:i w:val="false"/>
          <w:iCs w:val="false"/>
          <w:color w:val="000000"/>
          <w:sz w:val="20"/>
          <w:szCs w:val="20"/>
        </w:rPr>
        <w:t xml:space="preserve">(a) meter-to-cash billing accuracy, (b) non-revenue water (leak detection), (c) regulatory compliance (AWIA 2018), (d) operational visibility via data analytics. [Disclosure]</w:t>
      </w:r>
    </w:p>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Revenue is hybrid: hardware (transactional, one-time per meter deployment) + SaaS (recurring subscription per endpoint per month under NaaS model) + services. Software revenue exceeded $56M in FY2024, representing a 28% five-year CAGR. Hardware revenue is lumpy but underpinned by 15-20 year meter replacement cycles, making the installed base deeply predictable. [Source: 10-K FY2024; Q4 2024 Earnings Release]</w:t>
      </w:r>
    </w:p>
    <w:p>
      <w:pPr>
        <w:spacing w:before="60" w:after="0"/>
      </w:pPr>
      <w:r>
        <w:t xml:space="preserve"/>
      </w:r>
    </w:p>
    <w:p>
      <w:pPr>
        <w:spacing w:before="40" w:after="60"/>
        <w:jc w:val="left"/>
      </w:pPr>
      <w:r>
        <w:rPr>
          <w:rFonts w:ascii="Arial" w:cs="Arial" w:eastAsia="Arial" w:hAnsi="Arial"/>
          <w:b w:val="false"/>
          <w:bCs w:val="false"/>
          <w:i w:val="false"/>
          <w:iCs w:val="false"/>
          <w:color w:val="000000"/>
          <w:sz w:val="20"/>
          <w:szCs w:val="20"/>
        </w:rPr>
        <w:t xml:space="preserve">Gross margin profile: </w:t>
      </w:r>
      <w:r>
        <w:rPr>
          <w:rFonts w:ascii="Arial" w:cs="Arial" w:eastAsia="Arial" w:hAnsi="Arial"/>
          <w:b w:val="false"/>
          <w:bCs w:val="false"/>
          <w:i w:val="false"/>
          <w:iCs w:val="false"/>
          <w:color w:val="000000"/>
          <w:sz w:val="20"/>
          <w:szCs w:val="20"/>
        </w:rPr>
        <w:t xml:space="preserve">~40-41% (FY2024), expanding consistently from ~38% range in 2020-21, driven by SaaS mix-shift and AMI premium products. EBITDA margin reached 23% in 2024. The business is predictable and non-cyclical — utility budgets and federal infrastructure mandates dominate demand. [Source: 2024 Annual Report]</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2. Products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360"/>
      </w:tblGrid>
      <w:tr>
        <w:trPr>
          <w:tblHeader/>
        </w:trP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Product / Service</w:t>
            </w:r>
          </w:p>
        </w:tc>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 Weight (Est.)</w:t>
            </w:r>
          </w:p>
        </w:tc>
        <w:tc>
          <w:tcPr>
            <w:tcW w:type="dxa" w:w="2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Margin Profile</w:t>
            </w:r>
          </w:p>
        </w:tc>
      </w:tr>
      <w:tr>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ORION® Cellular Endpoints</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Cellular AMI endpoints — core growth product, NaaS model ($/endpoint/mo)</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~40-45% [Inference]</w:t>
            </w:r>
          </w:p>
        </w:tc>
        <w:tc>
          <w:tcPr>
            <w:tcW w:type="dxa" w:w="2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 — premium ASP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E-Series® Ultrasonic Meters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Precision water meters, faster replacement of mechanical meters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~25-30% [Inference]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Medium-High</w:t>
            </w:r>
          </w:p>
        </w:tc>
      </w:tr>
      <w:tr>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BEACON® SaaS</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Cloud analytics: billing, leak detection, dashboards, EyeOnWater consumer portal</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 explicit [Disclosure]</w:t>
            </w:r>
          </w:p>
        </w:tc>
        <w:tc>
          <w:tcPr>
            <w:tcW w:type="dxa" w:w="2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Very High — recurring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Mechanical/Traditional Meters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Legacy mechanical registers, AMR products; de-emphasized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~15-20% [Inference]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r>
      <w:tr>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Flow Instrumentation (industrial)</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Non-utility: flow meters for chemical, food, industrial processes</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~8-10% [Disclosure]</w:t>
            </w:r>
          </w:p>
        </w:tc>
        <w:tc>
          <w:tcPr>
            <w:tcW w:type="dxa" w:w="2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SmartCover® (Jan 2025)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Sewer line &amp; lift station monitoring — acquired for $184M net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Emerging — &lt;1% [Disclosure]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 potential</w:t>
            </w:r>
          </w:p>
        </w:tc>
      </w:tr>
      <w:tr>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Water Quality (s::can, ATi, Syrinix, Telog)</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Optical/electrochemical sensors, pressure monitoring, remote RTU</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 blended [Inference]</w:t>
            </w:r>
          </w:p>
        </w:tc>
        <w:tc>
          <w:tcPr>
            <w:tcW w:type="dxa" w:w="2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3. Customer Base</w:t>
      </w:r>
    </w:p>
    <w:p>
      <w:pPr>
        <w:spacing w:before="60" w:after="60"/>
        <w:jc w:val="left"/>
      </w:pPr>
      <w:r>
        <w:rPr>
          <w:rFonts w:ascii="Arial" w:cs="Arial" w:eastAsia="Arial" w:hAnsi="Arial"/>
          <w:b w:val="false"/>
          <w:bCs w:val="false"/>
          <w:i w:val="false"/>
          <w:iCs w:val="false"/>
          <w:color w:val="000000"/>
          <w:sz w:val="20"/>
          <w:szCs w:val="20"/>
        </w:rPr>
        <w:t xml:space="preserve">Primary: ~50,000 U.S. municipal/investor-owned water utilities, ranging from small rural systems to large metropolitan authorities. [Source: 10-K FY2024] Secondary: commercial/industrial customers for flow instrumentation. No single customer exceeds 10% of revenue (explicitly stated in 10-K risk factors). [Disclosure]</w:t>
      </w:r>
    </w:p>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Decision-making process: Multi-year procurement cycles. Utilities create capital plans 2-5 years in advance, issue formal RFPs/tenders, require AWWA certification compliance, and typically involve engineering staff, IT departments, and utility directors. Sales cycles are long (12-36 months for AMI deployments) but highly predictable once won. [Source: 10-K FY2024, MD&amp;A]</w:t>
      </w:r>
    </w:p>
    <w:p>
      <w:pPr>
        <w:spacing w:before="60" w:after="0"/>
      </w:pPr>
      <w:r>
        <w:t xml:space="preserve"/>
      </w:r>
    </w:p>
    <w:p>
      <w:pPr>
        <w:spacing w:before="40" w:after="60"/>
        <w:jc w:val="left"/>
      </w:pPr>
      <w:r>
        <w:rPr>
          <w:rFonts w:ascii="Arial" w:cs="Arial" w:eastAsia="Arial" w:hAnsi="Arial"/>
          <w:b w:val="false"/>
          <w:bCs w:val="false"/>
          <w:i w:val="false"/>
          <w:iCs w:val="false"/>
          <w:color w:val="000000"/>
          <w:sz w:val="20"/>
          <w:szCs w:val="20"/>
        </w:rPr>
        <w:t xml:space="preserve">Switching costs: </w:t>
      </w:r>
      <w:r>
        <w:rPr>
          <w:rFonts w:ascii="Arial" w:cs="Arial" w:eastAsia="Arial" w:hAnsi="Arial"/>
          <w:b w:val="false"/>
          <w:bCs w:val="false"/>
          <w:i w:val="false"/>
          <w:iCs w:val="false"/>
          <w:color w:val="000000"/>
          <w:sz w:val="20"/>
          <w:szCs w:val="20"/>
        </w:rPr>
        <w:t xml:space="preserve">Extremely high. Replacing an installed AMI network requires physically removing every endpoint and meter, recertifying new equipment, retraining billing and field staff, re-integrating with external billing/GIS/SCADA software, and managing a billing gap during transition. The BEACON SaaS data history (usage, leak records, billing reads) is non-portable. [Inference based on product architecture]</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4.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600"/>
        <w:gridCol w:w="2200"/>
        <w:gridCol w:w="2220"/>
      </w:tblGrid>
      <w:tr>
        <w:trPr>
          <w:tblHeader/>
        </w:trPr>
        <w:tc>
          <w:tcPr>
            <w:tcW w:type="dxa" w:w="23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Stream</w:t>
            </w:r>
          </w:p>
        </w:tc>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Mechanism</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Pricing Logic</w:t>
            </w:r>
          </w:p>
        </w:tc>
        <w:tc>
          <w:tcPr>
            <w:tcW w:type="dxa" w:w="22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Predictability</w:t>
            </w:r>
          </w:p>
        </w:tc>
      </w:tr>
      <w:tr>
        <w:tc>
          <w:tcPr>
            <w:tcW w:type="dxa" w:w="23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Hardware — Meter + Endpoint</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One-time sale at project award; utilities order in phases</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Value-based; premium over mechanical peers</w:t>
            </w:r>
          </w:p>
        </w:tc>
        <w:tc>
          <w:tcPr>
            <w:tcW w:type="dxa" w:w="22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 — lumpy but recurring at portfolio level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BEACON NaaS Subscription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Per-endpoint/month recurring SaaS on cellular network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Operational budget line; replaces infrastructure capex</w:t>
            </w:r>
          </w:p>
        </w:tc>
        <w:tc>
          <w:tcPr>
            <w:tcW w:type="dxa" w:w="22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 — multi-year contracts</w:t>
            </w:r>
          </w:p>
        </w:tc>
      </w:tr>
      <w:tr>
        <w:tc>
          <w:tcPr>
            <w:tcW w:type="dxa" w:w="23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Software licenses (legacy)</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Annual license; migrating to SaaS model</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Subscription</w:t>
            </w:r>
          </w:p>
        </w:tc>
        <w:tc>
          <w:tcPr>
            <w:tcW w:type="dxa" w:w="22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Medium-High</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Services &amp; Support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Training, project management, tech support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Fee-for-service or bundled</w:t>
            </w:r>
          </w:p>
        </w:tc>
        <w:tc>
          <w:tcPr>
            <w:tcW w:type="dxa" w:w="22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Low — project-dependent</w:t>
            </w:r>
          </w:p>
        </w:tc>
      </w:tr>
    </w:tbl>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The key strategic move: ORION NaaS shifts hardware revenue into a recurring monthly fee model — a utility pays per endpoint per month instead of a large upfront capital outlay. This converts a capital expenditure (utility budget) into an operating expenditure (utility budget line), dramatically broadens the addressable market and provides BMI with a visible recurring revenue stream. [Source: 10-K FY2024; Investor Presentation Jan 2024]</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5. Supply Side &amp; Cost Structure</w:t>
      </w:r>
    </w:p>
    <w:p>
      <w:pPr>
        <w:spacing w:before="60" w:after="60"/>
        <w:jc w:val="left"/>
      </w:pPr>
      <w:r>
        <w:rPr>
          <w:rFonts w:ascii="Arial" w:cs="Arial" w:eastAsia="Arial" w:hAnsi="Arial"/>
          <w:b w:val="false"/>
          <w:bCs w:val="false"/>
          <w:i w:val="false"/>
          <w:iCs w:val="false"/>
          <w:color w:val="000000"/>
          <w:sz w:val="20"/>
          <w:szCs w:val="20"/>
        </w:rPr>
        <w:t xml:space="preserve">Key inputs: electronic components (CMOS chips for endpoints), brass/polymer for meter bodies, cellular connectivity (third-party carriers — AT&amp;T, Verizon for ORION Cellular). BMI manufactures meters primarily in Milwaukee, WI and Nogales, Mexico. [Source: 10-K FY2024, Properties section]</w:t>
      </w:r>
    </w:p>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Key dependencies: (1) Electronic component supply chain — BMI called out 'intermittent supply chain disruptions' through 2021-2022 that impacted deliveries; resolved by 2023 [Earnings calls 2021-2023]. (2) Cellular network infrastructure — ORION Cellular relies on third-party carrier networks; carrier sunset risks exist but BMI actively manages endpoint generation upgrades. (3) Bismuth (meter alloy) — management cited a 'tenfold spike in bismuth costs' in 2025 but offset via targeted price increases. [Source: Q3 2025 Earnings Release]</w:t>
      </w:r>
    </w:p>
    <w:p>
      <w:pPr>
        <w:spacing w:before="60" w:after="0"/>
      </w:pPr>
      <w:r>
        <w:t xml:space="preserve"/>
      </w:r>
    </w:p>
    <w:p>
      <w:pPr>
        <w:spacing w:before="40" w:after="60"/>
        <w:jc w:val="left"/>
      </w:pPr>
      <w:r>
        <w:rPr>
          <w:rFonts w:ascii="Arial" w:cs="Arial" w:eastAsia="Arial" w:hAnsi="Arial"/>
          <w:b w:val="false"/>
          <w:bCs w:val="false"/>
          <w:i w:val="false"/>
          <w:iCs w:val="false"/>
          <w:color w:val="000000"/>
          <w:sz w:val="20"/>
          <w:szCs w:val="20"/>
        </w:rPr>
        <w:t xml:space="preserve">Cost structure (inferred from margins): </w:t>
      </w:r>
      <w:r>
        <w:rPr>
          <w:rFonts w:ascii="Arial" w:cs="Arial" w:eastAsia="Arial" w:hAnsi="Arial"/>
          <w:b w:val="false"/>
          <w:bCs w:val="false"/>
          <w:i w:val="false"/>
          <w:iCs w:val="false"/>
          <w:color w:val="000000"/>
          <w:sz w:val="20"/>
          <w:szCs w:val="20"/>
        </w:rPr>
        <w:t xml:space="preserve">Gross margin ~40-41% implies COGS of ~59-60% of revenue. Primary cost buckets: materials/components, direct manufacturing labor, cellular connectivity fees, and capitalized software. SEA (Selling, Engineering &amp; Administration) runs ~21-22% of revenue, leaving operating margin of ~19%. High fixed-cost content in manufacturing; software portion is near-zero marginal cost. [Inference from 10-K income statement]</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6. Market &amp; Competitive Position</w:t>
      </w:r>
    </w:p>
    <w:p>
      <w:pPr>
        <w:spacing w:before="60" w:after="60"/>
        <w:jc w:val="left"/>
      </w:pPr>
      <w:r>
        <w:rPr>
          <w:rFonts w:ascii="Arial" w:cs="Arial" w:eastAsia="Arial" w:hAnsi="Arial"/>
          <w:b w:val="false"/>
          <w:bCs w:val="false"/>
          <w:i w:val="false"/>
          <w:iCs w:val="false"/>
          <w:color w:val="000000"/>
          <w:sz w:val="20"/>
          <w:szCs w:val="20"/>
        </w:rPr>
        <w:t xml:space="preserve">Global smart water metering market: ~$6.8B in 2025, projected to reach $9.0B by 2030 at ~11.9% CAGR. [Source: MarketsandMarkets 2024] North American utility water meter market: BMI holds estimated 25-30% share (concentrated in ultrasonic and cellular AMI segments). [Source: Industry analysis; note: company does not disclose explicit market share]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000"/>
        <w:gridCol w:w="1800"/>
        <w:gridCol w:w="1100"/>
        <w:gridCol w:w="900"/>
        <w:gridCol w:w="2160"/>
      </w:tblGrid>
      <w:tr>
        <w:trPr>
          <w:tblHeader/>
        </w:trPr>
        <w:tc>
          <w:tcPr>
            <w:tcW w:type="dxa" w:w="1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Competitor</w:t>
            </w:r>
          </w:p>
        </w:tc>
        <w:tc>
          <w:tcPr>
            <w:tcW w:type="dxa" w:w="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Ticker</w:t>
            </w:r>
          </w:p>
        </w:tc>
        <w:tc>
          <w:tcPr>
            <w:tcW w:type="dxa" w:w="1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Revenue Scale</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Focus</w:t>
            </w:r>
          </w:p>
        </w:tc>
        <w:tc>
          <w:tcPr>
            <w:tcW w:type="dxa" w:w="11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Gross Margin</w:t>
            </w:r>
          </w:p>
        </w:tc>
        <w:tc>
          <w:tcPr>
            <w:tcW w:type="dxa" w:w="9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Op Margin</w:t>
            </w:r>
          </w:p>
        </w:tc>
        <w:tc>
          <w:tcPr>
            <w:tcW w:type="dxa" w:w="2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BMI vs. Peer</w:t>
            </w:r>
          </w:p>
        </w:tc>
      </w:tr>
      <w:tr>
        <w:tc>
          <w:tcPr>
            <w:tcW w:type="dxa" w:w="1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Badger Meter</w:t>
            </w:r>
          </w:p>
        </w:tc>
        <w:tc>
          <w:tcPr>
            <w:tcW w:type="dxa" w:w="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BMI</w:t>
            </w:r>
          </w:p>
        </w:tc>
        <w:tc>
          <w:tcPr>
            <w:tcW w:type="dxa" w:w="1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$827M</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Pure-play water, cellular AMI, SaaS</w:t>
            </w:r>
          </w:p>
        </w:tc>
        <w:tc>
          <w:tcPr>
            <w:tcW w:type="dxa" w:w="11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~41%</w:t>
            </w:r>
          </w:p>
        </w:tc>
        <w:tc>
          <w:tcPr>
            <w:tcW w:type="dxa" w:w="9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~19%</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BEST — margin leader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Itron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ITRI</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~$2.3B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Multi-utility (water+gas+electric), broader IoT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~14%</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Larger but margin laggard</w:t>
            </w:r>
          </w:p>
        </w:tc>
      </w:tr>
      <w:tr>
        <w:tc>
          <w:tcPr>
            <w:tcW w:type="dxa" w:w="1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Mueller Water Prod.</w:t>
            </w:r>
          </w:p>
        </w:tc>
        <w:tc>
          <w:tcPr>
            <w:tcW w:type="dxa" w:w="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MWA</w:t>
            </w:r>
          </w:p>
        </w:tc>
        <w:tc>
          <w:tcPr>
            <w:tcW w:type="dxa" w:w="1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~$1.1B</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Water infrastructure (valves, hydrants, meters)</w:t>
            </w:r>
          </w:p>
        </w:tc>
        <w:tc>
          <w:tcPr>
            <w:tcW w:type="dxa" w:w="11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~33%</w:t>
            </w:r>
          </w:p>
        </w:tc>
        <w:tc>
          <w:tcPr>
            <w:tcW w:type="dxa" w:w="9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~17-20%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Similar margins, more cyclical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Xylem / Sensus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XYL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~$8.4B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Full water cycle — pumps, treatment, metering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~14%</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Scale advantage, less water-meter focused</w:t>
            </w:r>
          </w:p>
        </w:tc>
      </w:tr>
      <w:tr>
        <w:tc>
          <w:tcPr>
            <w:tcW w:type="dxa" w:w="1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Diehl Metering</w:t>
            </w:r>
          </w:p>
        </w:tc>
        <w:tc>
          <w:tcPr>
            <w:tcW w:type="dxa" w:w="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Private</w:t>
            </w:r>
          </w:p>
        </w:tc>
        <w:tc>
          <w:tcPr>
            <w:tcW w:type="dxa" w:w="1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European metering; competes on price</w:t>
            </w:r>
          </w:p>
        </w:tc>
        <w:tc>
          <w:tcPr>
            <w:tcW w:type="dxa" w:w="11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w:t>
            </w:r>
          </w:p>
        </w:tc>
        <w:tc>
          <w:tcPr>
            <w:tcW w:type="dxa" w:w="9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Geographic overlap only</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Neptune / Roper Tech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ROP</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Div. of Roper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Traditional AMR/AMI meters, North America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Direct AMR/AMI competitor</w:t>
            </w:r>
          </w:p>
        </w:tc>
      </w:tr>
    </w:tbl>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BMI's key competitive advantages: (1) Cellular NaaS AMI — no proprietary gateway infrastructure required, dramatically lower utility capex and faster deployment than fixed-network competitors. (2) Pure-play water focus — deeper utility relationships, more tailored product roadmap. (3) BEACON SaaS flywheel — per-utility data history and workflow integration create high switching costs. (4) Integrated BlueEdge platform — hardware + connectivity + software + services sold as one system; harder to displace than point solutions. [Source: 10-K FY2024; Investor Presentations]</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7. Competitive Advantages (Deep Dive)</w:t>
      </w:r>
    </w:p>
    <w:p>
      <w:pPr>
        <w:pStyle w:val="ListParagraph"/>
        <w:numPr>
          <w:ilvl w:val="0"/>
          <w:numId w:val="2"/>
        </w:numPr>
        <w:spacing w:before="40" w:after="40"/>
      </w:pPr>
      <w:r>
        <w:rPr>
          <w:rFonts w:ascii="Arial" w:cs="Arial" w:eastAsia="Arial" w:hAnsi="Arial"/>
          <w:b w:val="false"/>
          <w:bCs w:val="false"/>
          <w:color w:val="000000"/>
          <w:sz w:val="19"/>
          <w:szCs w:val="19"/>
        </w:rPr>
        <w:t xml:space="preserve">COST ADVANTAGES: Capital-light model (~1.8% capex/revenue); cellular NaaS eliminates gateway infrastructure costs for both BMI and utilities, reducing total cost of deployment vs. fixed-network AMI competitors. [Inference]</w:t>
      </w:r>
    </w:p>
    <w:p>
      <w:pPr>
        <w:pStyle w:val="ListParagraph"/>
        <w:numPr>
          <w:ilvl w:val="0"/>
          <w:numId w:val="2"/>
        </w:numPr>
        <w:spacing w:before="40" w:after="40"/>
      </w:pPr>
      <w:r>
        <w:rPr>
          <w:rFonts w:ascii="Arial" w:cs="Arial" w:eastAsia="Arial" w:hAnsi="Arial"/>
          <w:b w:val="false"/>
          <w:bCs w:val="false"/>
          <w:color w:val="000000"/>
          <w:sz w:val="19"/>
          <w:szCs w:val="19"/>
        </w:rPr>
        <w:t xml:space="preserve">NETWORK EFFECTS: Limited at the market level; strong at the per-deployment level — historical data within each utility's BEACON instance is proprietary and non-portable. [Inference]</w:t>
      </w:r>
    </w:p>
    <w:p>
      <w:pPr>
        <w:pStyle w:val="ListParagraph"/>
        <w:numPr>
          <w:ilvl w:val="0"/>
          <w:numId w:val="2"/>
        </w:numPr>
        <w:spacing w:before="40" w:after="40"/>
      </w:pPr>
      <w:r>
        <w:rPr>
          <w:rFonts w:ascii="Arial" w:cs="Arial" w:eastAsia="Arial" w:hAnsi="Arial"/>
          <w:b w:val="false"/>
          <w:bCs w:val="false"/>
          <w:color w:val="000000"/>
          <w:sz w:val="19"/>
          <w:szCs w:val="19"/>
        </w:rPr>
        <w:t xml:space="preserve">BRAND STRENGTH: 120-year operating history; 'Badger' is synonymous with meter reliability among U.S. water utilities; long-standing customer relationships often span decades. [Disclosure/Inference]</w:t>
      </w:r>
    </w:p>
    <w:p>
      <w:pPr>
        <w:pStyle w:val="ListParagraph"/>
        <w:numPr>
          <w:ilvl w:val="0"/>
          <w:numId w:val="2"/>
        </w:numPr>
        <w:spacing w:before="40" w:after="40"/>
      </w:pPr>
      <w:r>
        <w:rPr>
          <w:rFonts w:ascii="Arial" w:cs="Arial" w:eastAsia="Arial" w:hAnsi="Arial"/>
          <w:b w:val="false"/>
          <w:bCs w:val="false"/>
          <w:color w:val="000000"/>
          <w:sz w:val="19"/>
          <w:szCs w:val="19"/>
        </w:rPr>
        <w:t xml:space="preserve">SWITCHING COSTS: Physical rip-and-replace of meters + endpoints (15-20 year lifecycle) + BEACON data migration + staff retraining + billing system re-integration. Arguably the highest switching cost profile in the industrial sector. [Inference]</w:t>
      </w:r>
    </w:p>
    <w:p>
      <w:pPr>
        <w:pStyle w:val="ListParagraph"/>
        <w:numPr>
          <w:ilvl w:val="0"/>
          <w:numId w:val="2"/>
        </w:numPr>
        <w:spacing w:before="40" w:after="40"/>
      </w:pPr>
      <w:r>
        <w:rPr>
          <w:rFonts w:ascii="Arial" w:cs="Arial" w:eastAsia="Arial" w:hAnsi="Arial"/>
          <w:b w:val="false"/>
          <w:bCs w:val="false"/>
          <w:color w:val="000000"/>
          <w:sz w:val="19"/>
          <w:szCs w:val="19"/>
        </w:rPr>
        <w:t xml:space="preserve">REGULATORY/CERTIFICATION BARRIERS: NTEP certification, AWWA C700-series compliance, ISO 27001, AWIA 2018 vulnerability assessment integration. New entrants must certify before utilities can legally bill from their meters. [Source: 10-K FY2024, Risk Factors]</w:t>
      </w:r>
    </w:p>
    <w:p>
      <w:pPr>
        <w:pStyle w:val="ListParagraph"/>
        <w:numPr>
          <w:ilvl w:val="0"/>
          <w:numId w:val="2"/>
        </w:numPr>
        <w:spacing w:before="40" w:after="40"/>
      </w:pPr>
      <w:r>
        <w:rPr>
          <w:rFonts w:ascii="Arial" w:cs="Arial" w:eastAsia="Arial" w:hAnsi="Arial"/>
          <w:b w:val="false"/>
          <w:bCs w:val="false"/>
          <w:color w:val="000000"/>
          <w:sz w:val="19"/>
          <w:szCs w:val="19"/>
        </w:rPr>
        <w:t xml:space="preserve">CONTRACTUAL MOATS: Multi-year NaaS contracts lock utilities into the ORION-BEACON ecosystem for the contract duration; enterprise software integration with billing/GIS/SCADA systems adds contractual stickiness. [Inference]</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8. Industry Landscape</w:t>
      </w:r>
    </w:p>
    <w:p>
      <w:pPr>
        <w:spacing w:before="60" w:after="60"/>
        <w:jc w:val="left"/>
      </w:pPr>
      <w:r>
        <w:rPr>
          <w:rFonts w:ascii="Arial" w:cs="Arial" w:eastAsia="Arial" w:hAnsi="Arial"/>
          <w:b w:val="false"/>
          <w:bCs w:val="false"/>
          <w:i w:val="false"/>
          <w:iCs w:val="false"/>
          <w:color w:val="000000"/>
          <w:sz w:val="20"/>
          <w:szCs w:val="20"/>
        </w:rPr>
        <w:t xml:space="preserve">Structure: Oligopolistic in North American utility water metering — top 4-5 players (BMI, Itron/Xylem-Sensus, Neptune/Roper, Mueller) control the majority of installed base. Highly fragmented globally. Barriers to entry: AWWA certification (multi-year), utility procurement relationship (decade-long), manufacturing scale for electronics + hardware, and cellular connectivity infrastructure arrangements. [Source: 10-K FY2024, Competition section]</w:t>
      </w:r>
    </w:p>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Industry shift underway: Only ~1/3 of U.S. water connections have migrated to AMI (vs. older AMR or manual read). This implies the remaining 2/3 represents a multi-decade organic replacement cycle regardless of market share dynamics — the rising tide benefits all incumbents. [Source: Durablevaluecreators.com citing company investor presentations; Inference]</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9. Growth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200"/>
        <w:gridCol w:w="296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Driver</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Mechanism</w:t>
            </w:r>
          </w:p>
        </w:tc>
        <w:tc>
          <w:tcPr>
            <w:tcW w:type="dxa" w:w="1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Time Horizon</w:t>
            </w:r>
          </w:p>
        </w:tc>
        <w:tc>
          <w:tcPr>
            <w:tcW w:type="dxa" w:w="2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Estimated Impact</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AMI Adoption Runway</w:t>
            </w:r>
          </w:p>
        </w:tc>
        <w:tc>
          <w:tcPr>
            <w:tcW w:type="dxa" w:w="3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~2/3 of US connections not yet on AMI; replacement cycle of remaining manual/AMR systems</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5-10 yrs</w:t>
            </w:r>
          </w:p>
        </w:tc>
        <w:tc>
          <w:tcPr>
            <w:tcW w:type="dxa" w:w="29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 — secular, durable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Cellular NaaS Mix Shift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Utilities shift from capex AMI to NaaS opex model; increases recurring revenue/margin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3-5 yrs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 — margin accretive</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SaaS Revenue Expansion</w:t>
            </w:r>
          </w:p>
        </w:tc>
        <w:tc>
          <w:tcPr>
            <w:tcW w:type="dxa" w:w="3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BEACON ecosystem adds water quality, pressure mgmt (RADAR), SmartCover analytics</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3-7 yrs</w:t>
            </w:r>
          </w:p>
        </w:tc>
        <w:tc>
          <w:tcPr>
            <w:tcW w:type="dxa" w:w="29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 — 28% CAGR demonstrated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Infrastructure Funding (IIJA)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Infrastructure Investment &amp; Jobs Act directed ~$55B to water infrastructure; utilities accelerating upgrades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2-6 yrs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Medium-High — cyclical pull-forward</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SmartCover / Sewer Market</w:t>
            </w:r>
          </w:p>
        </w:tc>
        <w:tc>
          <w:tcPr>
            <w:tcW w:type="dxa" w:w="3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&lt;0.5% digital penetration in sewer monitoring; greenfield adjacent market</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5-10 yrs</w:t>
            </w:r>
          </w:p>
        </w:tc>
        <w:tc>
          <w:tcPr>
            <w:tcW w:type="dxa" w:w="29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 potential — early stage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Water Quality Monitoring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s::can, ATi acquisitions; real-time water quality mandates expanding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3-7 yrs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 — building</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International Expansion</w:t>
            </w:r>
          </w:p>
        </w:tc>
        <w:tc>
          <w:tcPr>
            <w:tcW w:type="dxa" w:w="3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Flow instrumentation in non-water markets; limited international push to date</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 yrs</w:t>
            </w:r>
          </w:p>
        </w:tc>
        <w:tc>
          <w:tcPr>
            <w:tcW w:type="dxa" w:w="29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Low-Medium — not primary focus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Tuck-in M&amp;A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13 acquisitions since 2010; strong balance sheet ($295M net cash) for bolt-ons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Ongoing</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 — episodic</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10. Model-Linked Risks</w:t>
      </w:r>
    </w:p>
    <w:p>
      <w:pPr>
        <w:pStyle w:val="ListParagraph"/>
        <w:numPr>
          <w:ilvl w:val="0"/>
          <w:numId w:val="2"/>
        </w:numPr>
        <w:spacing w:before="40" w:after="40"/>
      </w:pPr>
      <w:r>
        <w:rPr>
          <w:rFonts w:ascii="Arial" w:cs="Arial" w:eastAsia="Arial" w:hAnsi="Arial"/>
          <w:b w:val="false"/>
          <w:bCs w:val="false"/>
          <w:color w:val="000000"/>
          <w:sz w:val="20"/>
          <w:szCs w:val="20"/>
        </w:rPr>
        <w:t xml:space="preserve">Municipal budget cyclicality: Utilities facing severe budget pressure may delay AMI deployments; however, meters are utilities' 'cash register' — billing accuracy creates inherent priority. [Source: Q2 2024 Earnings Call]</w:t>
      </w:r>
    </w:p>
    <w:p>
      <w:pPr>
        <w:pStyle w:val="ListParagraph"/>
        <w:numPr>
          <w:ilvl w:val="0"/>
          <w:numId w:val="2"/>
        </w:numPr>
        <w:spacing w:before="40" w:after="40"/>
      </w:pPr>
      <w:r>
        <w:rPr>
          <w:rFonts w:ascii="Arial" w:cs="Arial" w:eastAsia="Arial" w:hAnsi="Arial"/>
          <w:b w:val="false"/>
          <w:bCs w:val="false"/>
          <w:color w:val="000000"/>
          <w:sz w:val="20"/>
          <w:szCs w:val="20"/>
        </w:rPr>
        <w:t xml:space="preserve">Federal funding dependency: IIJA tailwinds could reverse if appropriations stall or water funding is redirected. AMI demand could moderate post-stimulus. [Inference]</w:t>
      </w:r>
    </w:p>
    <w:p>
      <w:pPr>
        <w:pStyle w:val="ListParagraph"/>
        <w:numPr>
          <w:ilvl w:val="0"/>
          <w:numId w:val="2"/>
        </w:numPr>
        <w:spacing w:before="40" w:after="40"/>
      </w:pPr>
      <w:r>
        <w:rPr>
          <w:rFonts w:ascii="Arial" w:cs="Arial" w:eastAsia="Arial" w:hAnsi="Arial"/>
          <w:b w:val="false"/>
          <w:bCs w:val="false"/>
          <w:color w:val="000000"/>
          <w:sz w:val="20"/>
          <w:szCs w:val="20"/>
        </w:rPr>
        <w:t xml:space="preserve">Electronic component supply chain: Post-COVID lesson — supply disruptions delayed deliveries significantly in 2021-2022. Single-source electronic components carry concentration risk. [Source: 10-K Risk Factors]</w:t>
      </w:r>
    </w:p>
    <w:p>
      <w:pPr>
        <w:pStyle w:val="ListParagraph"/>
        <w:numPr>
          <w:ilvl w:val="0"/>
          <w:numId w:val="2"/>
        </w:numPr>
        <w:spacing w:before="40" w:after="40"/>
      </w:pPr>
      <w:r>
        <w:rPr>
          <w:rFonts w:ascii="Arial" w:cs="Arial" w:eastAsia="Arial" w:hAnsi="Arial"/>
          <w:b w:val="false"/>
          <w:bCs w:val="false"/>
          <w:color w:val="000000"/>
          <w:sz w:val="20"/>
          <w:szCs w:val="20"/>
        </w:rPr>
        <w:t xml:space="preserve">Cellular network evolution: ORION Cellular endpoints depend on third-party carriers (3G/4G/5G); 3G network shutdowns required endpoint upgrades in prior generation. Future 4G sunset adds cost and upgrade burden. [Source: 10-K Risk Factors]</w:t>
      </w:r>
    </w:p>
    <w:p>
      <w:pPr>
        <w:pStyle w:val="ListParagraph"/>
        <w:numPr>
          <w:ilvl w:val="0"/>
          <w:numId w:val="2"/>
        </w:numPr>
        <w:spacing w:before="40" w:after="40"/>
      </w:pPr>
      <w:r>
        <w:rPr>
          <w:rFonts w:ascii="Arial" w:cs="Arial" w:eastAsia="Arial" w:hAnsi="Arial"/>
          <w:b w:val="false"/>
          <w:bCs w:val="false"/>
          <w:color w:val="000000"/>
          <w:sz w:val="20"/>
          <w:szCs w:val="20"/>
        </w:rPr>
        <w:t xml:space="preserve">Tariff/trade exposure: Bismuth cost spike and broader electronics tariff risk cited in 2025 earnings. BMI has offset via pricing but sustained tariff escalation would pressure gross margins. [Source: Q3 2025 Earnings]</w:t>
      </w:r>
    </w:p>
    <w:p>
      <w:pPr>
        <w:pStyle w:val="ListParagraph"/>
        <w:numPr>
          <w:ilvl w:val="0"/>
          <w:numId w:val="2"/>
        </w:numPr>
        <w:spacing w:before="40" w:after="40"/>
      </w:pPr>
      <w:r>
        <w:rPr>
          <w:rFonts w:ascii="Arial" w:cs="Arial" w:eastAsia="Arial" w:hAnsi="Arial"/>
          <w:b w:val="false"/>
          <w:bCs w:val="false"/>
          <w:color w:val="000000"/>
          <w:sz w:val="20"/>
          <w:szCs w:val="20"/>
        </w:rPr>
        <w:t xml:space="preserve">SmartCover integration risk: $184M acquisition is material for a company of BMI's size; integration execution and margin accretion timeline are unknowns. [Source: Q4 2024 Earnings Release]</w:t>
      </w:r>
    </w:p>
    <w:p>
      <w:pPr>
        <w:pStyle w:val="ListParagraph"/>
        <w:numPr>
          <w:ilvl w:val="0"/>
          <w:numId w:val="2"/>
        </w:numPr>
        <w:spacing w:before="40" w:after="40"/>
      </w:pPr>
      <w:r>
        <w:rPr>
          <w:rFonts w:ascii="Arial" w:cs="Arial" w:eastAsia="Arial" w:hAnsi="Arial"/>
          <w:b w:val="false"/>
          <w:bCs w:val="false"/>
          <w:color w:val="000000"/>
          <w:sz w:val="20"/>
          <w:szCs w:val="20"/>
        </w:rPr>
        <w:t xml:space="preserve">Competitive response: Itron or Xylem-Sensus could accelerate cellular NaaS capabilities, reducing BMI's differentiation in its highest-growth product line. [Inference]</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11. Historical Evolution (5-Year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1200"/>
        <w:gridCol w:w="1160"/>
      </w:tblGrid>
      <w:tr>
        <w:trPr>
          <w:tblHeader/>
        </w:trPr>
        <w:tc>
          <w:tcPr>
            <w:tcW w:type="dxa" w:w="1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Period</w:t>
            </w:r>
          </w:p>
        </w:tc>
        <w:tc>
          <w:tcPr>
            <w:tcW w:type="dxa" w:w="3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Strategic Move</w:t>
            </w:r>
          </w:p>
        </w:tc>
        <w:tc>
          <w:tcPr>
            <w:tcW w:type="dxa" w:w="1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Revenue</w:t>
            </w:r>
          </w:p>
        </w:tc>
        <w:tc>
          <w:tcPr>
            <w:tcW w:type="dxa" w:w="1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Op Margin</w:t>
            </w:r>
          </w:p>
        </w:tc>
        <w:tc>
          <w:tcPr>
            <w:tcW w:type="dxa" w:w="1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FCF</w:t>
            </w:r>
          </w:p>
        </w:tc>
      </w:tr>
      <w:tr>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2019-2020</w:t>
            </w:r>
          </w:p>
        </w:tc>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AMR to AMI shift begins; s::can acquisition (water quality); COVID disruption limited; demand proved resilient</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$424-426M</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~14.5%</w:t>
            </w:r>
          </w:p>
        </w:tc>
        <w:tc>
          <w:tcPr>
            <w:tcW w:type="dxa" w:w="1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~$73-81M</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2021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ATi acquisition (sensors); supply chain stress begins; backlog builds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$505M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~15.6%</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$81M</w:t>
            </w:r>
          </w:p>
        </w:tc>
      </w:tr>
      <w:tr>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2022</w:t>
            </w:r>
          </w:p>
        </w:tc>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Supply chain peak stress; record order intake; 11.9% revenue growth despite headwinds; Syrinix acquired</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$566M</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~15.4%</w:t>
            </w:r>
          </w:p>
        </w:tc>
        <w:tc>
          <w:tcPr>
            <w:tcW w:type="dxa" w:w="1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$77M</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2023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Supply chain normalizes; record sales growth (+24%); operating margin expansion; Telog assets acquired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$704M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16.8%</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$98M</w:t>
            </w:r>
          </w:p>
        </w:tc>
      </w:tr>
      <w:tr>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2024</w:t>
            </w:r>
          </w:p>
        </w:tc>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BlueEdge brand launched; SaaS $56M+; operating margin 19.1%; SmartCover announced; record FCF $142M</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$827M</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19.1%</w:t>
            </w:r>
          </w:p>
        </w:tc>
        <w:tc>
          <w:tcPr>
            <w:tcW w:type="dxa" w:w="1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$142M</w:t>
            </w:r>
          </w:p>
        </w:tc>
      </w:tr>
    </w:tbl>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The consistent strategic theme over 10 years: move 'beyond the meter' — from a hardware company to a hardware-enabled software platform. Each acquisition (s::can, ATi, Syrinix, Telog, SmartCover) adds a new data stream into BlueEdge, deepening the platform and expanding the TAM. [Source: 2024 Annual Report shareholder letter; 10-K FY2024]</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12. Cyclicality</w:t>
      </w:r>
    </w:p>
    <w:p>
      <w:pPr>
        <w:spacing w:before="60" w:after="60"/>
        <w:jc w:val="left"/>
      </w:pPr>
      <w:r>
        <w:rPr>
          <w:rFonts w:ascii="Arial" w:cs="Arial" w:eastAsia="Arial" w:hAnsi="Arial"/>
          <w:b w:val="false"/>
          <w:bCs w:val="false"/>
          <w:i w:val="false"/>
          <w:iCs w:val="false"/>
          <w:color w:val="000000"/>
          <w:sz w:val="20"/>
          <w:szCs w:val="20"/>
        </w:rPr>
        <w:t xml:space="preserve">Assessment: LOW cyclicality, HIGH predictability. Municipal utility spending is driven by non-discretionary factors (federal regulation, infrastructure replacement mandates, water billing needs) rather than economic cycles. Water utilities are essential service providers — they do not reduce headcount or defer meter replacements during recessions in the same way discretionary industrials do. BMI's CEO explicitly stated that budget-pressured utilities 'reprioritize their budget to do metering replacements' because meters are their 'cash register.' [Source: Q2 2024 Earnings Call]</w:t>
      </w:r>
    </w:p>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The 2020 COVID test: Revenue was essentially flat at $426M vs. $425M — remarkable resilience in a global pandemic year. This validated the non-cyclical thesis empirically. [Source: 2024 Annual Report historical data]</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13. One-Sentence Money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8"/>
              <w:left w:val="single" w:color="2E6DA4" w:sz="4"/>
              <w:bottom w:val="single" w:color="2E6DA4" w:sz="4"/>
              <w:right w:val="single" w:color="2E6DA4" w:sz="4"/>
            </w:tcBorders>
            <w:shd w:fill="EEF5FB" w:val="clear"/>
            <w:tcMar>
              <w:top w:type="dxa" w:w="120"/>
              <w:left w:type="dxa" w:w="180"/>
              <w:bottom w:type="dxa" w:w="120"/>
              <w:right w:type="dxa" w:w="180"/>
            </w:tcMar>
          </w:tcPr>
          <w:p>
            <w:r>
              <w:rPr>
                <w:rFonts w:ascii="Arial" w:cs="Arial" w:eastAsia="Arial" w:hAnsi="Arial"/>
                <w:b/>
                <w:bCs/>
                <w:color w:val="2E6DA4"/>
                <w:sz w:val="20"/>
                <w:szCs w:val="20"/>
              </w:rPr>
              <w:t xml:space="preserve">The Money Engine:</w:t>
            </w:r>
          </w:p>
          <w:p>
            <w:r>
              <w:rPr>
                <w:rFonts w:ascii="Arial" w:cs="Arial" w:eastAsia="Arial" w:hAnsi="Arial"/>
                <w:color w:val="1A1A1A"/>
                <w:sz w:val="19"/>
                <w:szCs w:val="19"/>
              </w:rPr>
              <w:t xml:space="preserve">Badger Meter sells water utilities a proprietary hardware-plus-software system with 15-20 year physical replacement cycles, then layers a recurring monthly NaaS/SaaS subscription on top — extracting compounding returns from infrastructure that, once installed, is nearly impossible to remove.</w:t>
            </w:r>
          </w:p>
        </w:tc>
      </w:tr>
    </w:tbl>
    <w:p>
      <w:pPr>
        <w:spacing w:before="80" w:after="0"/>
      </w:pPr>
      <w:r>
        <w:t xml:space="preserve"/>
      </w:r>
    </w:p>
    <w:p>
      <w:pPr>
        <w:spacing w:before="200" w:after="80"/>
      </w:pPr>
      <w:r>
        <w:rPr>
          <w:rFonts w:ascii="Arial" w:cs="Arial" w:eastAsia="Arial" w:hAnsi="Arial"/>
          <w:b/>
          <w:bCs/>
          <w:color w:val="1B3A6B"/>
          <w:sz w:val="22"/>
          <w:szCs w:val="22"/>
        </w:rPr>
        <w:t xml:space="preserve">5-Point Investor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Dimension</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Assessment</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 Core Strength</w:t>
            </w:r>
          </w:p>
        </w:tc>
        <w:tc>
          <w:tcPr>
            <w:tcW w:type="dxa" w:w="7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Physical switching costs + regulatory certification + SaaS flywheel = arguably the most durable hardware-software moat in US small-cap industrials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 Key Dependency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Municipal utility capital budgets + federal infrastructure funding (IIJA) driving near-term AMI deployment pace</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 Top Growth Driver</w:t>
            </w:r>
          </w:p>
        </w:tc>
        <w:tc>
          <w:tcPr>
            <w:tcW w:type="dxa" w:w="7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ORION NaaS cellular AMI adoption — ~2/3 of US connections still on older technology; 28% SaaS CAGR continuing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 Main 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Tariff/supply chain pressure on hardware margins + SmartCover integration execution + post-IIJA demand normalization</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 Biggest Unknown</w:t>
            </w:r>
          </w:p>
        </w:tc>
        <w:tc>
          <w:tcPr>
            <w:tcW w:type="dxa" w:w="7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Long-term SaaS revenue as % of total (not disclosed as a % of mix — is the shift to &gt;20% SaaS happening faster or slower than implied?)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220"/>
              <w:left w:type="dxa" w:w="300"/>
              <w:bottom w:type="dxa" w:w="220"/>
              <w:right w:type="dxa" w:w="300"/>
            </w:tcMar>
          </w:tcPr>
          <w:p>
            <w:r>
              <w:rPr>
                <w:rFonts w:ascii="Arial" w:cs="Arial" w:eastAsia="Arial" w:hAnsi="Arial"/>
                <w:b/>
                <w:bCs/>
                <w:color w:val="C8973A"/>
                <w:sz w:val="20"/>
                <w:szCs w:val="20"/>
              </w:rPr>
              <w:t xml:space="preserve">PROMPT 2  </w:t>
            </w:r>
            <w:r>
              <w:rPr>
                <w:rFonts w:ascii="Arial" w:cs="Arial" w:eastAsia="Arial" w:hAnsi="Arial"/>
                <w:b/>
                <w:bCs/>
                <w:color w:val="FFFFFF"/>
                <w:sz w:val="28"/>
                <w:szCs w:val="28"/>
              </w:rPr>
              <w:t xml:space="preserve">GROWTH DRIVERS &amp; MARGINS</w:t>
            </w:r>
          </w:p>
          <w:p>
            <w:pPr>
              <w:spacing w:before="40"/>
            </w:pPr>
            <w:r>
              <w:rPr>
                <w:rFonts w:ascii="Arial" w:cs="Arial" w:eastAsia="Arial" w:hAnsi="Arial"/>
                <w:i/>
                <w:iCs/>
                <w:color w:val="C8DFF0"/>
                <w:sz w:val="20"/>
                <w:szCs w:val="20"/>
              </w:rPr>
              <w:t xml:space="preserve">Revenue Logic, Margin Mechanics, Cash Conversion, Cycle Exposure</w:t>
            </w:r>
          </w:p>
        </w:tc>
      </w:tr>
    </w:tbl>
    <w:p>
      <w:pPr>
        <w:spacing w:before="120" w:after="0"/>
      </w:pPr>
      <w:r>
        <w:t xml:space="preserve"/>
      </w:r>
    </w:p>
    <w:p>
      <w:pPr>
        <w:pStyle w:val="Heading2"/>
        <w:spacing w:before="280" w:after="120"/>
      </w:pPr>
      <w:r>
        <w:rPr>
          <w:rFonts w:ascii="Arial" w:cs="Arial" w:eastAsia="Arial" w:hAnsi="Arial"/>
          <w:b/>
          <w:bCs/>
          <w:color w:val="2E6DA4"/>
          <w:sz w:val="28"/>
          <w:szCs w:val="28"/>
        </w:rPr>
        <w:t xml:space="preserve">A) Executive Snapshot</w:t>
      </w:r>
    </w:p>
    <w:p>
      <w:pPr>
        <w:spacing w:before="200" w:after="80"/>
      </w:pPr>
      <w:r>
        <w:rPr>
          <w:rFonts w:ascii="Arial" w:cs="Arial" w:eastAsia="Arial" w:hAnsi="Arial"/>
          <w:b/>
          <w:bCs/>
          <w:color w:val="1B3A6B"/>
          <w:sz w:val="22"/>
          <w:szCs w:val="22"/>
        </w:rPr>
        <w:t xml:space="preserve">Main Growth Drivers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000"/>
        <w:gridCol w:w="3200"/>
        <w:gridCol w:w="3620"/>
      </w:tblGrid>
      <w:tr>
        <w:trPr>
          <w:tblHeader/>
        </w:trPr>
        <w:tc>
          <w:tcPr>
            <w:tcW w:type="dxa" w:w="5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Rank</w:t>
            </w:r>
          </w:p>
        </w:tc>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Driver</w:t>
            </w:r>
          </w:p>
        </w:tc>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Mechanism</w:t>
            </w:r>
          </w:p>
        </w:tc>
        <w:tc>
          <w:tcPr>
            <w:tcW w:type="dxa" w:w="36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Evidence</w:t>
            </w:r>
          </w:p>
        </w:tc>
      </w:tr>
      <w:tr>
        <w:tc>
          <w:tcPr>
            <w:tcW w:type="dxa" w:w="5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w:t>
            </w:r>
          </w:p>
        </w:tc>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AMI adoption &amp; NaaS migration</w:t>
            </w:r>
          </w:p>
        </w:tc>
        <w:tc>
          <w:tcPr>
            <w:tcW w:type="dxa" w:w="3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2/3 of US connections on manual/AMR; cellular NaaS converts one-time capex into recurring opex</w:t>
            </w:r>
          </w:p>
        </w:tc>
        <w:tc>
          <w:tcPr>
            <w:tcW w:type="dxa" w:w="36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Utility water sales +20% YoY FY2024 [Disclosure]</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SaaS revenue expansion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BEACON, RADAR, SmartCover analytics; 28% 5yr CAGR; incremental margin above line average</w:t>
            </w:r>
          </w:p>
        </w:tc>
        <w:tc>
          <w:tcPr>
            <w:tcW w:type="dxa" w:w="3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$56M+ software FY2024 [Disclosure]</w:t>
            </w:r>
          </w:p>
        </w:tc>
      </w:tr>
      <w:tr>
        <w:tc>
          <w:tcPr>
            <w:tcW w:type="dxa" w:w="5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w:t>
            </w:r>
          </w:p>
        </w:tc>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Value-based pricing</w:t>
            </w:r>
          </w:p>
        </w:tc>
        <w:tc>
          <w:tcPr>
            <w:tcW w:type="dxa" w:w="3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Mix shift to premium AMI endpoints and SaaS; price increases offsetting input inflation</w:t>
            </w:r>
          </w:p>
        </w:tc>
        <w:tc>
          <w:tcPr>
            <w:tcW w:type="dxa" w:w="36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230bp margin expansion FY24 [Disclosure]</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Infrastructure funding tailwinds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IIJA ~$55B for water; EPA water quality mandates accelerate upgrade budgets</w:t>
            </w:r>
          </w:p>
        </w:tc>
        <w:tc>
          <w:tcPr>
            <w:tcW w:type="dxa" w:w="3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CEO commentary multiple calls [Disclosure]</w:t>
            </w:r>
          </w:p>
        </w:tc>
      </w:tr>
      <w:tr>
        <w:tc>
          <w:tcPr>
            <w:tcW w:type="dxa" w:w="5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w:t>
            </w:r>
          </w:p>
        </w:tc>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M&amp;A / Adjacent markets</w:t>
            </w:r>
          </w:p>
        </w:tc>
        <w:tc>
          <w:tcPr>
            <w:tcW w:type="dxa" w:w="3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SmartCover (sewer), Syrinix (pressure), Telog (remote monitoring) — tuck-in integration</w:t>
            </w:r>
          </w:p>
        </w:tc>
        <w:tc>
          <w:tcPr>
            <w:tcW w:type="dxa" w:w="36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13 acquisitions since 2010 [Disclosure]</w:t>
            </w:r>
          </w:p>
        </w:tc>
      </w:tr>
    </w:tbl>
    <w:p>
      <w:pPr>
        <w:spacing w:before="80" w:after="0"/>
      </w:pPr>
      <w:r>
        <w:t xml:space="preserve"/>
      </w:r>
    </w:p>
    <w:p>
      <w:pPr>
        <w:spacing w:before="200" w:after="80"/>
      </w:pPr>
      <w:r>
        <w:rPr>
          <w:rFonts w:ascii="Arial" w:cs="Arial" w:eastAsia="Arial" w:hAnsi="Arial"/>
          <w:b/>
          <w:bCs/>
          <w:color w:val="1B3A6B"/>
          <w:sz w:val="22"/>
          <w:szCs w:val="22"/>
        </w:rPr>
        <w:t xml:space="preserve">Main Margin Levers (Ranked)</w:t>
      </w:r>
    </w:p>
    <w:p>
      <w:pPr>
        <w:pStyle w:val="ListParagraph"/>
        <w:numPr>
          <w:ilvl w:val="0"/>
          <w:numId w:val="2"/>
        </w:numPr>
        <w:spacing w:before="40" w:after="40"/>
      </w:pPr>
      <w:r>
        <w:rPr>
          <w:rFonts w:ascii="Arial" w:cs="Arial" w:eastAsia="Arial" w:hAnsi="Arial"/>
          <w:b w:val="false"/>
          <w:bCs w:val="false"/>
          <w:color w:val="000000"/>
          <w:sz w:val="20"/>
          <w:szCs w:val="20"/>
        </w:rPr>
        <w:t xml:space="preserve">MIX SHIFT: Higher-margin ORION Cellular endpoints + BEACON SaaS replacing lower-margin mechanical meters and AMR products → gross margin 38% (2020) to 41% (2024). [Disclosure]</w:t>
      </w:r>
    </w:p>
    <w:p>
      <w:pPr>
        <w:pStyle w:val="ListParagraph"/>
        <w:numPr>
          <w:ilvl w:val="0"/>
          <w:numId w:val="2"/>
        </w:numPr>
        <w:spacing w:before="40" w:after="40"/>
      </w:pPr>
      <w:r>
        <w:rPr>
          <w:rFonts w:ascii="Arial" w:cs="Arial" w:eastAsia="Arial" w:hAnsi="Arial"/>
          <w:b w:val="false"/>
          <w:bCs w:val="false"/>
          <w:color w:val="000000"/>
          <w:sz w:val="20"/>
          <w:szCs w:val="20"/>
        </w:rPr>
        <w:t xml:space="preserve">SEA LEVERAGE: Selling, Engineering &amp; Administration expenses scale slower than revenue; SEA as % of revenue improved ~200bps over 2022-2024. [Inference from earnings calls]</w:t>
      </w:r>
    </w:p>
    <w:p>
      <w:pPr>
        <w:pStyle w:val="ListParagraph"/>
        <w:numPr>
          <w:ilvl w:val="0"/>
          <w:numId w:val="2"/>
        </w:numPr>
        <w:spacing w:before="40" w:after="40"/>
      </w:pPr>
      <w:r>
        <w:rPr>
          <w:rFonts w:ascii="Arial" w:cs="Arial" w:eastAsia="Arial" w:hAnsi="Arial"/>
          <w:b w:val="false"/>
          <w:bCs w:val="false"/>
          <w:color w:val="000000"/>
          <w:sz w:val="20"/>
          <w:szCs w:val="20"/>
        </w:rPr>
        <w:t xml:space="preserve">VOLUME LEVERAGE: Fixed manufacturing overhead spread across higher production volumes; incremental gross margins on cellular AMI estimated 50-60%+ [Inference]</w:t>
      </w:r>
    </w:p>
    <w:p>
      <w:pPr>
        <w:pStyle w:val="ListParagraph"/>
        <w:numPr>
          <w:ilvl w:val="0"/>
          <w:numId w:val="2"/>
        </w:numPr>
        <w:spacing w:before="40" w:after="40"/>
      </w:pPr>
      <w:r>
        <w:rPr>
          <w:rFonts w:ascii="Arial" w:cs="Arial" w:eastAsia="Arial" w:hAnsi="Arial"/>
          <w:b w:val="false"/>
          <w:bCs w:val="false"/>
          <w:color w:val="000000"/>
          <w:sz w:val="20"/>
          <w:szCs w:val="20"/>
        </w:rPr>
        <w:t xml:space="preserve">VALUE-BASED PRICING: BMI explicitly references 'price/cost management' as a key lever; passed through bismuth cost spikes and electronic tariffs via price increases without customer loss. [Source: Q3 2025 Earnings]</w:t>
      </w:r>
    </w:p>
    <w:p>
      <w:pPr>
        <w:pStyle w:val="ListParagraph"/>
        <w:numPr>
          <w:ilvl w:val="0"/>
          <w:numId w:val="2"/>
        </w:numPr>
        <w:spacing w:before="40" w:after="40"/>
      </w:pPr>
      <w:r>
        <w:rPr>
          <w:rFonts w:ascii="Arial" w:cs="Arial" w:eastAsia="Arial" w:hAnsi="Arial"/>
          <w:b w:val="false"/>
          <w:bCs w:val="false"/>
          <w:color w:val="000000"/>
          <w:sz w:val="20"/>
          <w:szCs w:val="20"/>
        </w:rPr>
        <w:t xml:space="preserve">SaaS MARGIN ACCRETION: Software segment gross margin is structurally higher than hardware; as SaaS grows from 7% to potentially 15-20%+ of revenue, blended gross margin expands. [Inference]</w:t>
      </w:r>
    </w:p>
    <w:p>
      <w:pPr>
        <w:spacing w:before="60" w:after="0"/>
      </w:pPr>
      <w:r>
        <w:t xml:space="preserve"/>
      </w:r>
    </w:p>
    <w:p>
      <w:pPr>
        <w:spacing w:before="60" w:after="60"/>
        <w:jc w:val="left"/>
      </w:pPr>
      <w:r>
        <w:rPr>
          <w:rFonts w:ascii="Arial" w:cs="Arial" w:eastAsia="Arial" w:hAnsi="Arial"/>
          <w:b/>
          <w:bCs/>
          <w:i w:val="false"/>
          <w:iCs w:val="false"/>
          <w:color w:val="1B3A6B"/>
          <w:sz w:val="20"/>
          <w:szCs w:val="20"/>
        </w:rPr>
        <w:t xml:space="preserve">Cycle Exposure: </w:t>
      </w:r>
      <w:r>
        <w:rPr>
          <w:rFonts w:ascii="Arial" w:cs="Arial" w:eastAsia="Arial" w:hAnsi="Arial"/>
          <w:b w:val="false"/>
          <w:bCs w:val="false"/>
          <w:i w:val="false"/>
          <w:iCs w:val="false"/>
          <w:color w:val="000000"/>
          <w:sz w:val="20"/>
          <w:szCs w:val="20"/>
        </w:rPr>
        <w:t xml:space="preserve">LOW. Revenue/margin sensitivity to economic cycles is among the lowest in the industrial sector — utility spending driven by regulatory mandates and non-revenue water economics, not discretionary capex.</w:t>
      </w:r>
    </w:p>
    <w:p>
      <w:pPr>
        <w:spacing w:before="60" w:after="0"/>
      </w:pPr>
      <w:r>
        <w:t xml:space="preserve"/>
      </w:r>
    </w:p>
    <w:p>
      <w:pPr>
        <w:spacing w:before="200" w:after="80"/>
      </w:pPr>
      <w:r>
        <w:rPr>
          <w:rFonts w:ascii="Arial" w:cs="Arial" w:eastAsia="Arial" w:hAnsi="Arial"/>
          <w:b/>
          <w:bCs/>
          <w:color w:val="1B3A6B"/>
          <w:sz w:val="22"/>
          <w:szCs w:val="22"/>
        </w:rPr>
        <w:t xml:space="preserve">3 Watch Items (Leading Indicators)</w:t>
      </w:r>
    </w:p>
    <w:p>
      <w:pPr>
        <w:pStyle w:val="ListParagraph"/>
        <w:numPr>
          <w:ilvl w:val="0"/>
          <w:numId w:val="2"/>
        </w:numPr>
        <w:spacing w:before="40" w:after="40"/>
      </w:pPr>
      <w:r>
        <w:rPr>
          <w:rFonts w:ascii="Arial" w:cs="Arial" w:eastAsia="Arial" w:hAnsi="Arial"/>
          <w:b w:val="false"/>
          <w:bCs w:val="false"/>
          <w:color w:val="000000"/>
          <w:sz w:val="20"/>
          <w:szCs w:val="20"/>
        </w:rPr>
        <w:t xml:space="preserve">AMI order intake / backlog: Normalizing backlog in H2 2024 signals transition from post-supply-chain catch-up to organic demand; monitor for re-acceleration or further normalization. [Source: Q2 2024 Earnings Call]</w:t>
      </w:r>
    </w:p>
    <w:p>
      <w:pPr>
        <w:pStyle w:val="ListParagraph"/>
        <w:numPr>
          <w:ilvl w:val="0"/>
          <w:numId w:val="2"/>
        </w:numPr>
        <w:spacing w:before="40" w:after="40"/>
      </w:pPr>
      <w:r>
        <w:rPr>
          <w:rFonts w:ascii="Arial" w:cs="Arial" w:eastAsia="Arial" w:hAnsi="Arial"/>
          <w:b w:val="false"/>
          <w:bCs w:val="false"/>
          <w:color w:val="000000"/>
          <w:sz w:val="20"/>
          <w:szCs w:val="20"/>
        </w:rPr>
        <w:t xml:space="preserve">Software revenue growth rate: Must sustain &gt;20% YoY to validate the SaaS transition thesis; Q3 2025 showed continued momentum but SmartCover is now included. [Disclosure]</w:t>
      </w:r>
    </w:p>
    <w:p>
      <w:pPr>
        <w:pStyle w:val="ListParagraph"/>
        <w:numPr>
          <w:ilvl w:val="0"/>
          <w:numId w:val="2"/>
        </w:numPr>
        <w:spacing w:before="40" w:after="40"/>
      </w:pPr>
      <w:r>
        <w:rPr>
          <w:rFonts w:ascii="Arial" w:cs="Arial" w:eastAsia="Arial" w:hAnsi="Arial"/>
          <w:b w:val="false"/>
          <w:bCs w:val="false"/>
          <w:color w:val="000000"/>
          <w:sz w:val="20"/>
          <w:szCs w:val="20"/>
        </w:rPr>
        <w:t xml:space="preserve">Gross margin band: Management raised normalized range from 38-40% to 39-42% in Q3 2025 — track whether this holds under tariff pressure or represents structural improvement. [Source: Q3 2025 Earnings]</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B) Revenue Logic &amp; Growth Decomposition</w:t>
      </w:r>
    </w:p>
    <w:p>
      <w:pPr>
        <w:spacing w:before="60" w:after="60"/>
        <w:jc w:val="left"/>
      </w:pPr>
      <w:r>
        <w:rPr>
          <w:rFonts w:ascii="Arial" w:cs="Arial" w:eastAsia="Arial" w:hAnsi="Arial"/>
          <w:b w:val="false"/>
          <w:bCs w:val="false"/>
          <w:i w:val="false"/>
          <w:iCs w:val="false"/>
          <w:color w:val="000000"/>
          <w:sz w:val="20"/>
          <w:szCs w:val="20"/>
        </w:rPr>
        <w:t xml:space="preserve">BMI's business model is a hardware-enabled software platform. Revenue monetization occurs in two stages: (1) hardware sale at project award (one-time, per-endpoint and per-meter), then (2) recurring SaaS/NaaS fee over the life of deployment. The transition from AMR to AMI, and from AMI with owned infrastructure to NaaS cellular, is the primary monetization upgrade driving the entire growth story. [Source: 10-K FY2024]</w:t>
      </w:r>
    </w:p>
    <w:p>
      <w:pPr>
        <w:spacing w:before="6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360"/>
        <w:gridCol w:w="1800"/>
      </w:tblGrid>
      <w:tr>
        <w:trPr>
          <w:tblHeader/>
        </w:trPr>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Growth Bucket</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Driver</w:t>
            </w:r>
          </w:p>
        </w:tc>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Evidence</w:t>
            </w:r>
          </w:p>
        </w:tc>
        <w:tc>
          <w:tcPr>
            <w:tcW w:type="dxa" w:w="1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 Impact</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Margin Impact</w:t>
            </w:r>
          </w:p>
        </w:tc>
      </w:tr>
      <w:tr>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Volume — New Logos</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AMI conversions from AMR/manual; ~50K US utilities, only ~1/3 on AMI</w:t>
            </w:r>
          </w:p>
        </w:tc>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Utility water sales +20% FY2024</w:t>
            </w:r>
          </w:p>
        </w:tc>
        <w:tc>
          <w:tcPr>
            <w:tcW w:type="dxa" w:w="1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Neutral → Positive (mix)</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Volume — Installed Base Expansion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Existing customers adding water quality, pressure, sewer monitoring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SmartCover, Syrinix, Telog attachments</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Positive</w:t>
            </w:r>
          </w:p>
        </w:tc>
      </w:tr>
      <w:tr>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Price</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Value-based pricing; AMI premium over AMR; annual SaaS price escalators</w:t>
            </w:r>
          </w:p>
        </w:tc>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CEO: 'value-based price/cost management' [Earnings calls]</w:t>
            </w:r>
          </w:p>
        </w:tc>
        <w:tc>
          <w:tcPr>
            <w:tcW w:type="dxa" w:w="1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Positive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Mix</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Shift from mechanical to ultrasonic to cellular; hardware to SaaS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Software CAGR 28% [Disclosure]</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Highly Positive</w:t>
            </w:r>
          </w:p>
        </w:tc>
      </w:tr>
      <w:tr>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New Markets/Geos</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Sewer monitoring (SmartCover); international flow instrumentation</w:t>
            </w:r>
          </w:p>
        </w:tc>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SmartCover $27.8M first 8mo [Disclosure]</w:t>
            </w:r>
          </w:p>
        </w:tc>
        <w:tc>
          <w:tcPr>
            <w:tcW w:type="dxa" w:w="1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Emerging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Positive potential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M&amp;A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Tuck-in acquisitions extending BlueEdge suite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13 acquisitions 2010-2025 [Disclosure]</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Episodic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Neutral → Accretive</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C) Margin Drivers: Gross → Operating → Cash</w:t>
      </w:r>
    </w:p>
    <w:p>
      <w:pPr>
        <w:spacing w:before="200" w:after="80"/>
      </w:pPr>
      <w:r>
        <w:rPr>
          <w:rFonts w:ascii="Arial" w:cs="Arial" w:eastAsia="Arial" w:hAnsi="Arial"/>
          <w:b/>
          <w:bCs/>
          <w:color w:val="1B3A6B"/>
          <w:sz w:val="22"/>
          <w:szCs w:val="22"/>
        </w:rPr>
        <w:t xml:space="preserve">Gross Margin (~40-41%)</w:t>
      </w:r>
    </w:p>
    <w:p>
      <w:pPr>
        <w:pStyle w:val="ListParagraph"/>
        <w:numPr>
          <w:ilvl w:val="0"/>
          <w:numId w:val="2"/>
        </w:numPr>
        <w:spacing w:before="40" w:after="40"/>
      </w:pPr>
      <w:r>
        <w:rPr>
          <w:rFonts w:ascii="Arial" w:cs="Arial" w:eastAsia="Arial" w:hAnsi="Arial"/>
          <w:b w:val="false"/>
          <w:bCs w:val="false"/>
          <w:color w:val="000000"/>
          <w:sz w:val="20"/>
          <w:szCs w:val="20"/>
        </w:rPr>
        <w:t xml:space="preserve">Input costs: Electronics (cellular chips, encoders) ~largest variable COGS; brass/polymer for meter bodies; cellular connectivity access fees for NaaS product. [Inference]</w:t>
      </w:r>
    </w:p>
    <w:p>
      <w:pPr>
        <w:pStyle w:val="ListParagraph"/>
        <w:numPr>
          <w:ilvl w:val="0"/>
          <w:numId w:val="2"/>
        </w:numPr>
        <w:spacing w:before="40" w:after="40"/>
      </w:pPr>
      <w:r>
        <w:rPr>
          <w:rFonts w:ascii="Arial" w:cs="Arial" w:eastAsia="Arial" w:hAnsi="Arial"/>
          <w:b w:val="false"/>
          <w:bCs w:val="false"/>
          <w:color w:val="000000"/>
          <w:sz w:val="20"/>
          <w:szCs w:val="20"/>
        </w:rPr>
        <w:t xml:space="preserve">Mix effect: ORION Cellular endpoint + BEACON SaaS have structurally higher margins than mechanical meters; each percentage point shift toward AMI/SaaS expands blended gross margin. [Disclosure/Inference]</w:t>
      </w:r>
    </w:p>
    <w:p>
      <w:pPr>
        <w:pStyle w:val="ListParagraph"/>
        <w:numPr>
          <w:ilvl w:val="0"/>
          <w:numId w:val="2"/>
        </w:numPr>
        <w:spacing w:before="40" w:after="40"/>
      </w:pPr>
      <w:r>
        <w:rPr>
          <w:rFonts w:ascii="Arial" w:cs="Arial" w:eastAsia="Arial" w:hAnsi="Arial"/>
          <w:b w:val="false"/>
          <w:bCs w:val="false"/>
          <w:color w:val="000000"/>
          <w:sz w:val="20"/>
          <w:szCs w:val="20"/>
        </w:rPr>
        <w:t xml:space="preserve">Pricing pass-through: BMI demonstrated ability to pass through bismuth cost spikes and electronic tariff costs via price increases, protecting gross margins. [Source: Q3 2025 Earnings Release]</w:t>
      </w:r>
    </w:p>
    <w:p>
      <w:pPr>
        <w:pStyle w:val="ListParagraph"/>
        <w:numPr>
          <w:ilvl w:val="0"/>
          <w:numId w:val="2"/>
        </w:numPr>
        <w:spacing w:before="40" w:after="40"/>
      </w:pPr>
      <w:r>
        <w:rPr>
          <w:rFonts w:ascii="Arial" w:cs="Arial" w:eastAsia="Arial" w:hAnsi="Arial"/>
          <w:b w:val="false"/>
          <w:bCs w:val="false"/>
          <w:color w:val="000000"/>
          <w:sz w:val="20"/>
          <w:szCs w:val="20"/>
        </w:rPr>
        <w:t xml:space="preserve">New gross margin guidance range: 39-42% (raised from 38-40% in Q3 2025). [Source: Q3 2025 Earnings Call]</w:t>
      </w:r>
    </w:p>
    <w:p>
      <w:pPr>
        <w:spacing w:before="60" w:after="0"/>
      </w:pPr>
      <w:r>
        <w:t xml:space="preserve"/>
      </w:r>
    </w:p>
    <w:p>
      <w:pPr>
        <w:spacing w:before="200" w:after="80"/>
      </w:pPr>
      <w:r>
        <w:rPr>
          <w:rFonts w:ascii="Arial" w:cs="Arial" w:eastAsia="Arial" w:hAnsi="Arial"/>
          <w:b/>
          <w:bCs/>
          <w:color w:val="1B3A6B"/>
          <w:sz w:val="22"/>
          <w:szCs w:val="22"/>
        </w:rPr>
        <w:t xml:space="preserve">Operating Margin (~19-20%)</w:t>
      </w:r>
    </w:p>
    <w:p>
      <w:pPr>
        <w:pStyle w:val="ListParagraph"/>
        <w:numPr>
          <w:ilvl w:val="0"/>
          <w:numId w:val="2"/>
        </w:numPr>
        <w:spacing w:before="40" w:after="40"/>
      </w:pPr>
      <w:r>
        <w:rPr>
          <w:rFonts w:ascii="Arial" w:cs="Arial" w:eastAsia="Arial" w:hAnsi="Arial"/>
          <w:b w:val="false"/>
          <w:bCs w:val="false"/>
          <w:color w:val="000000"/>
          <w:sz w:val="20"/>
          <w:szCs w:val="20"/>
        </w:rPr>
        <w:t xml:space="preserve">SEA expenses: ~21-22% of revenue; includes R&amp;D, sales comp, engineering. Scale benefits as revenue grows — SEA leverage drove ~180-200bps margin improvement over 2022-2024. [Inference from earnings data]</w:t>
      </w:r>
    </w:p>
    <w:p>
      <w:pPr>
        <w:pStyle w:val="ListParagraph"/>
        <w:numPr>
          <w:ilvl w:val="0"/>
          <w:numId w:val="2"/>
        </w:numPr>
        <w:spacing w:before="40" w:after="40"/>
      </w:pPr>
      <w:r>
        <w:rPr>
          <w:rFonts w:ascii="Arial" w:cs="Arial" w:eastAsia="Arial" w:hAnsi="Arial"/>
          <w:b w:val="false"/>
          <w:bCs w:val="false"/>
          <w:color w:val="000000"/>
          <w:sz w:val="20"/>
          <w:szCs w:val="20"/>
        </w:rPr>
        <w:t xml:space="preserve">R&amp;D intensity: Not separately disclosed; embedded in SEA. BMI is innovation-driven (ultrasonic meters, cellular endpoints, BEACON ML features) but not a heavy R&amp;D spender vs. revenue. [Inference]</w:t>
      </w:r>
    </w:p>
    <w:p>
      <w:pPr>
        <w:pStyle w:val="ListParagraph"/>
        <w:numPr>
          <w:ilvl w:val="0"/>
          <w:numId w:val="2"/>
        </w:numPr>
        <w:spacing w:before="40" w:after="40"/>
      </w:pPr>
      <w:r>
        <w:rPr>
          <w:rFonts w:ascii="Arial" w:cs="Arial" w:eastAsia="Arial" w:hAnsi="Arial"/>
          <w:b w:val="false"/>
          <w:bCs w:val="false"/>
          <w:color w:val="000000"/>
          <w:sz w:val="20"/>
          <w:szCs w:val="20"/>
        </w:rPr>
        <w:t xml:space="preserve">Intangible amortization: Acquisitions (SmartCover ~$184M) introduce amortization — management presents 'Base' operating margins excluding amortization to show core economics. [Source: Q3 2025 Earnings]</w:t>
      </w:r>
    </w:p>
    <w:p>
      <w:pPr>
        <w:spacing w:before="60" w:after="0"/>
      </w:pPr>
      <w:r>
        <w:t xml:space="preserve"/>
      </w:r>
    </w:p>
    <w:p>
      <w:pPr>
        <w:spacing w:before="200" w:after="80"/>
      </w:pPr>
      <w:r>
        <w:rPr>
          <w:rFonts w:ascii="Arial" w:cs="Arial" w:eastAsia="Arial" w:hAnsi="Arial"/>
          <w:b/>
          <w:bCs/>
          <w:color w:val="1B3A6B"/>
          <w:sz w:val="22"/>
          <w:szCs w:val="22"/>
        </w:rPr>
        <w:t xml:space="preserve">Cash Margin / FCF Conversion</w:t>
      </w:r>
    </w:p>
    <w:p>
      <w:pPr>
        <w:pStyle w:val="ListParagraph"/>
        <w:numPr>
          <w:ilvl w:val="0"/>
          <w:numId w:val="2"/>
        </w:numPr>
        <w:spacing w:before="40" w:after="40"/>
      </w:pPr>
      <w:r>
        <w:rPr>
          <w:rFonts w:ascii="Arial" w:cs="Arial" w:eastAsia="Arial" w:hAnsi="Arial"/>
          <w:b w:val="false"/>
          <w:bCs w:val="false"/>
          <w:color w:val="000000"/>
          <w:sz w:val="20"/>
          <w:szCs w:val="20"/>
        </w:rPr>
        <w:t xml:space="preserve">FCF conversion: 114% of net earnings in FY2024 — exceptional, reflecting strong working capital management and low capex intensity. [Source: 2024 Annual Report]</w:t>
      </w:r>
    </w:p>
    <w:p>
      <w:pPr>
        <w:pStyle w:val="ListParagraph"/>
        <w:numPr>
          <w:ilvl w:val="0"/>
          <w:numId w:val="2"/>
        </w:numPr>
        <w:spacing w:before="40" w:after="40"/>
      </w:pPr>
      <w:r>
        <w:rPr>
          <w:rFonts w:ascii="Arial" w:cs="Arial" w:eastAsia="Arial" w:hAnsi="Arial"/>
          <w:b w:val="false"/>
          <w:bCs w:val="false"/>
          <w:color w:val="000000"/>
          <w:sz w:val="20"/>
          <w:szCs w:val="20"/>
        </w:rPr>
        <w:t xml:space="preserve">Capex: ~$14-15M in FY2024 (~1.7% of revenue); heavily weighted toward growth capex (manufacturing capacity expansion, automation, tooling) rather than maintenance. [Source: 10-K FY2024]</w:t>
      </w:r>
    </w:p>
    <w:p>
      <w:pPr>
        <w:pStyle w:val="ListParagraph"/>
        <w:numPr>
          <w:ilvl w:val="0"/>
          <w:numId w:val="2"/>
        </w:numPr>
        <w:spacing w:before="40" w:after="40"/>
      </w:pPr>
      <w:r>
        <w:rPr>
          <w:rFonts w:ascii="Arial" w:cs="Arial" w:eastAsia="Arial" w:hAnsi="Arial"/>
          <w:b w:val="false"/>
          <w:bCs w:val="false"/>
          <w:color w:val="000000"/>
          <w:sz w:val="20"/>
          <w:szCs w:val="20"/>
        </w:rPr>
        <w:t xml:space="preserve">Working capital: Municipal utilities typically pay on 30-45 day terms; DSO estimated 45-55 days [Inference from industrial peer norms]; DIO elevated during supply chain stress, now normalizing; DPO ~30-40 days [Inference].</w:t>
      </w:r>
    </w:p>
    <w:p>
      <w:pPr>
        <w:pStyle w:val="ListParagraph"/>
        <w:numPr>
          <w:ilvl w:val="0"/>
          <w:numId w:val="2"/>
        </w:numPr>
        <w:spacing w:before="40" w:after="40"/>
      </w:pPr>
      <w:r>
        <w:rPr>
          <w:rFonts w:ascii="Arial" w:cs="Arial" w:eastAsia="Arial" w:hAnsi="Arial"/>
          <w:b w:val="false"/>
          <w:bCs w:val="false"/>
          <w:color w:val="000000"/>
          <w:sz w:val="20"/>
          <w:szCs w:val="20"/>
        </w:rPr>
        <w:t xml:space="preserve">NaaS prepayments: Unclear if NaaS contracts include upfront fees or are purely monthly in arrears; prepayments would be favorable for FCF. [Unknown]</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D) Cyclicality &amp; Operating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Scenario</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Revenue Impact</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Margin Impact</w:t>
            </w:r>
          </w:p>
        </w:tc>
        <w:tc>
          <w:tcPr>
            <w:tcW w:type="dxa" w:w="3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Why</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Mild Recession (-5% GDP)</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Flat to -3%</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Minimal (-50 to -100bps)</w:t>
            </w:r>
          </w:p>
        </w:tc>
        <w:tc>
          <w:tcPr>
            <w:tcW w:type="dxa" w:w="3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Utilities defer upgrades briefly; meter replacements classified as non-discretionary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Severe Recession (-10% GDP)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 to -10%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-150 to -250bps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Budget freezes; some project delays; flow instrumentation (industrial) more exposed</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Rate Tightening / IIJA Slowdown</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 to -5%</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-100bps</w:t>
            </w:r>
          </w:p>
        </w:tc>
        <w:tc>
          <w:tcPr>
            <w:tcW w:type="dxa" w:w="3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Federal stimulus pull-forward reverses; organic demand pace slows temporarily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Infrastructure Boom (IIJA Full Flow)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+15% to +20%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+100 to +200bps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Utility upgrade budgets accelerate; BMI backlog builds; margin expands via volume leverage</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Tariff Escalation (+20% on electronics)</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-50 to -100bps gross margin</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Manageable if pricing offsets</w:t>
            </w:r>
          </w:p>
        </w:tc>
        <w:tc>
          <w:tcPr>
            <w:tcW w:type="dxa" w:w="3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BMI has demonstrated pricing power; pass-through is the primary tool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Cellular Network Technology Shift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Minor disruption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Temporary cost of upgrade cycle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ORION endpoint generations must evolve; capital burden modest vs. benefit</w:t>
            </w:r>
          </w:p>
        </w:tc>
      </w:tr>
    </w:tbl>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Operating leverage: Fixed costs (manufacturing overhead, SEA base) represent approximately 55-60% of total cost structure [Inference]. Each incremental revenue dollar above breakeven flows through at ~40-50% incremental margin — demonstrated in Q2 2024 when revenue grew 23% and operating profit grew 41%. [Source: Q2 2024 Earnings Release]</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E) Sensitivities &amp; Leading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Indicator</w:t>
            </w:r>
          </w:p>
        </w:tc>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Threshold</w:t>
            </w:r>
          </w:p>
        </w:tc>
        <w:tc>
          <w:tcPr>
            <w:tcW w:type="dxa" w:w="3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Expected Effect</w:t>
            </w:r>
          </w:p>
        </w:tc>
      </w:tr>
      <w:tr>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Utility water sales YoY growth</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Below 10% for 2 consecutive quarters</w:t>
            </w:r>
          </w:p>
        </w:tc>
        <w:tc>
          <w:tcPr>
            <w:tcW w:type="dxa" w:w="39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AMI adoption pace slowing — reassess NaaS ramp assumptions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Gross margin %</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Below 39% on sustained basis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Tariff/material pass-through failing or mix reverting — review pricing strategy</w:t>
            </w:r>
          </w:p>
        </w:tc>
      </w:tr>
      <w:tr>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Software revenue growth rate</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Below 15% YoY</w:t>
            </w:r>
          </w:p>
        </w:tc>
        <w:tc>
          <w:tcPr>
            <w:tcW w:type="dxa" w:w="39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SaaS transition stalling; risk of BlueEdge platform commoditization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SEA as % of revenue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Increasing above 24%</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Operating leverage degrading; watch SmartCover integration costs</w:t>
            </w:r>
          </w:p>
        </w:tc>
      </w:tr>
      <w:tr>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FCF conversion</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Below 80% of net income</w:t>
            </w:r>
          </w:p>
        </w:tc>
        <w:tc>
          <w:tcPr>
            <w:tcW w:type="dxa" w:w="39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Working capital degradation; potential customer payment stress or inventory build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Backlog coverage ratio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Backlog below 0.8x quarterly run-rate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Revenue visibility declining; demand normalization deeper than expected</w:t>
            </w:r>
          </w:p>
        </w:tc>
      </w:tr>
      <w:tr>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Bismuth / electronic component pricing</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Input cost index rising &gt;10% YoY without pricing offset</w:t>
            </w:r>
          </w:p>
        </w:tc>
        <w:tc>
          <w:tcPr>
            <w:tcW w:type="dxa" w:w="39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Gross margin compression risk within 2-3 quarters</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F) Industrial Sector KPIs (BMI-Specific)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rPr>
          <w:tblHeader/>
        </w:trP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KPI</w:t>
            </w:r>
          </w:p>
        </w:tc>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BMI FY2024 Value</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Industry Typical Range</w:t>
            </w:r>
          </w:p>
        </w:tc>
        <w:tc>
          <w:tcPr>
            <w:tcW w:type="dxa" w:w="2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Trend</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Order intake vs. shipments</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Backlog normalizing — 'high single digit growth' guided for H2 2024 [Disclosure]</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1.0-1.2x ideal</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Normalizing ↓</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Revenue growth (organic)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~17% FY2024 including mix; organic likely ~12-15% [Inference]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Industry avg ~9-12%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Above avg ↑</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Capex / Revenue</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~1.7% [Disclosure]</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 avg 3-5%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Capital-light — well below avg ✓</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FCF conversion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114% [Disclosure]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Industrials avg 70-90%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Best-in-class ↑</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Software revenue CAGR (5yr)</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28% [Disclosure]</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 SW &lt;10%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Exceptional ↑</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Recurring revenue as % of total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 explicit SaaS; NaaS recurring component not separately disclosed [Disclosure/Unknown]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 avg &lt;5%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Growing ↑</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Gross margin expansion rate</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+300bps over 3 yrs [Disclosure]</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Industrials avg flat to +50bps</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Strong structural improvement ↑</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G) Risks to Growth &amp; Margins</w:t>
      </w:r>
    </w:p>
    <w:p>
      <w:pPr>
        <w:pStyle w:val="ListParagraph"/>
        <w:numPr>
          <w:ilvl w:val="0"/>
          <w:numId w:val="2"/>
        </w:numPr>
        <w:spacing w:before="40" w:after="40"/>
      </w:pPr>
      <w:r>
        <w:rPr>
          <w:rFonts w:ascii="Arial" w:cs="Arial" w:eastAsia="Arial" w:hAnsi="Arial"/>
          <w:b w:val="false"/>
          <w:bCs w:val="false"/>
          <w:color w:val="000000"/>
          <w:sz w:val="20"/>
          <w:szCs w:val="20"/>
        </w:rPr>
        <w:t xml:space="preserve">PRICE COMPRESSION: BMI's premium positioning is vulnerable if Itron or Xylem-Sensus develop equivalent cellular NaaS capabilities at lower price points; however, BMI's 120yr relationships and BEACON data lock-in provide buffer.</w:t>
      </w:r>
    </w:p>
    <w:p>
      <w:pPr>
        <w:pStyle w:val="ListParagraph"/>
        <w:numPr>
          <w:ilvl w:val="0"/>
          <w:numId w:val="2"/>
        </w:numPr>
        <w:spacing w:before="40" w:after="40"/>
      </w:pPr>
      <w:r>
        <w:rPr>
          <w:rFonts w:ascii="Arial" w:cs="Arial" w:eastAsia="Arial" w:hAnsi="Arial"/>
          <w:b w:val="false"/>
          <w:bCs w:val="false"/>
          <w:color w:val="000000"/>
          <w:sz w:val="20"/>
          <w:szCs w:val="20"/>
        </w:rPr>
        <w:t xml:space="preserve">DEMAND NORMALIZATION: IIJA stimulus pulled forward significant AMI deployment activity in 2022-2024; organic demand pace (ex-stimulus) may be 8-10% rather than 15-20%, implying multiple compression risk.</w:t>
      </w:r>
    </w:p>
    <w:p>
      <w:pPr>
        <w:pStyle w:val="ListParagraph"/>
        <w:numPr>
          <w:ilvl w:val="0"/>
          <w:numId w:val="2"/>
        </w:numPr>
        <w:spacing w:before="40" w:after="40"/>
      </w:pPr>
      <w:r>
        <w:rPr>
          <w:rFonts w:ascii="Arial" w:cs="Arial" w:eastAsia="Arial" w:hAnsi="Arial"/>
          <w:b w:val="false"/>
          <w:bCs w:val="false"/>
          <w:color w:val="000000"/>
          <w:sz w:val="20"/>
          <w:szCs w:val="20"/>
        </w:rPr>
        <w:t xml:space="preserve">SMARTCOVER INTEGRATION: A $184M acquisition adds complexity; if margin accretion is slower than guided or SmartCover revenues grow below expectations, the case for the deal weakens.</w:t>
      </w:r>
    </w:p>
    <w:p>
      <w:pPr>
        <w:pStyle w:val="ListParagraph"/>
        <w:numPr>
          <w:ilvl w:val="0"/>
          <w:numId w:val="2"/>
        </w:numPr>
        <w:spacing w:before="40" w:after="40"/>
      </w:pPr>
      <w:r>
        <w:rPr>
          <w:rFonts w:ascii="Arial" w:cs="Arial" w:eastAsia="Arial" w:hAnsi="Arial"/>
          <w:b w:val="false"/>
          <w:bCs w:val="false"/>
          <w:color w:val="000000"/>
          <w:sz w:val="20"/>
          <w:szCs w:val="20"/>
        </w:rPr>
        <w:t xml:space="preserve">TARIFF / SUPPLY CHAIN: Electronics tariffs in a trade-escalation scenario could compress gross margins by 100-200bps if pricing cannot fully offset — historical evidence suggests BMI can pass through, but the lag is 1-2 quarters.</w:t>
      </w:r>
    </w:p>
    <w:p>
      <w:pPr>
        <w:pStyle w:val="ListParagraph"/>
        <w:numPr>
          <w:ilvl w:val="0"/>
          <w:numId w:val="2"/>
        </w:numPr>
        <w:spacing w:before="40" w:after="40"/>
      </w:pPr>
      <w:r>
        <w:rPr>
          <w:rFonts w:ascii="Arial" w:cs="Arial" w:eastAsia="Arial" w:hAnsi="Arial"/>
          <w:b w:val="false"/>
          <w:bCs w:val="false"/>
          <w:color w:val="000000"/>
          <w:sz w:val="20"/>
          <w:szCs w:val="20"/>
        </w:rPr>
        <w:t xml:space="preserve">TALENT / ENGINEERING SCARCITY: Developing BEACON ML capabilities and next-gen endpoints requires embedded systems and software engineers — a constrained talent pool. [Inference]</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H) Owner's Actions (Key Levers)</w:t>
      </w:r>
    </w:p>
    <w:p>
      <w:pPr>
        <w:pStyle w:val="ListParagraph"/>
        <w:numPr>
          <w:ilvl w:val="0"/>
          <w:numId w:val="2"/>
        </w:numPr>
        <w:spacing w:before="40" w:after="40"/>
      </w:pPr>
      <w:r>
        <w:rPr>
          <w:rFonts w:ascii="Arial" w:cs="Arial" w:eastAsia="Arial" w:hAnsi="Arial"/>
          <w:b/>
          <w:bCs/>
          <w:color w:val="C8973A"/>
          <w:sz w:val="20"/>
          <w:szCs w:val="20"/>
        </w:rPr>
        <w:t xml:space="preserve">1: </w:t>
      </w:r>
      <w:r>
        <w:rPr>
          <w:rFonts w:ascii="Arial" w:cs="Arial" w:eastAsia="Arial" w:hAnsi="Arial"/>
          <w:b w:val="false"/>
          <w:bCs w:val="false"/>
          <w:color w:val="000000"/>
          <w:sz w:val="20"/>
          <w:szCs w:val="20"/>
        </w:rPr>
        <w:t xml:space="preserve">Accelerate NaaS conversion: Aggressively convert existing AMR installed base to cellular NaaS — higher ARPU, higher switching costs, higher recurring revenue visibility.</w:t>
      </w:r>
    </w:p>
    <w:p>
      <w:pPr>
        <w:pStyle w:val="ListParagraph"/>
        <w:numPr>
          <w:ilvl w:val="0"/>
          <w:numId w:val="2"/>
        </w:numPr>
        <w:spacing w:before="40" w:after="40"/>
      </w:pPr>
      <w:r>
        <w:rPr>
          <w:rFonts w:ascii="Arial" w:cs="Arial" w:eastAsia="Arial" w:hAnsi="Arial"/>
          <w:b/>
          <w:bCs/>
          <w:color w:val="C8973A"/>
          <w:sz w:val="20"/>
          <w:szCs w:val="20"/>
        </w:rPr>
        <w:t xml:space="preserve">2: </w:t>
      </w:r>
      <w:r>
        <w:rPr>
          <w:rFonts w:ascii="Arial" w:cs="Arial" w:eastAsia="Arial" w:hAnsi="Arial"/>
          <w:b w:val="false"/>
          <w:bCs w:val="false"/>
          <w:color w:val="000000"/>
          <w:sz w:val="20"/>
          <w:szCs w:val="20"/>
        </w:rPr>
        <w:t xml:space="preserve">Expand BEACON data monetization: Launch cross-utility benchmarking, AI-driven predictive maintenance, and regulatory reporting automation to increase BEACON ARPU above pure billing/leak detection.</w:t>
      </w:r>
    </w:p>
    <w:p>
      <w:pPr>
        <w:pStyle w:val="ListParagraph"/>
        <w:numPr>
          <w:ilvl w:val="0"/>
          <w:numId w:val="2"/>
        </w:numPr>
        <w:spacing w:before="40" w:after="40"/>
      </w:pPr>
      <w:r>
        <w:rPr>
          <w:rFonts w:ascii="Arial" w:cs="Arial" w:eastAsia="Arial" w:hAnsi="Arial"/>
          <w:b/>
          <w:bCs/>
          <w:color w:val="C8973A"/>
          <w:sz w:val="20"/>
          <w:szCs w:val="20"/>
        </w:rPr>
        <w:t xml:space="preserve">3: </w:t>
      </w:r>
      <w:r>
        <w:rPr>
          <w:rFonts w:ascii="Arial" w:cs="Arial" w:eastAsia="Arial" w:hAnsi="Arial"/>
          <w:b w:val="false"/>
          <w:bCs w:val="false"/>
          <w:color w:val="000000"/>
          <w:sz w:val="20"/>
          <w:szCs w:val="20"/>
        </w:rPr>
        <w:t xml:space="preserve">SmartCover as sewer AMI blueprint: Apply the same water meter → NaaS → BEACON analytics playbook to sewer monitoring; the &lt;0.5% digital penetration is a 20-year greenfield.</w:t>
      </w:r>
    </w:p>
    <w:p>
      <w:pPr>
        <w:pStyle w:val="ListParagraph"/>
        <w:numPr>
          <w:ilvl w:val="0"/>
          <w:numId w:val="2"/>
        </w:numPr>
        <w:spacing w:before="40" w:after="40"/>
      </w:pPr>
      <w:r>
        <w:rPr>
          <w:rFonts w:ascii="Arial" w:cs="Arial" w:eastAsia="Arial" w:hAnsi="Arial"/>
          <w:b/>
          <w:bCs/>
          <w:color w:val="C8973A"/>
          <w:sz w:val="20"/>
          <w:szCs w:val="20"/>
        </w:rPr>
        <w:t xml:space="preserve">4: </w:t>
      </w:r>
      <w:r>
        <w:rPr>
          <w:rFonts w:ascii="Arial" w:cs="Arial" w:eastAsia="Arial" w:hAnsi="Arial"/>
          <w:b w:val="false"/>
          <w:bCs w:val="false"/>
          <w:color w:val="000000"/>
          <w:sz w:val="20"/>
          <w:szCs w:val="20"/>
        </w:rPr>
        <w:t xml:space="preserve">International expansion — selectively: Pursue EU water utility AMI mandates (EU Drinking Water Directive) as a capital-efficient geographic expansion with proven product.</w:t>
      </w:r>
    </w:p>
    <w:p>
      <w:pPr>
        <w:pStyle w:val="ListParagraph"/>
        <w:numPr>
          <w:ilvl w:val="0"/>
          <w:numId w:val="2"/>
        </w:numPr>
        <w:spacing w:before="40" w:after="40"/>
      </w:pPr>
      <w:r>
        <w:rPr>
          <w:rFonts w:ascii="Arial" w:cs="Arial" w:eastAsia="Arial" w:hAnsi="Arial"/>
          <w:b/>
          <w:bCs/>
          <w:color w:val="C8973A"/>
          <w:sz w:val="20"/>
          <w:szCs w:val="20"/>
        </w:rPr>
        <w:t xml:space="preserve">5: </w:t>
      </w:r>
      <w:r>
        <w:rPr>
          <w:rFonts w:ascii="Arial" w:cs="Arial" w:eastAsia="Arial" w:hAnsi="Arial"/>
          <w:b w:val="false"/>
          <w:bCs w:val="false"/>
          <w:color w:val="000000"/>
          <w:sz w:val="20"/>
          <w:szCs w:val="20"/>
        </w:rPr>
        <w:t xml:space="preserve">Gross margin protection: Lock in multi-year cellular connectivity contracts and build component inventory buffers to reduce tariff/supply chain sensitivity.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220"/>
              <w:left w:type="dxa" w:w="300"/>
              <w:bottom w:type="dxa" w:w="220"/>
              <w:right w:type="dxa" w:w="300"/>
            </w:tcMar>
          </w:tcPr>
          <w:p>
            <w:r>
              <w:rPr>
                <w:rFonts w:ascii="Arial" w:cs="Arial" w:eastAsia="Arial" w:hAnsi="Arial"/>
                <w:b/>
                <w:bCs/>
                <w:color w:val="C8973A"/>
                <w:sz w:val="20"/>
                <w:szCs w:val="20"/>
              </w:rPr>
              <w:t xml:space="preserve">PROMPT 3  </w:t>
            </w:r>
            <w:r>
              <w:rPr>
                <w:rFonts w:ascii="Arial" w:cs="Arial" w:eastAsia="Arial" w:hAnsi="Arial"/>
                <w:b/>
                <w:bCs/>
                <w:color w:val="FFFFFF"/>
                <w:sz w:val="28"/>
                <w:szCs w:val="28"/>
              </w:rPr>
              <w:t xml:space="preserve">BUSINESS ECONOMICS: REAL OPERATIONAL ECONOMICS</w:t>
            </w:r>
          </w:p>
          <w:p>
            <w:pPr>
              <w:spacing w:before="40"/>
            </w:pPr>
            <w:r>
              <w:rPr>
                <w:rFonts w:ascii="Arial" w:cs="Arial" w:eastAsia="Arial" w:hAnsi="Arial"/>
                <w:i/>
                <w:iCs/>
                <w:color w:val="C8DFF0"/>
                <w:sz w:val="20"/>
                <w:szCs w:val="20"/>
              </w:rPr>
              <w:t xml:space="preserve">Cost Structure, Unit Economics, Peer Benchmarks, Stress Tests</w:t>
            </w:r>
          </w:p>
        </w:tc>
      </w:tr>
    </w:tbl>
    <w:p>
      <w:pPr>
        <w:spacing w:before="120" w:after="0"/>
      </w:pPr>
      <w:r>
        <w:t xml:space="preserve"/>
      </w:r>
    </w:p>
    <w:p>
      <w:pPr>
        <w:pStyle w:val="Heading2"/>
        <w:spacing w:before="280" w:after="120"/>
      </w:pPr>
      <w:r>
        <w:rPr>
          <w:rFonts w:ascii="Arial" w:cs="Arial" w:eastAsia="Arial" w:hAnsi="Arial"/>
          <w:b/>
          <w:bCs/>
          <w:color w:val="2E6DA4"/>
          <w:sz w:val="28"/>
          <w:szCs w:val="28"/>
        </w:rPr>
        <w:t xml:space="preserve">1. Core Processes &amp;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Process</w:t>
            </w:r>
          </w:p>
        </w:tc>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Cost Drivers</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Constraints</w:t>
            </w:r>
          </w:p>
        </w:tc>
        <w:tc>
          <w:tcPr>
            <w:tcW w:type="dxa" w:w="2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Why It Matters</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Meter/Endpoint Manufacturing (Milwaukee &amp; Nogales)</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Materials (brass, polymer, electronics), direct labor, factory overhead</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Component availability; cellular chip lead times</w:t>
            </w:r>
          </w:p>
        </w:tc>
        <w:tc>
          <w:tcPr>
            <w:tcW w:type="dxa" w:w="2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Largest single COGS bucket; scale drives gross margin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Cellular AMI Network Management (NaaS)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Carrier connectivity fees (AT&amp;T/Verizon), software hosting, network ops labor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Carrier pricing power; 4G/5G transition costs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Recurring cost of revenue for SaaS/NaaS margin — must stay below 10% of NaaS revenue [Inference]</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BEACON SaaS Development &amp; Hosting</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Cloud infrastructure (AWS/Azure estimated [Inference]), software engineering labor</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Engineering talent scarcity; AI/ML capability gap vs. pure-software peers</w:t>
            </w:r>
          </w:p>
        </w:tc>
        <w:tc>
          <w:tcPr>
            <w:tcW w:type="dxa" w:w="2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Key to SaaS margin expansion; near-zero marginal COGS per additional user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Sales &amp; Customer Support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Direct sales force (long utility relationships), technical support, project management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Long sales cycles (12-36 months per deployment)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CAC is high; LTV is very high given 15-20yr hardware + lifetime SaaS</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R&amp;D / Engineering</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Embedded in SEA; covers next-gen endpoints, BEACON ML, SmartCover integration</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Engineering talent; product cycle timing</w:t>
            </w:r>
          </w:p>
        </w:tc>
        <w:tc>
          <w:tcPr>
            <w:tcW w:type="dxa" w:w="2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Critical for competitive differentiation; rate of BEACON enhancement drives NRR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Supply Chain / Procurement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Component sourcing, inventory management, logistics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Single-source electronic components; bismuth supply; tariff exposure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Historically BMI has managed well; 2021-22 was the stress test</w:t>
            </w:r>
          </w:p>
        </w:tc>
      </w:tr>
    </w:tbl>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Fixed vs. Variable Cost Split (Inferred): </w:t>
      </w:r>
      <w:r>
        <w:rPr>
          <w:rFonts w:ascii="Arial" w:cs="Arial" w:eastAsia="Arial" w:hAnsi="Arial"/>
          <w:b w:val="false"/>
          <w:bCs w:val="false"/>
          <w:i w:val="false"/>
          <w:iCs w:val="false"/>
          <w:color w:val="000000"/>
          <w:sz w:val="20"/>
          <w:szCs w:val="20"/>
        </w:rPr>
        <w:t xml:space="preserve">~55-60% fixed (manufacturing overhead, engineering headcount, SEA base, cellular fixed costs) / ~40-45% variable (materials, direct labor, per-unit connectivity). This mix creates significant operating leverage on incremental revenue — demonstrated by Q2 2024 (+23% revenue → +41% operating profit). [Inference from earnings patterns]</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rPr>
          <w:tblHeader/>
        </w:trP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Metric</w:t>
            </w:r>
          </w:p>
        </w:tc>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BMI FY2024 Value</w:t>
            </w:r>
          </w:p>
        </w:tc>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Industrial Typical Range</w:t>
            </w:r>
          </w:p>
        </w:tc>
        <w:tc>
          <w:tcPr>
            <w:tcW w:type="dxa" w:w="1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Interpretation</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Gross Margin</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~40.7% (Q3 2025 disclosed)</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Industrials: 30-40%; Industrial software: 50-70%</w:t>
            </w:r>
          </w:p>
        </w:tc>
        <w:tc>
          <w:tcPr>
            <w:tcW w:type="dxa" w:w="1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Best-in-class for hardware/software blend; expanding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EBIT Margin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19.1% [Disclosure]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Quality industrials: 12-18%</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Top decile — reflects pricing power + SEA leverage</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EBITDA Margin</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23.0% [Disclosure]</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 avg 12-18%</w:t>
            </w:r>
          </w:p>
        </w:tc>
        <w:tc>
          <w:tcPr>
            <w:tcW w:type="dxa" w:w="1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Premium multiple justified by margin quality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ROIC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~17-22% [Disclosure range]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Industrials avg 8-12%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Well above WACC (~8.8%); value-creative reinvestment</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FCF Conversion</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114% of net income [Disclosure]</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Industrials avg 70-90%</w:t>
            </w:r>
          </w:p>
        </w:tc>
        <w:tc>
          <w:tcPr>
            <w:tcW w:type="dxa" w:w="1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Exceptional; driven by low capex + working capital discipline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Capex / Revenue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~1.7% [Disclosure]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Industrials avg 3-6%</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Capital-light; reinforces high FCF conversion</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DSO (Est.)</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~45-55 days [Inference]</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Industrials avg 45-60 days</w:t>
            </w:r>
          </w:p>
        </w:tc>
        <w:tc>
          <w:tcPr>
            <w:tcW w:type="dxa" w:w="1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Municipal utility payment terms typical; not a red flag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DIO (Est.)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~55-70 days [Inference]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Industrials avg 60-90 days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Inventory management improved post-supply chain stress</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Net Cash Position</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$295.3M [Disclosure]</w:t>
            </w:r>
          </w:p>
        </w:tc>
        <w:tc>
          <w:tcPr>
            <w:tcW w:type="dxa" w:w="2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Many peers carry debt</w:t>
            </w:r>
          </w:p>
        </w:tc>
        <w:tc>
          <w:tcPr>
            <w:tcW w:type="dxa" w:w="1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Exceptional balance sheet; $185M SmartCover funded from cash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Dividend Growth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32+ consecutive annual increases; 33rd declared Q3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Industrials: inconsistent</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Lindy effect — 33yr dividend compounder</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3. Growth Engine: Price vs. Volume vs.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Driver</w:t>
            </w:r>
          </w:p>
        </w:tc>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Evidence</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Revenue Impact</w:t>
            </w:r>
          </w:p>
        </w:tc>
        <w:tc>
          <w:tcPr>
            <w:tcW w:type="dxa" w:w="2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Margin Impact</w:t>
            </w:r>
          </w:p>
        </w:tc>
      </w:tr>
      <w:tr>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Volume — AMI conversion</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Utility water sales +20% FY2024 [Disclosure]; ~2/3 of US connections not yet on AMI</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 — largest contributor to recent growth</w:t>
            </w:r>
          </w:p>
        </w:tc>
        <w:tc>
          <w:tcPr>
            <w:tcW w:type="dxa" w:w="2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Neutral to positive (depends on product mix)</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Price — Value-based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CEO: 'value-based price/cost management' cited every earnings call; bismuth/tariff pass-through confirmed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 — consistent 3-5% annual contribution [Inference]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POSITIVE — the primary margin lever</w:t>
            </w:r>
          </w:p>
        </w:tc>
      </w:tr>
      <w:tr>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Mix — AMI/SaaS premiumization</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Software $56M+, 28% CAGR [Disclosure]; ORION Cellular replacing ORION mobile; cellular endpoint commands ~2x ASP of AMR [Inference]</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 — mix shift is a multi-year compounding benefit</w:t>
            </w:r>
          </w:p>
        </w:tc>
        <w:tc>
          <w:tcPr>
            <w:tcW w:type="dxa" w:w="2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HIGHLY POSITIVE — SaaS and cellular AMI carry structurally higher margins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New Markets — SmartCover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$27.8M in first 8 months post-acquisition [Disclosure]; &lt;0.5% digital penetration in sewer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EMERGING — 2-5% of revenue by 2026-27 [Inference]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POSITIVE — incremental margins 'above line average' per CEO</w:t>
            </w:r>
          </w:p>
        </w:tc>
      </w:tr>
      <w:tr>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M&amp;A — Tuck-in bolt-ons</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13 acquisitions since 2010; Telog ($3M), SmartCover ($184M), Syrinix, s::can, ATi etc.</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EPISODIC — adds 1-5% revenue at acquisition</w:t>
            </w:r>
          </w:p>
        </w:tc>
        <w:tc>
          <w:tcPr>
            <w:tcW w:type="dxa" w:w="2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NEUTRAL TO POSITIVE — margin accretive when integrated</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4. Cyclicality &amp; Operating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Scenario</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Revenue Impact</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Margin Impact</w:t>
            </w:r>
          </w:p>
        </w:tc>
        <w:tc>
          <w:tcPr>
            <w:tcW w:type="dxa" w:w="3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Why</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Sustained infrastructure boom</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+15-20%</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+150-250bps</w:t>
            </w:r>
          </w:p>
        </w:tc>
        <w:tc>
          <w:tcPr>
            <w:tcW w:type="dxa" w:w="3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Volume leverage; fixed cost absorption; SaaS mix accelerates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Demand normalization (post-IIJA)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+50-100bps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Organic AMI adoption continues; pricing holds; slower than stimulus period</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Mild recession / budget freeze</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0 to -5%</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-100 to -150bps</w:t>
            </w:r>
          </w:p>
        </w:tc>
        <w:tc>
          <w:tcPr>
            <w:tcW w:type="dxa" w:w="3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Project deferrals; some industrial instrumentation softness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Severe recession / credit crisis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 to -15%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-200 to -350bps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Municipal budget crisis; could delay AMI capex; flow instrumentation drops</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Supply chain shock (6-month component shortage)</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 to -20% revenue recognition</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-300 to -500bps</w:t>
            </w:r>
          </w:p>
        </w:tc>
        <w:tc>
          <w:tcPr>
            <w:tcW w:type="dxa" w:w="3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Cannot ship meters; revenue deferred not lost; backlog builds (2021-22 analog)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Tariff escalation (+30% electronics)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Neutral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-100 to -200bps gross margin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If pricing cannot fully offset; 1-2 quarter lag before repricing</w:t>
            </w:r>
          </w:p>
        </w:tc>
      </w:tr>
    </w:tbl>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COVID empirical test (FY2020): Revenue was $426M vs. $425M the prior year — essentially flat in a global pandemic. This is the most powerful evidence of BMI's non-cyclical character. The 2020 experience confirms that water meter replacements are classified as essential infrastructure maintenance by utilities regardless of macro environment. [Source: 2024 Annual Report historical table]</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5. Company History &amp; Operating Evolution</w:t>
      </w:r>
    </w:p>
    <w:p>
      <w:pPr>
        <w:spacing w:before="60" w:after="60"/>
        <w:jc w:val="left"/>
      </w:pPr>
      <w:r>
        <w:rPr>
          <w:rFonts w:ascii="Arial" w:cs="Arial" w:eastAsia="Arial" w:hAnsi="Arial"/>
          <w:b w:val="false"/>
          <w:bCs w:val="false"/>
          <w:i w:val="false"/>
          <w:iCs w:val="false"/>
          <w:color w:val="000000"/>
          <w:sz w:val="20"/>
          <w:szCs w:val="20"/>
        </w:rPr>
        <w:t xml:space="preserve">1905-1990s: Pure mechanical meter manufacturer. Products were simple, durable, low-margin brass instruments. Competition was commodity-driven on price and reliability. [Inference from company history]</w:t>
      </w:r>
    </w:p>
    <w:p>
      <w:pPr>
        <w:spacing w:before="4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2000s: AMR (Automatic Meter Reading) era. BMI developed drive-by radio reading systems (ORION Mobile). First step toward data. Still primarily hardware, but with electronics differentiation. [Source: 10-K historical business description]</w:t>
      </w:r>
    </w:p>
    <w:p>
      <w:pPr>
        <w:spacing w:before="4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2010-2015: AMI transition begins. BEACON AMA software launched (2013). First SaaS offering. E-Series Ultrasonic meters launched — marked the shift from mechanical to electronic meters. 13 acquisitions over the decade begin with AquaCue in 2013.</w:t>
      </w:r>
    </w:p>
    <w:p>
      <w:pPr>
        <w:spacing w:before="4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2016-2020: ORION Cellular launched. NaaS business model introduced. Utility customer shifts from capex to opex. s::can (water quality, 2020) and ATi (sensors, 2021) add new data streams. COVID proves non-cyclical resilience.</w:t>
      </w:r>
    </w:p>
    <w:p>
      <w:pPr>
        <w:spacing w:before="4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2021-2022: Supply chain crisis — best test of order backlog and demand durability. BMI continued taking orders, built backlog, and converted when supply normalized. Demonstrated pricing power during inflationary period. 2022 sales grew 11.9% despite supply constraints.</w:t>
      </w:r>
    </w:p>
    <w:p>
      <w:pPr>
        <w:spacing w:before="4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2023-2024: Supply chain normalizes; BMI converts record backlog. Sales grow 24% in FY2023 and 18% in FY2024. Operating margins reach 19.1%. BlueEdge platform brand launched May 2024. SmartCover acquired January 2025, opening sewer monitoring market.</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6. Peer Benchmarks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100"/>
        <w:gridCol w:w="1100"/>
        <w:gridCol w:w="1100"/>
        <w:gridCol w:w="246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Company (Ticker)</w:t>
            </w:r>
          </w:p>
        </w:tc>
        <w:tc>
          <w:tcPr>
            <w:tcW w:type="dxa" w:w="1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Gross Margin</w:t>
            </w:r>
          </w:p>
        </w:tc>
        <w:tc>
          <w:tcPr>
            <w:tcW w:type="dxa" w:w="1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EBIT Margin</w:t>
            </w:r>
          </w:p>
        </w:tc>
        <w:tc>
          <w:tcPr>
            <w:tcW w:type="dxa" w:w="11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ROIC (Est.)</w:t>
            </w:r>
          </w:p>
        </w:tc>
        <w:tc>
          <w:tcPr>
            <w:tcW w:type="dxa" w:w="11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FCF Conv.</w:t>
            </w:r>
          </w:p>
        </w:tc>
        <w:tc>
          <w:tcPr>
            <w:tcW w:type="dxa" w:w="11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Capex/Sales</w:t>
            </w:r>
          </w:p>
        </w:tc>
        <w:tc>
          <w:tcPr>
            <w:tcW w:type="dxa" w:w="24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Badger Meter (BMI) — BEST</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~41%</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19.1%</w:t>
            </w:r>
          </w:p>
        </w:tc>
        <w:tc>
          <w:tcPr>
            <w:tcW w:type="dxa" w:w="11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~17-22%</w:t>
            </w:r>
          </w:p>
        </w:tc>
        <w:tc>
          <w:tcPr>
            <w:tcW w:type="dxa" w:w="11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114%</w:t>
            </w:r>
          </w:p>
        </w:tc>
        <w:tc>
          <w:tcPr>
            <w:tcW w:type="dxa" w:w="11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~1.7%</w:t>
            </w:r>
          </w:p>
        </w:tc>
        <w:tc>
          <w:tcPr>
            <w:tcW w:type="dxa" w:w="24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Pure-play water; margin leader; best FCF</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Mueller Water (MWA)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~17-20%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~10-15%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~80-90%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~3-4%</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Similar op margins; more cyclical; more capex</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Itron (ITRI)</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~36%</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~14%</w:t>
            </w:r>
          </w:p>
        </w:tc>
        <w:tc>
          <w:tcPr>
            <w:tcW w:type="dxa" w:w="11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~8-12%</w:t>
            </w:r>
          </w:p>
        </w:tc>
        <w:tc>
          <w:tcPr>
            <w:tcW w:type="dxa" w:w="11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~70-80%</w:t>
            </w:r>
          </w:p>
        </w:tc>
        <w:tc>
          <w:tcPr>
            <w:tcW w:type="dxa" w:w="11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~2-3%</w:t>
            </w:r>
          </w:p>
        </w:tc>
        <w:tc>
          <w:tcPr>
            <w:tcW w:type="dxa" w:w="24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Multi-utility; margin laggard; more volatile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Xylem (XYL) — LARGEST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~10-14%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~3-4%</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Scale leader; lower op margin despite high gross</w:t>
            </w:r>
          </w:p>
        </w:tc>
      </w:tr>
      <w:tr>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Roper Tech / Neptune (ROP)</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~71% (diversified)</w:t>
            </w:r>
          </w:p>
        </w:tc>
        <w:tc>
          <w:tcPr>
            <w:tcW w:type="dxa" w:w="1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 (div.)</w:t>
            </w:r>
          </w:p>
        </w:tc>
        <w:tc>
          <w:tcPr>
            <w:tcW w:type="dxa" w:w="11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~12-16%</w:t>
            </w:r>
          </w:p>
        </w:tc>
        <w:tc>
          <w:tcPr>
            <w:tcW w:type="dxa" w:w="11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~95%+</w:t>
            </w:r>
          </w:p>
        </w:tc>
        <w:tc>
          <w:tcPr>
            <w:tcW w:type="dxa" w:w="11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w:t>
            </w:r>
          </w:p>
        </w:tc>
        <w:tc>
          <w:tcPr>
            <w:tcW w:type="dxa" w:w="24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Comparable capital allocation; different model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Diehl Metering (Private)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European competitor; no public comparables</w:t>
            </w:r>
          </w:p>
        </w:tc>
      </w:tr>
    </w:tbl>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BMI stands out as the BEST performer on operating margin, FCF conversion, and capital intensity among its pure-play peers. Xylem's higher gross margin is driven by water treatment equipment mix; BMI's lower gross margin reflects hardware content, partially offset by superior operating leverage from SEA efficiency.</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7. Fast Stress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Stress Test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Answer</w:t>
            </w:r>
          </w:p>
        </w:tc>
      </w:tr>
      <w:tr>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 If sales froze for 6 months — costs that keep burning?</w:t>
            </w:r>
          </w:p>
        </w:tc>
        <w:tc>
          <w:tcPr>
            <w:tcW w:type="dxa" w:w="6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Manufacturing labor (~fixed with lag), SEA entirely fixed, cellular network connectivity fees, R&amp;D engineering salaries, corporate overhead. Estimated ~50-55% of cost base burns regardless of revenue. BMI's $295M net cash provides ~18+ months of fixed cost coverage. [Inference]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 Which growth driver explained most growth in the last cycle?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Volume — AMI adoption conversion from manual/AMR (2021-2024 supercycle). Backlog from supply chain disruption converted to revenue when parts normalized. Secondary: price increases sustained even as supply improved. [Source: Multiple earnings releases 2022-2024]</w:t>
            </w:r>
          </w:p>
        </w:tc>
      </w:tr>
      <w:tr>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 In a downturn, which lever is most critical for survival?</w:t>
            </w:r>
          </w:p>
        </w:tc>
        <w:tc>
          <w:tcPr>
            <w:tcW w:type="dxa" w:w="6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Price discipline — maintaining value-based pricing on premium AMI products prevents margin collapse. If BMI cut price to chase volume in a downturn, the entire premium positioning unravels. History shows they have held price (2020 COVID test). [Inference]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 What did winners do in past crises that laggards did not?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BMI in 2020-2022: (1) continued R&amp;D investment in cellular NaaS despite supply chain chaos, (2) held pricing rather than discounting, (3) built order backlog rather than discounting for immediate revenue, (4) used balance sheet strength to maintain supplier relationships. Competitors with weaker balance sheets (Itron) faced greater pressure. [Inference]</w:t>
            </w:r>
          </w:p>
        </w:tc>
      </w:tr>
      <w:tr>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 Most likely to break under stress?</w:t>
            </w:r>
          </w:p>
        </w:tc>
        <w:tc>
          <w:tcPr>
            <w:tcW w:type="dxa" w:w="6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SmartCover integration margin accretion timeline — acquired at a premium ($184M) with expectation of 'above-line incrementals.' If sewer monitoring adoption is slower than the water meter AMI playbook, integration costs will temporarily suppress margins without offsetting revenue. [Inference]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220"/>
              <w:left w:type="dxa" w:w="300"/>
              <w:bottom w:type="dxa" w:w="220"/>
              <w:right w:type="dxa" w:w="300"/>
            </w:tcMar>
          </w:tcPr>
          <w:p>
            <w:r>
              <w:rPr>
                <w:rFonts w:ascii="Arial" w:cs="Arial" w:eastAsia="Arial" w:hAnsi="Arial"/>
                <w:b/>
                <w:bCs/>
                <w:color w:val="C8973A"/>
                <w:sz w:val="20"/>
                <w:szCs w:val="20"/>
              </w:rPr>
              <w:t xml:space="preserve">PROMPT 4  </w:t>
            </w:r>
            <w:r>
              <w:rPr>
                <w:rFonts w:ascii="Arial" w:cs="Arial" w:eastAsia="Arial" w:hAnsi="Arial"/>
                <w:b/>
                <w:bCs/>
                <w:color w:val="FFFFFF"/>
                <w:sz w:val="28"/>
                <w:szCs w:val="28"/>
              </w:rPr>
              <w:t xml:space="preserve">BUSINESS STRATEGY: WHERE IT'S COMING FROM, WHERE IT'S GOING</w:t>
            </w:r>
          </w:p>
          <w:p>
            <w:pPr>
              <w:spacing w:before="40"/>
            </w:pPr>
            <w:r>
              <w:rPr>
                <w:rFonts w:ascii="Arial" w:cs="Arial" w:eastAsia="Arial" w:hAnsi="Arial"/>
                <w:i/>
                <w:iCs/>
                <w:color w:val="C8DFF0"/>
                <w:sz w:val="20"/>
                <w:szCs w:val="20"/>
              </w:rPr>
              <w:t xml:space="preserve">3-5 Year Strategic Direction | Stated vs. Implied Strategy | Scenarios</w:t>
            </w:r>
          </w:p>
        </w:tc>
      </w:tr>
    </w:tbl>
    <w:p>
      <w:pPr>
        <w:spacing w:before="120" w:after="0"/>
      </w:pPr>
      <w:r>
        <w:t xml:space="preserve"/>
      </w:r>
    </w:p>
    <w:p>
      <w:pPr>
        <w:pStyle w:val="Heading2"/>
        <w:spacing w:before="280" w:after="120"/>
      </w:pPr>
      <w:r>
        <w:rPr>
          <w:rFonts w:ascii="Arial" w:cs="Arial" w:eastAsia="Arial" w:hAnsi="Arial"/>
          <w:b/>
          <w:bCs/>
          <w:color w:val="2E6DA4"/>
          <w:sz w:val="28"/>
          <w:szCs w:val="28"/>
        </w:rPr>
        <w:t xml:space="preserve">A) Strategic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8"/>
              <w:left w:val="single" w:color="2E6DA4" w:sz="4"/>
              <w:bottom w:val="single" w:color="2E6DA4" w:sz="4"/>
              <w:right w:val="single" w:color="2E6DA4" w:sz="4"/>
            </w:tcBorders>
            <w:shd w:fill="EEF5FB" w:val="clear"/>
            <w:tcMar>
              <w:top w:type="dxa" w:w="120"/>
              <w:left w:type="dxa" w:w="180"/>
              <w:bottom w:type="dxa" w:w="120"/>
              <w:right w:type="dxa" w:w="180"/>
            </w:tcMar>
          </w:tcPr>
          <w:p>
            <w:r>
              <w:rPr>
                <w:rFonts w:ascii="Arial" w:cs="Arial" w:eastAsia="Arial" w:hAnsi="Arial"/>
                <w:b/>
                <w:bCs/>
                <w:color w:val="2E6DA4"/>
                <w:sz w:val="20"/>
                <w:szCs w:val="20"/>
              </w:rPr>
              <w:t xml:space="preserve">Strategic Summary:</w:t>
            </w:r>
          </w:p>
          <w:p>
            <w:r>
              <w:rPr>
                <w:rFonts w:ascii="Arial" w:cs="Arial" w:eastAsia="Arial" w:hAnsi="Arial"/>
                <w:color w:val="1A1A1A"/>
                <w:sz w:val="19"/>
                <w:szCs w:val="19"/>
              </w:rPr>
              <w:t xml:space="preserve">Current strategic position: BMI is the North American leader in cellular AMI water metering, executing a proven hardware-to-software platform transition under the BlueEdge umbrella. It dominates the mid-size utility segment with a NaaS model that requires no proprietary gateway infrastructure.
3-5 Year Direction of Travel: BMI is trying to become an indispensable water intelligence platform — a business where utilities cannot run their water systems without BMI's combination of endpoints, connectivity, analytics, and increasingly AI-driven insights. The sewer monitoring acquisition (SmartCover) signals an intent to expand from drinking water to the entire water cycle.</w:t>
            </w:r>
          </w:p>
        </w:tc>
      </w:tr>
    </w:tbl>
    <w:p>
      <w:pPr>
        <w:spacing w:before="80" w:after="0"/>
      </w:pPr>
      <w:r>
        <w:t xml:space="preserve"/>
      </w:r>
    </w:p>
    <w:p>
      <w:pPr>
        <w:spacing w:before="200" w:after="80"/>
      </w:pPr>
      <w:r>
        <w:rPr>
          <w:rFonts w:ascii="Arial" w:cs="Arial" w:eastAsia="Arial" w:hAnsi="Arial"/>
          <w:b/>
          <w:bCs/>
          <w:color w:val="1B3A6B"/>
          <w:sz w:val="22"/>
          <w:szCs w:val="22"/>
        </w:rPr>
        <w:t xml:space="preserve">5 Key Strategic Themes (Ranked)</w:t>
      </w:r>
    </w:p>
    <w:p>
      <w:pPr>
        <w:pStyle w:val="ListParagraph"/>
        <w:numPr>
          <w:ilvl w:val="0"/>
          <w:numId w:val="2"/>
        </w:numPr>
        <w:spacing w:before="40" w:after="40"/>
      </w:pPr>
      <w:r>
        <w:rPr>
          <w:rFonts w:ascii="Arial" w:cs="Arial" w:eastAsia="Arial" w:hAnsi="Arial"/>
          <w:b/>
          <w:bCs/>
          <w:color w:val="C8973A"/>
          <w:sz w:val="20"/>
          <w:szCs w:val="20"/>
        </w:rPr>
        <w:t xml:space="preserve">1: </w:t>
      </w:r>
      <w:r>
        <w:rPr>
          <w:rFonts w:ascii="Arial" w:cs="Arial" w:eastAsia="Arial" w:hAnsi="Arial"/>
          <w:b w:val="false"/>
          <w:bCs w:val="false"/>
          <w:color w:val="000000"/>
          <w:sz w:val="20"/>
          <w:szCs w:val="20"/>
        </w:rPr>
        <w:t xml:space="preserve">BlueEdge platform deepening — make every new data stream (water quality, pressure, sewer) feed into a single, indispensable analytics hub. [Source: 2024 Annual Report CEO letter]</w:t>
      </w:r>
    </w:p>
    <w:p>
      <w:pPr>
        <w:pStyle w:val="ListParagraph"/>
        <w:numPr>
          <w:ilvl w:val="0"/>
          <w:numId w:val="2"/>
        </w:numPr>
        <w:spacing w:before="40" w:after="40"/>
      </w:pPr>
      <w:r>
        <w:rPr>
          <w:rFonts w:ascii="Arial" w:cs="Arial" w:eastAsia="Arial" w:hAnsi="Arial"/>
          <w:b/>
          <w:bCs/>
          <w:color w:val="C8973A"/>
          <w:sz w:val="20"/>
          <w:szCs w:val="20"/>
        </w:rPr>
        <w:t xml:space="preserve">2: </w:t>
      </w:r>
      <w:r>
        <w:rPr>
          <w:rFonts w:ascii="Arial" w:cs="Arial" w:eastAsia="Arial" w:hAnsi="Arial"/>
          <w:b w:val="false"/>
          <w:bCs w:val="false"/>
          <w:color w:val="000000"/>
          <w:sz w:val="20"/>
          <w:szCs w:val="20"/>
        </w:rPr>
        <w:t xml:space="preserve">NaaS / SaaS mix acceleration — shift revenue from one-time hardware to recurring monthly fees; target SaaS revenue growing from 7% to 15-20%+ of total over 5 years. [Inference from growth trajectory]</w:t>
      </w:r>
    </w:p>
    <w:p>
      <w:pPr>
        <w:pStyle w:val="ListParagraph"/>
        <w:numPr>
          <w:ilvl w:val="0"/>
          <w:numId w:val="2"/>
        </w:numPr>
        <w:spacing w:before="40" w:after="40"/>
      </w:pPr>
      <w:r>
        <w:rPr>
          <w:rFonts w:ascii="Arial" w:cs="Arial" w:eastAsia="Arial" w:hAnsi="Arial"/>
          <w:b/>
          <w:bCs/>
          <w:color w:val="C8973A"/>
          <w:sz w:val="20"/>
          <w:szCs w:val="20"/>
        </w:rPr>
        <w:t xml:space="preserve">3: </w:t>
      </w:r>
      <w:r>
        <w:rPr>
          <w:rFonts w:ascii="Arial" w:cs="Arial" w:eastAsia="Arial" w:hAnsi="Arial"/>
          <w:b w:val="false"/>
          <w:bCs w:val="false"/>
          <w:color w:val="000000"/>
          <w:sz w:val="20"/>
          <w:szCs w:val="20"/>
        </w:rPr>
        <w:t xml:space="preserve">Sewer / full water cycle expansion — SmartCover is the beachhead; the greenfield opportunity (&lt;0.5% digital penetration) mirrors where water metering was in 2010. [Source: Q4 2024 Earnings]</w:t>
      </w:r>
    </w:p>
    <w:p>
      <w:pPr>
        <w:pStyle w:val="ListParagraph"/>
        <w:numPr>
          <w:ilvl w:val="0"/>
          <w:numId w:val="2"/>
        </w:numPr>
        <w:spacing w:before="40" w:after="40"/>
      </w:pPr>
      <w:r>
        <w:rPr>
          <w:rFonts w:ascii="Arial" w:cs="Arial" w:eastAsia="Arial" w:hAnsi="Arial"/>
          <w:b/>
          <w:bCs/>
          <w:color w:val="C8973A"/>
          <w:sz w:val="20"/>
          <w:szCs w:val="20"/>
        </w:rPr>
        <w:t xml:space="preserve">4: </w:t>
      </w:r>
      <w:r>
        <w:rPr>
          <w:rFonts w:ascii="Arial" w:cs="Arial" w:eastAsia="Arial" w:hAnsi="Arial"/>
          <w:b w:val="false"/>
          <w:bCs w:val="false"/>
          <w:color w:val="000000"/>
          <w:sz w:val="20"/>
          <w:szCs w:val="20"/>
        </w:rPr>
        <w:t xml:space="preserve">Disciplined tuck-in M&amp;A — use strong FCF and $295M net cash to acquire niche data/sensor companies that extend BlueEdge capabilities; 13 acquisitions proves the playbook. [Disclosure]</w:t>
      </w:r>
    </w:p>
    <w:p>
      <w:pPr>
        <w:pStyle w:val="ListParagraph"/>
        <w:numPr>
          <w:ilvl w:val="0"/>
          <w:numId w:val="2"/>
        </w:numPr>
        <w:spacing w:before="40" w:after="40"/>
      </w:pPr>
      <w:r>
        <w:rPr>
          <w:rFonts w:ascii="Arial" w:cs="Arial" w:eastAsia="Arial" w:hAnsi="Arial"/>
          <w:b/>
          <w:bCs/>
          <w:color w:val="C8973A"/>
          <w:sz w:val="20"/>
          <w:szCs w:val="20"/>
        </w:rPr>
        <w:t xml:space="preserve">5: </w:t>
      </w:r>
      <w:r>
        <w:rPr>
          <w:rFonts w:ascii="Arial" w:cs="Arial" w:eastAsia="Arial" w:hAnsi="Arial"/>
          <w:b w:val="false"/>
          <w:bCs w:val="false"/>
          <w:color w:val="000000"/>
          <w:sz w:val="20"/>
          <w:szCs w:val="20"/>
        </w:rPr>
        <w:t xml:space="preserve">AI/ML capability building — Cobalt launch (ML insights in BEACON) and BEACON Field App (mobile) in 2025 show early moves to differentiate software through intelligence, not just data display. [Source: BeyondSPX analysis]</w:t>
      </w:r>
    </w:p>
    <w:p>
      <w:pPr>
        <w:spacing w:before="60" w:after="0"/>
      </w:pPr>
      <w:r>
        <w:t xml:space="preserve"/>
      </w:r>
    </w:p>
    <w:p>
      <w:pPr>
        <w:spacing w:before="200" w:after="80"/>
      </w:pPr>
      <w:r>
        <w:rPr>
          <w:rFonts w:ascii="Arial" w:cs="Arial" w:eastAsia="Arial" w:hAnsi="Arial"/>
          <w:b/>
          <w:bCs/>
          <w:color w:val="1B3A6B"/>
          <w:sz w:val="22"/>
          <w:szCs w:val="22"/>
        </w:rPr>
        <w:t xml:space="preserve">3 Main Strategic Constraints</w:t>
      </w:r>
    </w:p>
    <w:p>
      <w:pPr>
        <w:pStyle w:val="ListParagraph"/>
        <w:numPr>
          <w:ilvl w:val="0"/>
          <w:numId w:val="2"/>
        </w:numPr>
        <w:spacing w:before="40" w:after="40"/>
      </w:pPr>
      <w:r>
        <w:rPr>
          <w:rFonts w:ascii="Arial" w:cs="Arial" w:eastAsia="Arial" w:hAnsi="Arial"/>
          <w:b w:val="false"/>
          <w:bCs w:val="false"/>
          <w:color w:val="000000"/>
          <w:sz w:val="20"/>
          <w:szCs w:val="20"/>
        </w:rPr>
        <w:t xml:space="preserve">Municipal budget dependency: AMI upgrades require utility capital budgets — government procurement cycles and federal funding timelines are not within BMI's control.</w:t>
      </w:r>
    </w:p>
    <w:p>
      <w:pPr>
        <w:pStyle w:val="ListParagraph"/>
        <w:numPr>
          <w:ilvl w:val="0"/>
          <w:numId w:val="2"/>
        </w:numPr>
        <w:spacing w:before="40" w:after="40"/>
      </w:pPr>
      <w:r>
        <w:rPr>
          <w:rFonts w:ascii="Arial" w:cs="Arial" w:eastAsia="Arial" w:hAnsi="Arial"/>
          <w:b w:val="false"/>
          <w:bCs w:val="false"/>
          <w:color w:val="000000"/>
          <w:sz w:val="20"/>
          <w:szCs w:val="20"/>
        </w:rPr>
        <w:t xml:space="preserve">Market size ceiling: North American water utility market is finite (~50,000 utilities); post-AMI-saturation, growth must come from sewer, water quality, industrial, or international — all less proven.</w:t>
      </w:r>
    </w:p>
    <w:p>
      <w:pPr>
        <w:pStyle w:val="ListParagraph"/>
        <w:numPr>
          <w:ilvl w:val="0"/>
          <w:numId w:val="2"/>
        </w:numPr>
        <w:spacing w:before="40" w:after="40"/>
      </w:pPr>
      <w:r>
        <w:rPr>
          <w:rFonts w:ascii="Arial" w:cs="Arial" w:eastAsia="Arial" w:hAnsi="Arial"/>
          <w:b w:val="false"/>
          <w:bCs w:val="false"/>
          <w:color w:val="000000"/>
          <w:sz w:val="20"/>
          <w:szCs w:val="20"/>
        </w:rPr>
        <w:t xml:space="preserve">Talent scarcity for software buildout: Transitioning a 120-year industrial company to a software platform requires engineering talent BMI competes for against tech companies. [Inference]</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B) Where They Play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2200"/>
        <w:gridCol w:w="2060"/>
      </w:tblGrid>
      <w:tr>
        <w:trPr>
          <w:tblHeader/>
        </w:trP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Segment</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Revenue Weight</w:t>
            </w:r>
          </w:p>
        </w:tc>
        <w:tc>
          <w:tcPr>
            <w:tcW w:type="dxa" w:w="13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Growth Rate</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Competitive Position</w:t>
            </w:r>
          </w:p>
        </w:tc>
        <w:tc>
          <w:tcPr>
            <w:tcW w:type="dxa" w:w="20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Strategic Priority</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Utility Water — AMI (ORION Cellular)</w:t>
            </w:r>
          </w:p>
        </w:tc>
        <w:tc>
          <w:tcPr>
            <w:tcW w:type="dxa" w:w="1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~40-45% [Inference]</w:t>
            </w:r>
          </w:p>
        </w:tc>
        <w:tc>
          <w:tcPr>
            <w:tcW w:type="dxa" w:w="13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 — +20% FY2024</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Leader in cellular NaaS AMI</w:t>
            </w:r>
          </w:p>
        </w:tc>
        <w:tc>
          <w:tcPr>
            <w:tcW w:type="dxa" w:w="20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Core — invest aggressively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Utility Water — Legacy (AMR/Mech.)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~20-25% [Inference]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LOW — de-emphasizing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Strong brand; commoditizing</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Harvest — migrate to AMI</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BEACON SaaS</w:t>
            </w:r>
          </w:p>
        </w:tc>
        <w:tc>
          <w:tcPr>
            <w:tcW w:type="dxa" w:w="1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 [Disclosure]</w:t>
            </w:r>
          </w:p>
        </w:tc>
        <w:tc>
          <w:tcPr>
            <w:tcW w:type="dxa" w:w="13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VERY HIGH — 28% CAGR</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Proprietary; deeply embedded</w:t>
            </w:r>
          </w:p>
        </w:tc>
        <w:tc>
          <w:tcPr>
            <w:tcW w:type="dxa" w:w="20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Priority — invest, expand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Water Quality Monitoring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~5-7% [Inference]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 — growing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Building (s::can, ATi, Syrinix, Telog)</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Investment — expanding suite</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Sewer / SmartCover</w:t>
            </w:r>
          </w:p>
        </w:tc>
        <w:tc>
          <w:tcPr>
            <w:tcW w:type="dxa" w:w="1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~3-4% [Inference post-acquisition]</w:t>
            </w:r>
          </w:p>
        </w:tc>
        <w:tc>
          <w:tcPr>
            <w:tcW w:type="dxa" w:w="13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EMERGING</w:t>
            </w:r>
          </w:p>
        </w:tc>
        <w:tc>
          <w:tcPr>
            <w:tcW w:type="dxa" w:w="2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Greenfield — early mover advantage</w:t>
            </w:r>
          </w:p>
        </w:tc>
        <w:tc>
          <w:tcPr>
            <w:tcW w:type="dxa" w:w="20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Strategic bet — ~10yr horizon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Flow Instrumentation (Industrial)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~8-10% [Inference]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FLAT — deemphasizing non-water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Niche leadership</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Maintain — low investment</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C) Stated Strategy (Words)</w:t>
      </w:r>
    </w:p>
    <w:p>
      <w:pPr>
        <w:spacing w:before="60" w:after="60"/>
        <w:jc w:val="left"/>
      </w:pPr>
      <w:r>
        <w:rPr>
          <w:rFonts w:ascii="Arial" w:cs="Arial" w:eastAsia="Arial" w:hAnsi="Arial"/>
          <w:b w:val="false"/>
          <w:bCs w:val="false"/>
          <w:i w:val="false"/>
          <w:iCs w:val="false"/>
          <w:color w:val="000000"/>
          <w:sz w:val="20"/>
          <w:szCs w:val="20"/>
        </w:rPr>
        <w:t xml:space="preserve">From the 2024 Annual Report CEO letter and investor presentations, management's stated pillars are: [Source: 2024 Annual Report; Jan 2024 Investor Presentation]</w:t>
      </w:r>
    </w:p>
    <w:p>
      <w:pPr>
        <w:pStyle w:val="ListParagraph"/>
        <w:numPr>
          <w:ilvl w:val="0"/>
          <w:numId w:val="2"/>
        </w:numPr>
        <w:spacing w:before="40" w:after="40"/>
      </w:pPr>
      <w:r>
        <w:rPr>
          <w:rFonts w:ascii="Arial" w:cs="Arial" w:eastAsia="Arial" w:hAnsi="Arial"/>
          <w:b w:val="false"/>
          <w:bCs w:val="false"/>
          <w:color w:val="000000"/>
          <w:sz w:val="20"/>
          <w:szCs w:val="20"/>
        </w:rPr>
        <w:t xml:space="preserve">'Beyond the meter' — expand from measurement to the full water intelligence ecosystem; BlueEdge is the commercial articulation of this ambition.</w:t>
      </w:r>
    </w:p>
    <w:p>
      <w:pPr>
        <w:pStyle w:val="ListParagraph"/>
        <w:numPr>
          <w:ilvl w:val="0"/>
          <w:numId w:val="2"/>
        </w:numPr>
        <w:spacing w:before="40" w:after="40"/>
      </w:pPr>
      <w:r>
        <w:rPr>
          <w:rFonts w:ascii="Arial" w:cs="Arial" w:eastAsia="Arial" w:hAnsi="Arial"/>
          <w:b w:val="false"/>
          <w:bCs w:val="false"/>
          <w:color w:val="000000"/>
          <w:sz w:val="20"/>
          <w:szCs w:val="20"/>
        </w:rPr>
        <w:t xml:space="preserve">'Moving from hardware to hardware-enabled software' — increasing SaaS revenue as a % of total; BEACON and RADAR are the primary SaaS vehicles.</w:t>
      </w:r>
    </w:p>
    <w:p>
      <w:pPr>
        <w:pStyle w:val="ListParagraph"/>
        <w:numPr>
          <w:ilvl w:val="0"/>
          <w:numId w:val="2"/>
        </w:numPr>
        <w:spacing w:before="40" w:after="40"/>
      </w:pPr>
      <w:r>
        <w:rPr>
          <w:rFonts w:ascii="Arial" w:cs="Arial" w:eastAsia="Arial" w:hAnsi="Arial"/>
          <w:b w:val="false"/>
          <w:bCs w:val="false"/>
          <w:color w:val="000000"/>
          <w:sz w:val="20"/>
          <w:szCs w:val="20"/>
        </w:rPr>
        <w:t xml:space="preserve">'Disciplined capital allocation' — dividends (32+ consecutive increases), organic growth investment, and accretive tuck-in M&amp;A; no large transformational deals.</w:t>
      </w:r>
    </w:p>
    <w:p>
      <w:pPr>
        <w:pStyle w:val="ListParagraph"/>
        <w:numPr>
          <w:ilvl w:val="0"/>
          <w:numId w:val="2"/>
        </w:numPr>
        <w:spacing w:before="40" w:after="40"/>
      </w:pPr>
      <w:r>
        <w:rPr>
          <w:rFonts w:ascii="Arial" w:cs="Arial" w:eastAsia="Arial" w:hAnsi="Arial"/>
          <w:b w:val="false"/>
          <w:bCs w:val="false"/>
          <w:color w:val="000000"/>
          <w:sz w:val="20"/>
          <w:szCs w:val="20"/>
        </w:rPr>
        <w:t xml:space="preserve">'Customer-first innovation' — R&amp;D tied directly to customer operational problems (non-revenue water, regulatory compliance, aging workforce, data visibility).</w:t>
      </w:r>
    </w:p>
    <w:p>
      <w:pPr>
        <w:pStyle w:val="ListParagraph"/>
        <w:numPr>
          <w:ilvl w:val="0"/>
          <w:numId w:val="2"/>
        </w:numPr>
        <w:spacing w:before="40" w:after="40"/>
      </w:pPr>
      <w:r>
        <w:rPr>
          <w:rFonts w:ascii="Arial" w:cs="Arial" w:eastAsia="Arial" w:hAnsi="Arial"/>
          <w:b w:val="false"/>
          <w:bCs w:val="false"/>
          <w:color w:val="000000"/>
          <w:sz w:val="20"/>
          <w:szCs w:val="20"/>
        </w:rPr>
        <w:t xml:space="preserve">'Sustainability-driven' — ESG goals tied to 50% GHG intensity reduction by 2030; ESG is embedded in product value proposition (water conservation as core mission).</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D) Implied Strategy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 Pattern (2015-2025)</w:t>
            </w:r>
          </w:p>
        </w:tc>
        <w:tc>
          <w:tcPr>
            <w:tcW w:type="dxa" w:w="58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It Implies About True Priorities</w:t>
            </w:r>
          </w:p>
        </w:tc>
      </w:tr>
      <w:tr>
        <w:tc>
          <w:tcPr>
            <w:tcW w:type="dxa" w:w="35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13 tuck-in acquisitions; all water/sensing/analytics focused; no large transformational deal</w:t>
            </w:r>
          </w:p>
        </w:tc>
        <w:tc>
          <w:tcPr>
            <w:tcW w:type="dxa" w:w="58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Management views the organic platform extension strategy as safer and more value-creative than big transformational M&amp;A — capital discipline over growth-at-any-cost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ORION Cellular NaaS launched; active push to convert utilities from capex to opex model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True priority is recurring revenue monetization, not hardware unit economics — management understood early that SaaS multiples are higher than hardware multiples</w:t>
            </w:r>
          </w:p>
        </w:tc>
      </w:tr>
      <w:tr>
        <w:tc>
          <w:tcPr>
            <w:tcW w:type="dxa" w:w="35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BlueEdge brand launched May 2024 (not a product, a portfolio umbrella)</w:t>
            </w:r>
          </w:p>
        </w:tc>
        <w:tc>
          <w:tcPr>
            <w:tcW w:type="dxa" w:w="58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Positioning the company as a platform provider, not a component supplier — preparing for cross-sell of water quality, sewer, pressure analytics to existing AMI customers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SmartCover acquired Jan 2025 for $184M — largest acquisition in company history</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Management is willing to make larger bets on adjacent markets when the strategic logic mirrors the proven water meter AMI playbook; sewer is the next water meter</w:t>
            </w:r>
          </w:p>
        </w:tc>
      </w:tr>
      <w:tr>
        <w:tc>
          <w:tcPr>
            <w:tcW w:type="dxa" w:w="35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BEACON Cobalt ML + BEACON Field App launched 2025</w:t>
            </w:r>
          </w:p>
        </w:tc>
        <w:tc>
          <w:tcPr>
            <w:tcW w:type="dxa" w:w="58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AI/ML layer being added to BEACON — implies long-term strategy to differentiate analytics from competitors; not just data display but predictive intelligence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Zero debt maintained throughout entire expansion; $295M net cash</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Financial conservatism is structural, not situational — management treats balance sheet strength as a strategic asset, not an opportunity cost</w:t>
            </w:r>
          </w:p>
        </w:tc>
      </w:tr>
    </w:tbl>
    <w:p>
      <w:pPr>
        <w:spacing w:before="60" w:after="0"/>
      </w:pPr>
      <w:r>
        <w:t xml:space="preserve"/>
      </w:r>
    </w:p>
    <w:p>
      <w:pPr>
        <w:spacing w:before="200" w:after="80"/>
      </w:pPr>
      <w:r>
        <w:rPr>
          <w:rFonts w:ascii="Arial" w:cs="Arial" w:eastAsia="Arial" w:hAnsi="Arial"/>
          <w:b/>
          <w:bCs/>
          <w:color w:val="1B3A6B"/>
          <w:sz w:val="22"/>
          <w:szCs w:val="22"/>
        </w:rPr>
        <w:t xml:space="preserve">Words vs. Actions: Are There Mismatches?</w:t>
      </w:r>
    </w:p>
    <w:p>
      <w:pPr>
        <w:spacing w:before="60" w:after="60"/>
        <w:jc w:val="left"/>
      </w:pPr>
      <w:r>
        <w:rPr>
          <w:rFonts w:ascii="Arial" w:cs="Arial" w:eastAsia="Arial" w:hAnsi="Arial"/>
          <w:b w:val="false"/>
          <w:bCs w:val="false"/>
          <w:i w:val="false"/>
          <w:iCs w:val="false"/>
          <w:color w:val="000000"/>
          <w:sz w:val="20"/>
          <w:szCs w:val="20"/>
        </w:rPr>
        <w:t xml:space="preserve">Very few, which is itself a signal of management quality. The only notable gap: management states 'we evaluate international expansion opportunities' in every 10-K, but international revenue remains minimal vs. total. The implied strategy (actions) shows the company is overwhelmingly domestic-focused. This is rational — the US AMI runway remains enormous — but investors should not count on international as a meaningful growth driver in the next 3-5 years. [Source: 10-K FY2024 international revenue disclosures; Inference]</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E) 3-5 Year Strategic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Theme</w:t>
            </w:r>
          </w:p>
        </w:tc>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Objective</w:t>
            </w:r>
          </w:p>
        </w:tc>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Levers</w:t>
            </w:r>
          </w:p>
        </w:tc>
        <w:tc>
          <w:tcPr>
            <w:tcW w:type="dxa" w:w="2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Leading Indicators</w:t>
            </w:r>
          </w:p>
        </w:tc>
      </w:tr>
      <w:tr>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 NaaS/SaaS Revenue Scaling</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Grow software/recurring revenue from ~7% to 15%+ of total by 2028-29</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Convert existing AMR installed base; NaaS pricing on new AMI deployments; BEACON ARPU expansion</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Software revenue growth rate &gt;20% YoY; NaaS endpoints as % of total endpoints shipped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 BlueEdge Platform Deepening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Make every utility customer a multi-product customer (water + quality + pressure + sewer)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Cross-sell water quality and SmartCover to AMI installed base; bundle pricing</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Cross-sell attach rate; number of products per utility customer (not disclosed — watch for investor day metrics)</w:t>
            </w:r>
          </w:p>
        </w:tc>
      </w:tr>
      <w:tr>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 SmartCover / Sewer AMI Buildout</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Apply water meter playbook to sewer monitoring; achieve 5%+ market penetration by 2030</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Utility relationship leverage; BEACON data integration; regulatory drivers (EPA CSO rules)</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SmartCover revenue run-rate; sewer monitoring customer wins; gross margin trend toward line-average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 AI/ML Differentiation in BEACON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Build proprietary predictive analytics (leak AI, demand forecasting, predictive maintenance) that competitors cannot easily replicate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Cobalt ML; historical data flywheel per utility; partnership/API ecosystem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BEACON ARPU growth; customer retention rate vs. competitors; new AI feature launch cadence</w:t>
            </w:r>
          </w:p>
        </w:tc>
      </w:tr>
      <w:tr>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 Disciplined Tuck-in M&amp;A</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Selectively acquire 1-2 companies per year that add data streams or geographic coverage without disrupting the balance sheet</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Strong cash generation ($160M+ FCF annually); existing integration playbook</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Acquisition pace; goodwill as % of equity (watch for goodwill inflation); ROIC of acquisitions</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F) Strategic Risks &amp; Failure Modes</w:t>
      </w:r>
    </w:p>
    <w:p>
      <w:pPr>
        <w:pStyle w:val="ListParagraph"/>
        <w:numPr>
          <w:ilvl w:val="0"/>
          <w:numId w:val="2"/>
        </w:numPr>
        <w:spacing w:before="40" w:after="40"/>
      </w:pPr>
      <w:r>
        <w:rPr>
          <w:rFonts w:ascii="Arial" w:cs="Arial" w:eastAsia="Arial" w:hAnsi="Arial"/>
          <w:b w:val="false"/>
          <w:bCs w:val="false"/>
          <w:color w:val="000000"/>
          <w:sz w:val="20"/>
          <w:szCs w:val="20"/>
        </w:rPr>
        <w:t xml:space="preserve">IIJA cliff: Federal stimulus drove a significant demand pull-forward in 2022-2024. When IIJA water funding is fully deployed, organic AMI demand returns to trend (~8-10% growth). BMI's current valuation may price in continuation of 15-20% growth. [Inference]</w:t>
      </w:r>
    </w:p>
    <w:p>
      <w:pPr>
        <w:pStyle w:val="ListParagraph"/>
        <w:numPr>
          <w:ilvl w:val="0"/>
          <w:numId w:val="2"/>
        </w:numPr>
        <w:spacing w:before="40" w:after="40"/>
      </w:pPr>
      <w:r>
        <w:rPr>
          <w:rFonts w:ascii="Arial" w:cs="Arial" w:eastAsia="Arial" w:hAnsi="Arial"/>
          <w:b w:val="false"/>
          <w:bCs w:val="false"/>
          <w:color w:val="000000"/>
          <w:sz w:val="20"/>
          <w:szCs w:val="20"/>
        </w:rPr>
        <w:t xml:space="preserve">AMI market saturation: Once the US utility AMI penetration reaches 60-70% (from ~33% today), the primary growth driver structurally matures. BMI needs SmartCover, water quality, and SaaS ARPU expansion to replace AMI volume growth before that happens.</w:t>
      </w:r>
    </w:p>
    <w:p>
      <w:pPr>
        <w:pStyle w:val="ListParagraph"/>
        <w:numPr>
          <w:ilvl w:val="0"/>
          <w:numId w:val="2"/>
        </w:numPr>
        <w:spacing w:before="40" w:after="40"/>
      </w:pPr>
      <w:r>
        <w:rPr>
          <w:rFonts w:ascii="Arial" w:cs="Arial" w:eastAsia="Arial" w:hAnsi="Arial"/>
          <w:b w:val="false"/>
          <w:bCs w:val="false"/>
          <w:color w:val="000000"/>
          <w:sz w:val="20"/>
          <w:szCs w:val="20"/>
        </w:rPr>
        <w:t xml:space="preserve">Competitive response: Itron's outcomes segment grew 11% in Q3 2025 despite overall revenue decline — signal that competitors are investing in software-led models. If Xylem-Sensus or Itron develop a cellular NaaS product with comparable reliability, BMI's differentiation narrows.</w:t>
      </w:r>
    </w:p>
    <w:p>
      <w:pPr>
        <w:pStyle w:val="ListParagraph"/>
        <w:numPr>
          <w:ilvl w:val="0"/>
          <w:numId w:val="2"/>
        </w:numPr>
        <w:spacing w:before="40" w:after="40"/>
      </w:pPr>
      <w:r>
        <w:rPr>
          <w:rFonts w:ascii="Arial" w:cs="Arial" w:eastAsia="Arial" w:hAnsi="Arial"/>
          <w:b w:val="false"/>
          <w:bCs w:val="false"/>
          <w:color w:val="000000"/>
          <w:sz w:val="20"/>
          <w:szCs w:val="20"/>
        </w:rPr>
        <w:t xml:space="preserve">SmartCover margin timeline: Management promised 'above-line incrementals' but integration costs and greenfield market development (educating utilities on sewer monitoring) could delay margin accretion by 2-4 years. A $184M acquisition that takes 5 years to accrete is value-neutral at best.</w:t>
      </w:r>
    </w:p>
    <w:p>
      <w:pPr>
        <w:pStyle w:val="ListParagraph"/>
        <w:numPr>
          <w:ilvl w:val="0"/>
          <w:numId w:val="2"/>
        </w:numPr>
        <w:spacing w:before="40" w:after="40"/>
      </w:pPr>
      <w:r>
        <w:rPr>
          <w:rFonts w:ascii="Arial" w:cs="Arial" w:eastAsia="Arial" w:hAnsi="Arial"/>
          <w:b w:val="false"/>
          <w:bCs w:val="false"/>
          <w:color w:val="000000"/>
          <w:sz w:val="20"/>
          <w:szCs w:val="20"/>
        </w:rPr>
        <w:t xml:space="preserve">Management succession: Kenneth Bockhorst has led the strategic evolution since 2019; investor confidence is partially tied to continuity of his strategy. No explicit succession plan is public. [Inference/Unknown]</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G) Strategic Scenarios (3-5 Years)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800"/>
        <w:gridCol w:w="2960"/>
      </w:tblGrid>
      <w:tr>
        <w:trPr>
          <w:tblHeader/>
        </w:trPr>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Scenario</w:t>
            </w:r>
          </w:p>
        </w:tc>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Narrative</w:t>
            </w:r>
          </w:p>
        </w:tc>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Must-Be-True</w:t>
            </w:r>
          </w:p>
        </w:tc>
        <w:tc>
          <w:tcPr>
            <w:tcW w:type="dxa" w:w="2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Signal</w:t>
            </w:r>
          </w:p>
        </w:tc>
      </w:tr>
      <w:tr>
        <w:tc>
          <w:tcPr>
            <w:tcW w:type="dxa" w:w="1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BULL — Platform Flywheel</w:t>
            </w:r>
          </w:p>
        </w:tc>
        <w:tc>
          <w:tcPr>
            <w:tcW w:type="dxa" w:w="3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BlueEdge becomes the indispensable utility OS: AMI + water quality + sewer monitoring all on one platform; software grows to 20%+ of revenue; BEACON ML creates proprietary insights no competitor can match; revenue compounds at 15%+ for 5+ years</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SmartCover integration succeeds ahead of schedule; BEACON Cobalt AI demonstrates measurable utility outcomes; no major competitor launches comparable NaaS product</w:t>
            </w:r>
          </w:p>
        </w:tc>
        <w:tc>
          <w:tcPr>
            <w:tcW w:type="dxa" w:w="29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Software revenue &gt;20% of total by 2027; SmartCover reaching line-average margins by 2026; cross-sell attach rate &gt;1.5 products/utility announced at investor day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BASE — Steady Compounder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AMI adoption continues at 8-12% organic growth; SaaS grows 20-25% annually; SmartCover builds slowly; margins expand modestly to 20-21% operating; FCF compounds at 10-15%/yr; multiple stays at premium industrial level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IIJA funding deploys as planned through 2026-27; no major competitive disruption in cellular NaaS; SmartCover breaks even by 2026</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Organic revenue growth 8-12% in 2025-2026; software growing &gt;20%; gross margin holds 39-42% band</w:t>
            </w:r>
          </w:p>
        </w:tc>
      </w:tr>
      <w:tr>
        <w:tc>
          <w:tcPr>
            <w:tcW w:type="dxa" w:w="1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BEAR — Demand Normalization + Margin Pressure</w:t>
            </w:r>
          </w:p>
        </w:tc>
        <w:tc>
          <w:tcPr>
            <w:tcW w:type="dxa" w:w="32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IIJA funds exhaust sooner than expected; AMI demand normalizes to 5-8% growth; tariff headwinds compress gross margin to 38-39% despite pricing; SmartCover integration slower than expected; revenue growth decelerates to 6-8%; multiple re-rates toward 25-30x earnings</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Federal water funding plateaus; Itron/Xylem launch competitive NaaS at lower price points; tariff escalation exceeds BMI's pricing power; SmartCover gross margin dilutive in 2025-2026</w:t>
            </w:r>
          </w:p>
        </w:tc>
        <w:tc>
          <w:tcPr>
            <w:tcW w:type="dxa" w:w="29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Organic utility water growth below 8% for 2 consecutive quarters; gross margin decline below 39%; SmartCover revenue below $40M in 2025</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H) Owner's Strategic View</w:t>
      </w:r>
    </w:p>
    <w:p>
      <w:pPr>
        <w:pStyle w:val="ListParagraph"/>
        <w:numPr>
          <w:ilvl w:val="0"/>
          <w:numId w:val="2"/>
        </w:numPr>
        <w:spacing w:before="40" w:after="40"/>
      </w:pPr>
      <w:r>
        <w:rPr>
          <w:rFonts w:ascii="Arial" w:cs="Arial" w:eastAsia="Arial" w:hAnsi="Arial"/>
          <w:b/>
          <w:bCs/>
          <w:color w:val="C8973A"/>
          <w:sz w:val="20"/>
          <w:szCs w:val="20"/>
        </w:rPr>
        <w:t xml:space="preserve">1: </w:t>
      </w:r>
      <w:r>
        <w:rPr>
          <w:rFonts w:ascii="Arial" w:cs="Arial" w:eastAsia="Arial" w:hAnsi="Arial"/>
          <w:b w:val="false"/>
          <w:bCs w:val="false"/>
          <w:color w:val="000000"/>
          <w:sz w:val="20"/>
          <w:szCs w:val="20"/>
        </w:rPr>
        <w:t xml:space="preserve">DOUBLE DOWN on NaaS conversion: Price NaaS aggressively below traditional AMI capex cost on a total-cost-of-ownership basis to accelerate the remaining 2/3 of US connections converting. Short-term revenue dilution; long-term recurring revenue and margin expansion.</w:t>
      </w:r>
    </w:p>
    <w:p>
      <w:pPr>
        <w:pStyle w:val="ListParagraph"/>
        <w:numPr>
          <w:ilvl w:val="0"/>
          <w:numId w:val="2"/>
        </w:numPr>
        <w:spacing w:before="40" w:after="40"/>
      </w:pPr>
      <w:r>
        <w:rPr>
          <w:rFonts w:ascii="Arial" w:cs="Arial" w:eastAsia="Arial" w:hAnsi="Arial"/>
          <w:b/>
          <w:bCs/>
          <w:color w:val="C8973A"/>
          <w:sz w:val="20"/>
          <w:szCs w:val="20"/>
        </w:rPr>
        <w:t xml:space="preserve">2: </w:t>
      </w:r>
      <w:r>
        <w:rPr>
          <w:rFonts w:ascii="Arial" w:cs="Arial" w:eastAsia="Arial" w:hAnsi="Arial"/>
          <w:b w:val="false"/>
          <w:bCs w:val="false"/>
          <w:color w:val="000000"/>
          <w:sz w:val="20"/>
          <w:szCs w:val="20"/>
        </w:rPr>
        <w:t xml:space="preserve">BUILD the cross-sell motion: Invest in dedicated BlueEdge 'expansion account' sales team focused exclusively on upselling existing AMI customers to water quality + SmartCover + RADAR. The installed base is the moat — monetize it.</w:t>
      </w:r>
    </w:p>
    <w:p>
      <w:pPr>
        <w:pStyle w:val="ListParagraph"/>
        <w:numPr>
          <w:ilvl w:val="0"/>
          <w:numId w:val="2"/>
        </w:numPr>
        <w:spacing w:before="40" w:after="40"/>
      </w:pPr>
      <w:r>
        <w:rPr>
          <w:rFonts w:ascii="Arial" w:cs="Arial" w:eastAsia="Arial" w:hAnsi="Arial"/>
          <w:b/>
          <w:bCs/>
          <w:color w:val="C8973A"/>
          <w:sz w:val="20"/>
          <w:szCs w:val="20"/>
        </w:rPr>
        <w:t xml:space="preserve">3: </w:t>
      </w:r>
      <w:r>
        <w:rPr>
          <w:rFonts w:ascii="Arial" w:cs="Arial" w:eastAsia="Arial" w:hAnsi="Arial"/>
          <w:b w:val="false"/>
          <w:bCs w:val="false"/>
          <w:color w:val="000000"/>
          <w:sz w:val="20"/>
          <w:szCs w:val="20"/>
        </w:rPr>
        <w:t xml:space="preserve">ACCELERATE BEACON ML/AI: Partner with or acquire a small AI analytics firm with water/utilities expertise; the 10+ years of per-utility historical data BMI holds is an irreplaceable training dataset for leak prediction, demand forecasting, and regulatory reporting automation.</w:t>
      </w:r>
    </w:p>
    <w:p>
      <w:pPr>
        <w:pStyle w:val="ListParagraph"/>
        <w:numPr>
          <w:ilvl w:val="0"/>
          <w:numId w:val="2"/>
        </w:numPr>
        <w:spacing w:before="40" w:after="40"/>
      </w:pPr>
      <w:r>
        <w:rPr>
          <w:rFonts w:ascii="Arial" w:cs="Arial" w:eastAsia="Arial" w:hAnsi="Arial"/>
          <w:b/>
          <w:bCs/>
          <w:color w:val="C8973A"/>
          <w:sz w:val="20"/>
          <w:szCs w:val="20"/>
        </w:rPr>
        <w:t xml:space="preserve">4: </w:t>
      </w:r>
      <w:r>
        <w:rPr>
          <w:rFonts w:ascii="Arial" w:cs="Arial" w:eastAsia="Arial" w:hAnsi="Arial"/>
          <w:b w:val="false"/>
          <w:bCs w:val="false"/>
          <w:color w:val="000000"/>
          <w:sz w:val="20"/>
          <w:szCs w:val="20"/>
        </w:rPr>
        <w:t xml:space="preserve">SELECTIVELY pursue EU market: EU Drinking Water Directive mandates smart metering improvements; deploy ORION Cellular + BEACON in 2-3 European markets with strong regulatory tailwinds. Low risk (proven product); medium reward (diversification from US funding cycles).</w:t>
      </w:r>
    </w:p>
    <w:p>
      <w:pPr>
        <w:pStyle w:val="ListParagraph"/>
        <w:numPr>
          <w:ilvl w:val="0"/>
          <w:numId w:val="2"/>
        </w:numPr>
        <w:spacing w:before="40" w:after="40"/>
      </w:pPr>
      <w:r>
        <w:rPr>
          <w:rFonts w:ascii="Arial" w:cs="Arial" w:eastAsia="Arial" w:hAnsi="Arial"/>
          <w:b/>
          <w:bCs/>
          <w:color w:val="C8973A"/>
          <w:sz w:val="20"/>
          <w:szCs w:val="20"/>
        </w:rPr>
        <w:t xml:space="preserve">5: </w:t>
      </w:r>
      <w:r>
        <w:rPr>
          <w:rFonts w:ascii="Arial" w:cs="Arial" w:eastAsia="Arial" w:hAnsi="Arial"/>
          <w:b w:val="false"/>
          <w:bCs w:val="false"/>
          <w:color w:val="000000"/>
          <w:sz w:val="20"/>
          <w:szCs w:val="20"/>
        </w:rPr>
        <w:t xml:space="preserve">MAINTAIN capital discipline: Keep the balance sheet clean; avoid acquisitions &gt;$200M until SmartCover integration demonstrates full margin accretion. FCF is the engine — protect the flywheel.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220"/>
              <w:left w:type="dxa" w:w="300"/>
              <w:bottom w:type="dxa" w:w="220"/>
              <w:right w:type="dxa" w:w="300"/>
            </w:tcMar>
          </w:tcPr>
          <w:p>
            <w:r>
              <w:rPr>
                <w:rFonts w:ascii="Arial" w:cs="Arial" w:eastAsia="Arial" w:hAnsi="Arial"/>
                <w:b/>
                <w:bCs/>
                <w:color w:val="C8973A"/>
                <w:sz w:val="20"/>
                <w:szCs w:val="20"/>
              </w:rPr>
              <w:t xml:space="preserve">PROMPT 5  </w:t>
            </w:r>
            <w:r>
              <w:rPr>
                <w:rFonts w:ascii="Arial" w:cs="Arial" w:eastAsia="Arial" w:hAnsi="Arial"/>
                <w:b/>
                <w:bCs/>
                <w:color w:val="FFFFFF"/>
                <w:sz w:val="28"/>
                <w:szCs w:val="28"/>
              </w:rPr>
              <w:t xml:space="preserve">LEAD PRODUCT ANALYSIS</w:t>
            </w:r>
          </w:p>
          <w:p>
            <w:pPr>
              <w:spacing w:before="40"/>
            </w:pPr>
            <w:r>
              <w:rPr>
                <w:rFonts w:ascii="Arial" w:cs="Arial" w:eastAsia="Arial" w:hAnsi="Arial"/>
                <w:i/>
                <w:iCs/>
                <w:color w:val="C8DFF0"/>
                <w:sz w:val="20"/>
                <w:szCs w:val="20"/>
              </w:rPr>
              <w:t xml:space="preserve">ORION® Cellular Endpoint + BEACON® SaaS — The BlueEdge Core Engine</w:t>
            </w:r>
          </w:p>
        </w:tc>
      </w:tr>
    </w:tbl>
    <w:p>
      <w:pPr>
        <w:spacing w:before="120" w:after="0"/>
      </w:pPr>
      <w:r>
        <w:t xml:space="preserve"/>
      </w:r>
    </w:p>
    <w:p>
      <w:pPr>
        <w:pStyle w:val="Heading2"/>
        <w:spacing w:before="280" w:after="120"/>
      </w:pPr>
      <w:r>
        <w:rPr>
          <w:rFonts w:ascii="Arial" w:cs="Arial" w:eastAsia="Arial" w:hAnsi="Arial"/>
          <w:b/>
          <w:bCs/>
          <w:color w:val="2E6DA4"/>
          <w:sz w:val="28"/>
          <w:szCs w:val="28"/>
        </w:rPr>
        <w:t xml:space="preserve">A) Lead Product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8"/>
              <w:left w:val="single" w:color="2E6DA4" w:sz="4"/>
              <w:bottom w:val="single" w:color="2E6DA4" w:sz="4"/>
              <w:right w:val="single" w:color="2E6DA4" w:sz="4"/>
            </w:tcBorders>
            <w:shd w:fill="EEF5FB" w:val="clear"/>
            <w:tcMar>
              <w:top w:type="dxa" w:w="120"/>
              <w:left w:type="dxa" w:w="180"/>
              <w:bottom w:type="dxa" w:w="120"/>
              <w:right w:type="dxa" w:w="180"/>
            </w:tcMar>
          </w:tcPr>
          <w:p>
            <w:r>
              <w:rPr>
                <w:rFonts w:ascii="Arial" w:cs="Arial" w:eastAsia="Arial" w:hAnsi="Arial"/>
                <w:b/>
                <w:bCs/>
                <w:color w:val="2E6DA4"/>
                <w:sz w:val="20"/>
                <w:szCs w:val="20"/>
              </w:rPr>
              <w:t xml:space="preserve">Product Definition:</w:t>
            </w:r>
          </w:p>
          <w:p>
            <w:r>
              <w:rPr>
                <w:rFonts w:ascii="Arial" w:cs="Arial" w:eastAsia="Arial" w:hAnsi="Arial"/>
                <w:color w:val="1A1A1A"/>
                <w:sz w:val="19"/>
                <w:szCs w:val="19"/>
              </w:rPr>
              <w:t xml:space="preserve">THE LEAD PRODUCT: ORION® Cellular Endpoint + BEACON® SaaS (NaaS Bundle)
Although reported as a single 'utility water' revenue segment, the economically critical product is the bundled ORION Cellular endpoint (hardware) + BEACON SaaS (software) sold under the Network as a Service (NaaS) model. This is the highest-growth, highest-margin, and highest-switching-cost product in BMI's portfolio — and the primary driver of the business model transformation from hardware manufacturer to software platform.
Estimated revenue weight: ORION Cellular endpoints ~35-45% of total revenue; BEACON SaaS ~7% explicitly disclosed. Combined NaaS bundle (hardware + recurring SaaS) likely represents &gt;50% of total revenue when NaaS subscriptions are included. [Inference / Partial Disclosure]
Product family: Not a single SKU — ORION Cellular comes in multiple endpoint generations; BEACON SaaS includes BEACON AMA, EyeOnWater, RADAR, and Cobalt ML. Together they form a platform, not a point product.</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B) Customer &amp; Job-to-be-Done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Dimension</w:t>
            </w:r>
          </w:p>
        </w:tc>
        <w:tc>
          <w:tcPr>
            <w:tcW w:type="dxa" w:w="5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w:t>
            </w:r>
          </w:p>
        </w:tc>
        <w:tc>
          <w:tcPr>
            <w:tcW w:type="dxa" w:w="1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Tag</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Who USES it</w:t>
            </w:r>
          </w:p>
        </w:tc>
        <w:tc>
          <w:tcPr>
            <w:tcW w:type="dxa" w:w="5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Utility operations staff, field technicians, billing administrators, utility IT teams</w:t>
            </w:r>
          </w:p>
        </w:tc>
        <w:tc>
          <w:tcPr>
            <w:tcW w:type="dxa" w:w="1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[Inference]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Who PAYS (Economic Buyer)</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Utility directors, CFOs, public works commissioners; ultimately ratepayer-funded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[Inference]</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Core Job-to-be-Done #1</w:t>
            </w:r>
          </w:p>
        </w:tc>
        <w:tc>
          <w:tcPr>
            <w:tcW w:type="dxa" w:w="5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Accurate, automated meter billing — replace manual reads that have 2-5% error rates with 15-min interval automated reads; protect utility cash flow</w:t>
            </w:r>
          </w:p>
        </w:tc>
        <w:tc>
          <w:tcPr>
            <w:tcW w:type="dxa" w:w="1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[Disclosure — BEACON product 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Core Job-to-be-Done #2</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Non-revenue water reduction — detect leaks faster (BEACON alerts for continuous flow anomalies); utilities lose 15-20% of treated water to leaks nationally [Industry data]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[Inference + industry]</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Core Job-to-be-Done #3</w:t>
            </w:r>
          </w:p>
        </w:tc>
        <w:tc>
          <w:tcPr>
            <w:tcW w:type="dxa" w:w="5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AWIA 2018 compliance — utilities must assess and update vulnerability and emergency response plans; metering data is core to these assessments</w:t>
            </w:r>
          </w:p>
        </w:tc>
        <w:tc>
          <w:tcPr>
            <w:tcW w:type="dxa" w:w="1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[Disclosure — 10-K risk/regulatory]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Core Job-to-be-Done #4</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Workforce efficiency — AMI eliminates physical drive-by meter reading routes, reducing headcount needs as utility workforce ages and retires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[Inference + CEO commentary]</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If it stops working</w:t>
            </w:r>
          </w:p>
        </w:tc>
        <w:tc>
          <w:tcPr>
            <w:tcW w:type="dxa" w:w="5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Billing disruption, revenue loss, regulatory non-compliance, potential customer service breakdown — MISSION CRITICAL</w:t>
            </w:r>
          </w:p>
        </w:tc>
        <w:tc>
          <w:tcPr>
            <w:tcW w:type="dxa" w:w="1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[Inference]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Classification</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MISSION CRITICAL — water billing is how utilities fund all operations; meters are literally the utility's 'cash register' (CEO language)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[Disclosure]</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C) Why This Product Wins Today</w:t>
      </w:r>
    </w:p>
    <w:p>
      <w:pPr>
        <w:spacing w:before="200" w:after="80"/>
      </w:pPr>
      <w:r>
        <w:rPr>
          <w:rFonts w:ascii="Arial" w:cs="Arial" w:eastAsia="Arial" w:hAnsi="Arial"/>
          <w:b/>
          <w:bCs/>
          <w:color w:val="1B3A6B"/>
          <w:sz w:val="22"/>
          <w:szCs w:val="22"/>
        </w:rPr>
        <w:t xml:space="preserve">Main Alternatives</w:t>
      </w:r>
    </w:p>
    <w:p>
      <w:pPr>
        <w:pStyle w:val="ListParagraph"/>
        <w:numPr>
          <w:ilvl w:val="0"/>
          <w:numId w:val="2"/>
        </w:numPr>
        <w:spacing w:before="40" w:after="40"/>
      </w:pPr>
      <w:r>
        <w:rPr>
          <w:rFonts w:ascii="Arial" w:cs="Arial" w:eastAsia="Arial" w:hAnsi="Arial"/>
          <w:b w:val="false"/>
          <w:bCs w:val="false"/>
          <w:color w:val="000000"/>
          <w:sz w:val="20"/>
          <w:szCs w:val="20"/>
        </w:rPr>
        <w:t xml:space="preserve">Fixed-network AMI: Itron, Xylem-Sensus — requires utilities to build/own proprietary gateway infrastructure; higher upfront capex; slower deployment.</w:t>
      </w:r>
    </w:p>
    <w:p>
      <w:pPr>
        <w:pStyle w:val="ListParagraph"/>
        <w:numPr>
          <w:ilvl w:val="0"/>
          <w:numId w:val="2"/>
        </w:numPr>
        <w:spacing w:before="40" w:after="40"/>
      </w:pPr>
      <w:r>
        <w:rPr>
          <w:rFonts w:ascii="Arial" w:cs="Arial" w:eastAsia="Arial" w:hAnsi="Arial"/>
          <w:b w:val="false"/>
          <w:bCs w:val="false"/>
          <w:color w:val="000000"/>
          <w:sz w:val="20"/>
          <w:szCs w:val="20"/>
        </w:rPr>
        <w:t xml:space="preserve">Mobile AMR (drive-by): Neptune/Roper, legacy BMI ORION Mobile — lower upfront cost; still requires meter reading vehicles; no real-time data; phased out over time.</w:t>
      </w:r>
    </w:p>
    <w:p>
      <w:pPr>
        <w:pStyle w:val="ListParagraph"/>
        <w:numPr>
          <w:ilvl w:val="0"/>
          <w:numId w:val="2"/>
        </w:numPr>
        <w:spacing w:before="40" w:after="40"/>
      </w:pPr>
      <w:r>
        <w:rPr>
          <w:rFonts w:ascii="Arial" w:cs="Arial" w:eastAsia="Arial" w:hAnsi="Arial"/>
          <w:b w:val="false"/>
          <w:bCs w:val="false"/>
          <w:color w:val="000000"/>
          <w:sz w:val="20"/>
          <w:szCs w:val="20"/>
        </w:rPr>
        <w:t xml:space="preserve">Manual reading: Legacy mechanical meters + physical reads — highest labor cost; no data; regulatory pressure to modernize.</w:t>
      </w:r>
    </w:p>
    <w:p>
      <w:pPr>
        <w:pStyle w:val="ListParagraph"/>
        <w:numPr>
          <w:ilvl w:val="0"/>
          <w:numId w:val="2"/>
        </w:numPr>
        <w:spacing w:before="40" w:after="40"/>
      </w:pPr>
      <w:r>
        <w:rPr>
          <w:rFonts w:ascii="Arial" w:cs="Arial" w:eastAsia="Arial" w:hAnsi="Arial"/>
          <w:b w:val="false"/>
          <w:bCs w:val="false"/>
          <w:color w:val="000000"/>
          <w:sz w:val="20"/>
          <w:szCs w:val="20"/>
        </w:rPr>
        <w:t xml:space="preserve">Do nothing: Many small utilities still running 1970s-era meters — the 'do nothing' competitor is the largest addressable opportunity remaining.</w:t>
      </w:r>
    </w:p>
    <w:p>
      <w:pPr>
        <w:spacing w:before="60" w:after="0"/>
      </w:pPr>
      <w:r>
        <w:t xml:space="preserve"/>
      </w:r>
    </w:p>
    <w:p>
      <w:pPr>
        <w:spacing w:before="200" w:after="80"/>
      </w:pPr>
      <w:r>
        <w:rPr>
          <w:rFonts w:ascii="Arial" w:cs="Arial" w:eastAsia="Arial" w:hAnsi="Arial"/>
          <w:b/>
          <w:bCs/>
          <w:color w:val="1B3A6B"/>
          <w:sz w:val="22"/>
          <w:szCs w:val="22"/>
        </w:rPr>
        <w:t xml:space="preserve">Top 3 Reasons Customers Choose ORION NaaS over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rPr>
          <w:tblHeader/>
        </w:trPr>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Reason</w:t>
            </w:r>
          </w:p>
        </w:tc>
        <w:tc>
          <w:tcPr>
            <w:tcW w:type="dxa" w:w="4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w:t>
            </w:r>
          </w:p>
        </w:tc>
        <w:tc>
          <w:tcPr>
            <w:tcW w:type="dxa" w:w="3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Competitive Differentiator</w:t>
            </w:r>
          </w:p>
        </w:tc>
      </w:tr>
      <w:tr>
        <w:tc>
          <w:tcPr>
            <w:tcW w:type="dxa" w:w="1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 No gateway infrastructure required</w:t>
            </w:r>
          </w:p>
        </w:tc>
        <w:tc>
          <w:tcPr>
            <w:tcW w:type="dxa" w:w="4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ORION Cellular leverages public cellular networks (AT&amp;T/Verizon); utility does not need to install/maintain proprietary gateway hardware. Competitors' fixed-network AMI requires significant gateway infrastructure investment.</w:t>
            </w:r>
          </w:p>
        </w:tc>
        <w:tc>
          <w:tcPr>
            <w:tcW w:type="dxa" w:w="3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STRONG — unique in the market for pure cellular NaaS approach [Disclosure]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 Opex vs. Capex model</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NaaS converts a large capital project into a predictable monthly operating expense. Utilities with tight capital budgets can deploy AMI immediately; IIJA funding easier to apply to opex</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STRONG — lowers barrier to adoption for smaller/mid-size utilities [Inference]</w:t>
            </w:r>
          </w:p>
        </w:tc>
      </w:tr>
      <w:tr>
        <w:tc>
          <w:tcPr>
            <w:tcW w:type="dxa" w:w="1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 BEACON data ecosystem lock-in</w:t>
            </w:r>
          </w:p>
        </w:tc>
        <w:tc>
          <w:tcPr>
            <w:tcW w:type="dxa" w:w="4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Once BEACON is the utility's data platform, years of billing history, leak events, customer consumption patterns, and regulatory reports are in BMI's system. Migration is painful even if a competitor offers lower price.</w:t>
            </w:r>
          </w:p>
        </w:tc>
        <w:tc>
          <w:tcPr>
            <w:tcW w:type="dxa" w:w="33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VERY STRONG — strongest switching cost in the portfolio [Inference from product architecture]</w:t>
            </w:r>
          </w:p>
        </w:tc>
      </w:tr>
    </w:tbl>
    <w:p>
      <w:pPr>
        <w:spacing w:before="60" w:after="0"/>
      </w:pPr>
      <w:r>
        <w:t xml:space="preserve"/>
      </w:r>
    </w:p>
    <w:p>
      <w:pPr>
        <w:spacing w:before="200" w:after="80"/>
      </w:pPr>
      <w:r>
        <w:rPr>
          <w:rFonts w:ascii="Arial" w:cs="Arial" w:eastAsia="Arial" w:hAnsi="Arial"/>
          <w:b/>
          <w:bCs/>
          <w:color w:val="1B3A6B"/>
          <w:sz w:val="22"/>
          <w:szCs w:val="22"/>
        </w:rPr>
        <w:t xml:space="preserve">Switching Costs</w:t>
      </w:r>
    </w:p>
    <w:p>
      <w:pPr>
        <w:pStyle w:val="ListParagraph"/>
        <w:numPr>
          <w:ilvl w:val="0"/>
          <w:numId w:val="2"/>
        </w:numPr>
        <w:spacing w:before="40" w:after="40"/>
      </w:pPr>
      <w:r>
        <w:rPr>
          <w:rFonts w:ascii="Arial" w:cs="Arial" w:eastAsia="Arial" w:hAnsi="Arial"/>
          <w:b w:val="false"/>
          <w:bCs w:val="false"/>
          <w:color w:val="000000"/>
          <w:sz w:val="20"/>
          <w:szCs w:val="20"/>
        </w:rPr>
        <w:t xml:space="preserve">Physical: Remove and replace every endpoint physically installed on every meter in the utility's service area — capital cost + labor + service interruption risk.</w:t>
      </w:r>
    </w:p>
    <w:p>
      <w:pPr>
        <w:pStyle w:val="ListParagraph"/>
        <w:numPr>
          <w:ilvl w:val="0"/>
          <w:numId w:val="2"/>
        </w:numPr>
        <w:spacing w:before="40" w:after="40"/>
      </w:pPr>
      <w:r>
        <w:rPr>
          <w:rFonts w:ascii="Arial" w:cs="Arial" w:eastAsia="Arial" w:hAnsi="Arial"/>
          <w:b w:val="false"/>
          <w:bCs w:val="false"/>
          <w:color w:val="000000"/>
          <w:sz w:val="20"/>
          <w:szCs w:val="20"/>
        </w:rPr>
        <w:t xml:space="preserve">Data: All BEACON historical data (usage history, leak events, regulatory reports, billing records) is in BMI's cloud; migration to a competitor's platform is technically complex and risks billing compliance gaps.</w:t>
      </w:r>
    </w:p>
    <w:p>
      <w:pPr>
        <w:pStyle w:val="ListParagraph"/>
        <w:numPr>
          <w:ilvl w:val="0"/>
          <w:numId w:val="2"/>
        </w:numPr>
        <w:spacing w:before="40" w:after="40"/>
      </w:pPr>
      <w:r>
        <w:rPr>
          <w:rFonts w:ascii="Arial" w:cs="Arial" w:eastAsia="Arial" w:hAnsi="Arial"/>
          <w:b w:val="false"/>
          <w:bCs w:val="false"/>
          <w:color w:val="000000"/>
          <w:sz w:val="20"/>
          <w:szCs w:val="20"/>
        </w:rPr>
        <w:t xml:space="preserve">Workflow: Utility staff trained on BEACON workflows, alert configurations, API integrations with billing/GIS/SCADA systems; retraining cost + operational risk during transition.</w:t>
      </w:r>
    </w:p>
    <w:p>
      <w:pPr>
        <w:pStyle w:val="ListParagraph"/>
        <w:numPr>
          <w:ilvl w:val="0"/>
          <w:numId w:val="2"/>
        </w:numPr>
        <w:spacing w:before="40" w:after="40"/>
      </w:pPr>
      <w:r>
        <w:rPr>
          <w:rFonts w:ascii="Arial" w:cs="Arial" w:eastAsia="Arial" w:hAnsi="Arial"/>
          <w:b w:val="false"/>
          <w:bCs w:val="false"/>
          <w:color w:val="000000"/>
          <w:sz w:val="20"/>
          <w:szCs w:val="20"/>
        </w:rPr>
        <w:t xml:space="preserve">Contractual: Multi-year NaaS contracts (exact terms not disclosed [Unknown]); early termination penalties likely.</w:t>
      </w:r>
    </w:p>
    <w:p>
      <w:pPr>
        <w:pStyle w:val="ListParagraph"/>
        <w:numPr>
          <w:ilvl w:val="0"/>
          <w:numId w:val="2"/>
        </w:numPr>
        <w:spacing w:before="40" w:after="40"/>
      </w:pPr>
      <w:r>
        <w:rPr>
          <w:rFonts w:ascii="Arial" w:cs="Arial" w:eastAsia="Arial" w:hAnsi="Arial"/>
          <w:b w:val="false"/>
          <w:bCs w:val="false"/>
          <w:color w:val="000000"/>
          <w:sz w:val="20"/>
          <w:szCs w:val="20"/>
        </w:rPr>
        <w:t xml:space="preserve">Network effects: Minimal at industry level; strong at per-utility level — the more data BEACON accumulates for a utility, the more valuable its anomaly detection becomes.</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D) Revenue Model &amp; Growth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Revenue Type</w:t>
            </w:r>
          </w:p>
        </w:tc>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Model</w:t>
            </w:r>
          </w:p>
        </w:tc>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Typical Terms (Est.)</w:t>
            </w:r>
          </w:p>
        </w:tc>
        <w:tc>
          <w:tcPr>
            <w:tcW w:type="dxa" w:w="1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Predictability</w:t>
            </w:r>
          </w:p>
        </w:tc>
      </w:tr>
      <w:tr>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ORION Hardware (endpoint + meter)</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One-time sale per endpoint deployed; bulk purchase orders for AMI projects</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Per-endpoint price; $50-200+ per endpoint depending on technology [Inference]</w:t>
            </w:r>
          </w:p>
        </w:tc>
        <w:tc>
          <w:tcPr>
            <w:tcW w:type="dxa" w:w="1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 — project-based, but utility capital plans are multi-year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BEACON NaaS Subscription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Monthly recurring SaaS per endpoint per month; bundled with ORION Cellular under NaaS contract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Monthly per-endpoint; multi-year contract [Inference — exact pricing not disclosed]</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 — recurring; utility attrition near-zero given mission-critical nature</w:t>
            </w:r>
          </w:p>
        </w:tc>
      </w:tr>
      <w:tr>
        <w:tc>
          <w:tcPr>
            <w:tcW w:type="dxa" w:w="20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BEACON SaaS (standalone software)</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Annual subscription for utilities with existing AMI infrastructure; EyeOnWater consumer portal</w:t>
            </w:r>
          </w:p>
        </w:tc>
        <w:tc>
          <w:tcPr>
            <w:tcW w:type="dxa" w:w="2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Per-utility annual license; expanding with ML/AI features</w:t>
            </w:r>
          </w:p>
        </w:tc>
        <w:tc>
          <w:tcPr>
            <w:tcW w:type="dxa" w:w="1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 — multi-year renewal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Professional Services (project mgmt, training)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Fee-for-service at deployment; ongoing support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Time &amp; materials or bundled</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Low — deployment-dependent</w:t>
            </w:r>
          </w:p>
        </w:tc>
      </w:tr>
    </w:tbl>
    <w:p>
      <w:pPr>
        <w:spacing w:before="60" w:after="0"/>
      </w:pPr>
      <w:r>
        <w:t xml:space="preserve"/>
      </w:r>
    </w:p>
    <w:p>
      <w:pPr>
        <w:spacing w:before="200" w:after="80"/>
      </w:pPr>
      <w:r>
        <w:rPr>
          <w:rFonts w:ascii="Arial" w:cs="Arial" w:eastAsia="Arial" w:hAnsi="Arial"/>
          <w:b/>
          <w:bCs/>
          <w:color w:val="1B3A6B"/>
          <w:sz w:val="22"/>
          <w:szCs w:val="22"/>
        </w:rPr>
        <w:t xml:space="preserve">5 Main Growth Drivers for ORION NaaS (Next 3-5 Years)</w:t>
      </w:r>
    </w:p>
    <w:p>
      <w:pPr>
        <w:pStyle w:val="ListParagraph"/>
        <w:numPr>
          <w:ilvl w:val="0"/>
          <w:numId w:val="2"/>
        </w:numPr>
        <w:spacing w:before="40" w:after="40"/>
      </w:pPr>
      <w:r>
        <w:rPr>
          <w:rFonts w:ascii="Arial" w:cs="Arial" w:eastAsia="Arial" w:hAnsi="Arial"/>
          <w:b/>
          <w:bCs/>
          <w:color w:val="C8973A"/>
          <w:sz w:val="20"/>
          <w:szCs w:val="20"/>
        </w:rPr>
        <w:t xml:space="preserve">1: </w:t>
      </w:r>
      <w:r>
        <w:rPr>
          <w:rFonts w:ascii="Arial" w:cs="Arial" w:eastAsia="Arial" w:hAnsi="Arial"/>
          <w:b w:val="false"/>
          <w:bCs w:val="false"/>
          <w:color w:val="000000"/>
          <w:sz w:val="20"/>
          <w:szCs w:val="20"/>
        </w:rPr>
        <w:t xml:space="preserve">AMI penetration runway: Only ~1/3 of US connections on AMI — the remaining ~33M+ connections are the addressable pipeline. [Source: Durablevaluecreators citing company presentations]</w:t>
      </w:r>
    </w:p>
    <w:p>
      <w:pPr>
        <w:pStyle w:val="ListParagraph"/>
        <w:numPr>
          <w:ilvl w:val="0"/>
          <w:numId w:val="2"/>
        </w:numPr>
        <w:spacing w:before="40" w:after="40"/>
      </w:pPr>
      <w:r>
        <w:rPr>
          <w:rFonts w:ascii="Arial" w:cs="Arial" w:eastAsia="Arial" w:hAnsi="Arial"/>
          <w:b/>
          <w:bCs/>
          <w:color w:val="C8973A"/>
          <w:sz w:val="20"/>
          <w:szCs w:val="20"/>
        </w:rPr>
        <w:t xml:space="preserve">2: </w:t>
      </w:r>
      <w:r>
        <w:rPr>
          <w:rFonts w:ascii="Arial" w:cs="Arial" w:eastAsia="Arial" w:hAnsi="Arial"/>
          <w:b w:val="false"/>
          <w:bCs w:val="false"/>
          <w:color w:val="000000"/>
          <w:sz w:val="20"/>
          <w:szCs w:val="20"/>
        </w:rPr>
        <w:t xml:space="preserve">NaaS conversion of existing AMR installed base: BMI's own ORION Mobile/AMR customers upgrading to cellular NaaS — highest-probability, lowest-CAC growth opportunity. [Inference]</w:t>
      </w:r>
    </w:p>
    <w:p>
      <w:pPr>
        <w:pStyle w:val="ListParagraph"/>
        <w:numPr>
          <w:ilvl w:val="0"/>
          <w:numId w:val="2"/>
        </w:numPr>
        <w:spacing w:before="40" w:after="40"/>
      </w:pPr>
      <w:r>
        <w:rPr>
          <w:rFonts w:ascii="Arial" w:cs="Arial" w:eastAsia="Arial" w:hAnsi="Arial"/>
          <w:b/>
          <w:bCs/>
          <w:color w:val="C8973A"/>
          <w:sz w:val="20"/>
          <w:szCs w:val="20"/>
        </w:rPr>
        <w:t xml:space="preserve">3: </w:t>
      </w:r>
      <w:r>
        <w:rPr>
          <w:rFonts w:ascii="Arial" w:cs="Arial" w:eastAsia="Arial" w:hAnsi="Arial"/>
          <w:b w:val="false"/>
          <w:bCs w:val="false"/>
          <w:color w:val="000000"/>
          <w:sz w:val="20"/>
          <w:szCs w:val="20"/>
        </w:rPr>
        <w:t xml:space="preserve">BEACON SaaS ARPU expansion: Cobalt ML, BEACON Field, RADAR pressure analytics — each new module adds monthly per-utility revenue on existing endpoint base. [Source: BeyondSPX; Q3 2025 earnings]</w:t>
      </w:r>
    </w:p>
    <w:p>
      <w:pPr>
        <w:pStyle w:val="ListParagraph"/>
        <w:numPr>
          <w:ilvl w:val="0"/>
          <w:numId w:val="2"/>
        </w:numPr>
        <w:spacing w:before="40" w:after="40"/>
      </w:pPr>
      <w:r>
        <w:rPr>
          <w:rFonts w:ascii="Arial" w:cs="Arial" w:eastAsia="Arial" w:hAnsi="Arial"/>
          <w:b/>
          <w:bCs/>
          <w:color w:val="C8973A"/>
          <w:sz w:val="20"/>
          <w:szCs w:val="20"/>
        </w:rPr>
        <w:t xml:space="preserve">4: </w:t>
      </w:r>
      <w:r>
        <w:rPr>
          <w:rFonts w:ascii="Arial" w:cs="Arial" w:eastAsia="Arial" w:hAnsi="Arial"/>
          <w:b w:val="false"/>
          <w:bCs w:val="false"/>
          <w:color w:val="000000"/>
          <w:sz w:val="20"/>
          <w:szCs w:val="20"/>
        </w:rPr>
        <w:t xml:space="preserve">Infrastructure funding (IIJA + state programs): $55B federal water allocation creates utility capital budget capacity; state revolving funds (SRF) provide additional AMI financing. [Source: 10-K FY2024 risk/opportunity]</w:t>
      </w:r>
    </w:p>
    <w:p>
      <w:pPr>
        <w:pStyle w:val="ListParagraph"/>
        <w:numPr>
          <w:ilvl w:val="0"/>
          <w:numId w:val="2"/>
        </w:numPr>
        <w:spacing w:before="40" w:after="40"/>
      </w:pPr>
      <w:r>
        <w:rPr>
          <w:rFonts w:ascii="Arial" w:cs="Arial" w:eastAsia="Arial" w:hAnsi="Arial"/>
          <w:b/>
          <w:bCs/>
          <w:color w:val="C8973A"/>
          <w:sz w:val="20"/>
          <w:szCs w:val="20"/>
        </w:rPr>
        <w:t xml:space="preserve">5: </w:t>
      </w:r>
      <w:r>
        <w:rPr>
          <w:rFonts w:ascii="Arial" w:cs="Arial" w:eastAsia="Arial" w:hAnsi="Arial"/>
          <w:b w:val="false"/>
          <w:bCs w:val="false"/>
          <w:color w:val="000000"/>
          <w:sz w:val="20"/>
          <w:szCs w:val="20"/>
        </w:rPr>
        <w:t xml:space="preserve">Water quality data integration: BEACON now integrates water quality sensor data (s::can) and pressure data (Syrinix, Telog) — multi-sensor BlueEdge deployments command higher total contract value. [Inference]</w:t>
      </w:r>
    </w:p>
    <w:p>
      <w:pPr>
        <w:spacing w:before="60" w:after="0"/>
      </w:pPr>
      <w:r>
        <w:t xml:space="preserve"/>
      </w:r>
    </w:p>
    <w:p>
      <w:pPr>
        <w:spacing w:before="60" w:after="60"/>
        <w:jc w:val="left"/>
      </w:pPr>
      <w:r>
        <w:rPr>
          <w:rFonts w:ascii="Arial" w:cs="Arial" w:eastAsia="Arial" w:hAnsi="Arial"/>
          <w:b w:val="false"/>
          <w:bCs w:val="false"/>
          <w:i w:val="false"/>
          <w:iCs w:val="false"/>
          <w:color w:val="000000"/>
          <w:sz w:val="20"/>
          <w:szCs w:val="20"/>
        </w:rPr>
        <w:t xml:space="preserve">Demand type: </w:t>
      </w:r>
      <w:r>
        <w:rPr>
          <w:rFonts w:ascii="Arial" w:cs="Arial" w:eastAsia="Arial" w:hAnsi="Arial"/>
          <w:b w:val="false"/>
          <w:bCs w:val="false"/>
          <w:i w:val="false"/>
          <w:iCs w:val="false"/>
          <w:color w:val="000000"/>
          <w:sz w:val="20"/>
          <w:szCs w:val="20"/>
        </w:rPr>
        <w:t xml:space="preserve">STABLE TO COUNTER-CYCLICAL. Water utility AMI spending correlates more to regulatory mandates and infrastructure age than to GDP or interest rates. In recession, AMI provides cost savings (leak reduction, labor elimination) that utilities prioritize to protect revenues. [Disclosure/Inference]</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E) Unit Economics &amp;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Metric</w:t>
            </w:r>
          </w:p>
        </w:tc>
        <w:tc>
          <w:tcPr>
            <w:tcW w:type="dxa" w:w="3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ORION NaaS Bundle</w:t>
            </w:r>
          </w:p>
        </w:tc>
        <w:tc>
          <w:tcPr>
            <w:tcW w:type="dxa" w:w="3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Interpretation</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Hardware ASP per endpoint (Est.)</w:t>
            </w:r>
          </w:p>
        </w:tc>
        <w:tc>
          <w:tcPr>
            <w:tcW w:type="dxa" w:w="3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$100-300 [Inference from peer benchmarks]</w:t>
            </w:r>
          </w:p>
        </w:tc>
        <w:tc>
          <w:tcPr>
            <w:tcW w:type="dxa" w:w="3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Premium vs. legacy AMR; justified by no-gateway-required value prop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NaaS subscription ARPU (Est.)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$5-20/endpoint/month [Inference; not disclosed]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Low per-unit; high in aggregate at scale across 10,000s of endpoints</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Gross margin — hardware component</w:t>
            </w:r>
          </w:p>
        </w:tc>
        <w:tc>
          <w:tcPr>
            <w:tcW w:type="dxa" w:w="3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~35-40% [Inference]</w:t>
            </w:r>
          </w:p>
        </w:tc>
        <w:tc>
          <w:tcPr>
            <w:tcW w:type="dxa" w:w="3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Electronic components + manufacturing; improving with volume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Gross margin — SaaS component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~70-80% [Inference from SaaS industry norms]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Near-zero marginal cost per additional user; platform economics</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Blended NaaS gross margin</w:t>
            </w:r>
          </w:p>
        </w:tc>
        <w:tc>
          <w:tcPr>
            <w:tcW w:type="dxa" w:w="3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~45-55% on fully-ramped NaaS deployment [Inference]</w:t>
            </w:r>
          </w:p>
        </w:tc>
        <w:tc>
          <w:tcPr>
            <w:tcW w:type="dxa" w:w="3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Higher than reported 40.7% average — SaaS blends up over time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LTV:CAC ratio (Est.)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VERY HIGH — 15-20yr hardware lifecycle + recurring SaaS = potentially 20-30x CAC [Inference]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Best-in-class for industrial; SaaS companies rarely match on hardware longevity</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Operating leverage direction</w:t>
            </w:r>
          </w:p>
        </w:tc>
        <w:tc>
          <w:tcPr>
            <w:tcW w:type="dxa" w:w="3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STRONG — SEA fixed; marginal COGS on incremental SaaS near zero</w:t>
            </w:r>
          </w:p>
        </w:tc>
        <w:tc>
          <w:tcPr>
            <w:tcW w:type="dxa" w:w="35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Each % shift to SaaS expands EBIT margin materially</w:t>
            </w:r>
          </w:p>
        </w:tc>
      </w:tr>
    </w:tbl>
    <w:p>
      <w:pPr>
        <w:spacing w:before="80" w:after="0"/>
      </w:pPr>
      <w:r>
        <w:t xml:space="preserve"/>
      </w:r>
    </w:p>
    <w:p>
      <w:pPr>
        <w:pStyle w:val="Heading2"/>
        <w:spacing w:before="280" w:after="120"/>
      </w:pPr>
      <w:r>
        <w:rPr>
          <w:rFonts w:ascii="Arial" w:cs="Arial" w:eastAsia="Arial" w:hAnsi="Arial"/>
          <w:b/>
          <w:bCs/>
          <w:color w:val="2E6DA4"/>
          <w:sz w:val="28"/>
          <w:szCs w:val="28"/>
        </w:rPr>
        <w:t xml:space="preserve">F) Go-to-Market &amp; Stickiness</w:t>
      </w:r>
    </w:p>
    <w:p>
      <w:pPr>
        <w:spacing w:before="200" w:after="80"/>
      </w:pPr>
      <w:r>
        <w:rPr>
          <w:rFonts w:ascii="Arial" w:cs="Arial" w:eastAsia="Arial" w:hAnsi="Arial"/>
          <w:b/>
          <w:bCs/>
          <w:color w:val="1B3A6B"/>
          <w:sz w:val="22"/>
          <w:szCs w:val="22"/>
        </w:rPr>
        <w:t xml:space="preserve">GTM Model</w:t>
      </w:r>
    </w:p>
    <w:p>
      <w:pPr>
        <w:pStyle w:val="ListParagraph"/>
        <w:numPr>
          <w:ilvl w:val="0"/>
          <w:numId w:val="2"/>
        </w:numPr>
        <w:spacing w:before="40" w:after="40"/>
      </w:pPr>
      <w:r>
        <w:rPr>
          <w:rFonts w:ascii="Arial" w:cs="Arial" w:eastAsia="Arial" w:hAnsi="Arial"/>
          <w:b w:val="false"/>
          <w:bCs w:val="false"/>
          <w:color w:val="000000"/>
          <w:sz w:val="20"/>
          <w:szCs w:val="20"/>
        </w:rPr>
        <w:t xml:space="preserve">Direct sales force: Relationship-based selling to municipal utility directors/engineers; long-cycle (12-36 months from RFP to deployment decision). [Inference]</w:t>
      </w:r>
    </w:p>
    <w:p>
      <w:pPr>
        <w:pStyle w:val="ListParagraph"/>
        <w:numPr>
          <w:ilvl w:val="0"/>
          <w:numId w:val="2"/>
        </w:numPr>
        <w:spacing w:before="40" w:after="40"/>
      </w:pPr>
      <w:r>
        <w:rPr>
          <w:rFonts w:ascii="Arial" w:cs="Arial" w:eastAsia="Arial" w:hAnsi="Arial"/>
          <w:b w:val="false"/>
          <w:bCs w:val="false"/>
          <w:color w:val="000000"/>
          <w:sz w:val="20"/>
          <w:szCs w:val="20"/>
        </w:rPr>
        <w:t xml:space="preserve">Authorized distributor/channel network: BMI uses distributors for smaller utilities and geographic coverage. [Source: 10-K FY2024 distribution section]</w:t>
      </w:r>
    </w:p>
    <w:p>
      <w:pPr>
        <w:pStyle w:val="ListParagraph"/>
        <w:numPr>
          <w:ilvl w:val="0"/>
          <w:numId w:val="2"/>
        </w:numPr>
        <w:spacing w:before="40" w:after="40"/>
      </w:pPr>
      <w:r>
        <w:rPr>
          <w:rFonts w:ascii="Arial" w:cs="Arial" w:eastAsia="Arial" w:hAnsi="Arial"/>
          <w:b w:val="false"/>
          <w:bCs w:val="false"/>
          <w:color w:val="000000"/>
          <w:sz w:val="20"/>
          <w:szCs w:val="20"/>
        </w:rPr>
        <w:t xml:space="preserve">No self-serve: Enterprise municipal procurement; formal RFP/tender process; no PLG (product-led growth) component — this is appropriate for the customer profile.</w:t>
      </w:r>
    </w:p>
    <w:p>
      <w:pPr>
        <w:spacing w:before="60" w:after="0"/>
      </w:pPr>
      <w:r>
        <w:t xml:space="preserve"/>
      </w:r>
    </w:p>
    <w:p>
      <w:pPr>
        <w:spacing w:before="200" w:after="80"/>
      </w:pPr>
      <w:r>
        <w:rPr>
          <w:rFonts w:ascii="Arial" w:cs="Arial" w:eastAsia="Arial" w:hAnsi="Arial"/>
          <w:b/>
          <w:bCs/>
          <w:color w:val="1B3A6B"/>
          <w:sz w:val="22"/>
          <w:szCs w:val="22"/>
        </w:rPr>
        <w:t xml:space="preserve">Adoption Model</w:t>
      </w:r>
    </w:p>
    <w:p>
      <w:pPr>
        <w:pStyle w:val="ListParagraph"/>
        <w:numPr>
          <w:ilvl w:val="0"/>
          <w:numId w:val="2"/>
        </w:numPr>
        <w:spacing w:before="40" w:after="40"/>
      </w:pPr>
      <w:r>
        <w:rPr>
          <w:rFonts w:ascii="Arial" w:cs="Arial" w:eastAsia="Arial" w:hAnsi="Arial"/>
          <w:b w:val="false"/>
          <w:bCs w:val="false"/>
          <w:color w:val="000000"/>
          <w:sz w:val="20"/>
          <w:szCs w:val="20"/>
        </w:rPr>
        <w:t xml:space="preserve">Top-down: Utility director / public works commissioner makes the deployment decision; IT and operations teams are implementors, not initiators. Implies long sales cycle but large contract size.</w:t>
      </w:r>
    </w:p>
    <w:p>
      <w:pPr>
        <w:pStyle w:val="ListParagraph"/>
        <w:numPr>
          <w:ilvl w:val="0"/>
          <w:numId w:val="2"/>
        </w:numPr>
        <w:spacing w:before="40" w:after="40"/>
      </w:pPr>
      <w:r>
        <w:rPr>
          <w:rFonts w:ascii="Arial" w:cs="Arial" w:eastAsia="Arial" w:hAnsi="Arial"/>
          <w:b w:val="false"/>
          <w:bCs w:val="false"/>
          <w:color w:val="000000"/>
          <w:sz w:val="20"/>
          <w:szCs w:val="20"/>
        </w:rPr>
        <w:t xml:space="preserve">Land and expand: Initial AMI deployment → BEACON SaaS → water quality sensors → pressure monitoring → sewer monitoring (SmartCover). Each product adds revenue to existing accounts. [Inference]</w:t>
      </w:r>
    </w:p>
    <w:p>
      <w:pPr>
        <w:spacing w:before="60" w:after="0"/>
      </w:pPr>
      <w:r>
        <w:t xml:space="preserve"/>
      </w:r>
    </w:p>
    <w:p>
      <w:pPr>
        <w:spacing w:before="200" w:after="80"/>
      </w:pPr>
      <w:r>
        <w:rPr>
          <w:rFonts w:ascii="Arial" w:cs="Arial" w:eastAsia="Arial" w:hAnsi="Arial"/>
          <w:b/>
          <w:bCs/>
          <w:color w:val="1B3A6B"/>
          <w:sz w:val="22"/>
          <w:szCs w:val="22"/>
        </w:rPr>
        <w:t xml:space="preserve">Retention / NRR</w:t>
      </w:r>
    </w:p>
    <w:p>
      <w:pPr>
        <w:spacing w:before="60" w:after="60"/>
        <w:jc w:val="left"/>
      </w:pPr>
      <w:r>
        <w:rPr>
          <w:rFonts w:ascii="Arial" w:cs="Arial" w:eastAsia="Arial" w:hAnsi="Arial"/>
          <w:b w:val="false"/>
          <w:bCs w:val="false"/>
          <w:i w:val="false"/>
          <w:iCs w:val="false"/>
          <w:color w:val="000000"/>
          <w:sz w:val="20"/>
          <w:szCs w:val="20"/>
        </w:rPr>
        <w:t xml:space="preserve">BMI does not disclose explicit NRR or gross revenue retention for its SaaS segment — a notable gap for investors trying to validate the SaaS thesis. [Unknown] Given the mission-critical nature of billing infrastructure and the physical switching costs, implied GRR is likely &gt;95%. NRR is likely &gt;100% given BEACON ARPU expansion through new features. Industry logic suggests: if a utility hasn't churned after 5 years, it likely never will until physical meter replacement (15-20 years). [Inference — request explicit disclosure at next investor day]</w:t>
      </w:r>
    </w:p>
    <w:p>
      <w:pPr>
        <w:spacing w:before="80" w:after="0"/>
      </w:pPr>
      <w:r>
        <w:t xml:space="preserve"/>
      </w:r>
    </w:p>
    <w:p>
      <w:pPr>
        <w:pStyle w:val="Heading2"/>
        <w:spacing w:before="280" w:after="120"/>
      </w:pPr>
      <w:r>
        <w:rPr>
          <w:rFonts w:ascii="Arial" w:cs="Arial" w:eastAsia="Arial" w:hAnsi="Arial"/>
          <w:b/>
          <w:bCs/>
          <w:color w:val="2E6DA4"/>
          <w:sz w:val="28"/>
          <w:szCs w:val="28"/>
        </w:rPr>
        <w:t xml:space="preserve">G) Risks &amp; Durability (with Leading Indicators)</w:t>
      </w:r>
    </w:p>
    <w:p>
      <w:pPr>
        <w:spacing w:before="200" w:after="80"/>
      </w:pPr>
      <w:r>
        <w:rPr>
          <w:rFonts w:ascii="Arial" w:cs="Arial" w:eastAsia="Arial" w:hAnsi="Arial"/>
          <w:b/>
          <w:bCs/>
          <w:color w:val="1B3A6B"/>
          <w:sz w:val="22"/>
          <w:szCs w:val="22"/>
        </w:rPr>
        <w:t xml:space="preserve">3 Product-Specific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160"/>
      </w:tblGrid>
      <w:tr>
        <w:trPr>
          <w:tblHeader/>
        </w:trPr>
        <w:tc>
          <w:tcPr>
            <w:tcW w:type="dxa" w:w="1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c>
          <w:tcPr>
            <w:tcW w:type="dxa" w:w="5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w:t>
            </w:r>
          </w:p>
        </w:tc>
        <w:tc>
          <w:tcPr>
            <w:tcW w:type="dxa" w:w="2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Severity</w:t>
            </w:r>
          </w:p>
        </w:tc>
      </w:tr>
      <w:tr>
        <w:tc>
          <w:tcPr>
            <w:tcW w:type="dxa" w:w="1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Cellular network evolution (3G/4G/5G transitions)</w:t>
            </w:r>
          </w:p>
        </w:tc>
        <w:tc>
          <w:tcPr>
            <w:tcW w:type="dxa" w:w="5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ORION Cellular endpoints are tied to specific cellular network generations; carrier 3G sunset required costly upgrade cycle; future 4G sunset will require next-generation endpoint replacement program</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 — manageable but recurring cost; BMI has navigated 3G successfully</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Competitor NaaS launch</w:t>
            </w:r>
          </w:p>
        </w:tc>
        <w:tc>
          <w:tcPr>
            <w:tcW w:type="dxa" w:w="5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If Itron or Xylem-Sensus launch a credible no-gateway cellular NaaS product with comparable reliability, BMI's primary differentiator narrows; competition would shift to price and BEACON software quality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 — the core bear case; watch Itron 'Outcomes' segment quarterly for NaaS announcements</w:t>
            </w:r>
          </w:p>
        </w:tc>
      </w:tr>
      <w:tr>
        <w:tc>
          <w:tcPr>
            <w:tcW w:type="dxa" w:w="1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BEACON AI commoditization</w:t>
            </w:r>
          </w:p>
        </w:tc>
        <w:tc>
          <w:tcPr>
            <w:tcW w:type="dxa" w:w="5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Generic LLM applications could replicate some BEACON analytics capabilities; AWS/Google could offer water analytics tools at lower cost; BMI must move faster with proprietary ML on its own data than competitors can with off-the-shelf AI</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MEDIUM-HIGH — 3-7 year risk; manageable if Cobalt ML development accelerates</w:t>
            </w:r>
          </w:p>
        </w:tc>
      </w:tr>
    </w:tbl>
    <w:p>
      <w:pPr>
        <w:spacing w:before="60" w:after="0"/>
      </w:pPr>
      <w:r>
        <w:t xml:space="preserve"/>
      </w:r>
    </w:p>
    <w:p>
      <w:pPr>
        <w:spacing w:before="200" w:after="80"/>
      </w:pPr>
      <w:r>
        <w:rPr>
          <w:rFonts w:ascii="Arial" w:cs="Arial" w:eastAsia="Arial" w:hAnsi="Arial"/>
          <w:b/>
          <w:bCs/>
          <w:color w:val="1B3A6B"/>
          <w:sz w:val="22"/>
          <w:szCs w:val="22"/>
        </w:rPr>
        <w:t xml:space="preserve">Commoditization Signs to Watch</w:t>
      </w:r>
    </w:p>
    <w:p>
      <w:pPr>
        <w:pStyle w:val="ListParagraph"/>
        <w:numPr>
          <w:ilvl w:val="0"/>
          <w:numId w:val="2"/>
        </w:numPr>
        <w:spacing w:before="40" w:after="40"/>
      </w:pPr>
      <w:r>
        <w:rPr>
          <w:rFonts w:ascii="Arial" w:cs="Arial" w:eastAsia="Arial" w:hAnsi="Arial"/>
          <w:b w:val="false"/>
          <w:bCs w:val="false"/>
          <w:color w:val="000000"/>
          <w:sz w:val="20"/>
          <w:szCs w:val="20"/>
        </w:rPr>
        <w:t xml:space="preserve">Price concessions in competitive bids: Any disclosure of pricing pressure or lower ASP trends in cellular AMI would signal competitive intensity increasing.</w:t>
      </w:r>
    </w:p>
    <w:p>
      <w:pPr>
        <w:pStyle w:val="ListParagraph"/>
        <w:numPr>
          <w:ilvl w:val="0"/>
          <w:numId w:val="2"/>
        </w:numPr>
        <w:spacing w:before="40" w:after="40"/>
      </w:pPr>
      <w:r>
        <w:rPr>
          <w:rFonts w:ascii="Arial" w:cs="Arial" w:eastAsia="Arial" w:hAnsi="Arial"/>
          <w:b w:val="false"/>
          <w:bCs w:val="false"/>
          <w:color w:val="000000"/>
          <w:sz w:val="20"/>
          <w:szCs w:val="20"/>
        </w:rPr>
        <w:t xml:space="preserve">Low-cost entrant from Asia: Chinese manufacturers (Wasion, Ningbo Water Meter) have expanded in European markets; potential US market entry with aggressive pricing.</w:t>
      </w:r>
    </w:p>
    <w:p>
      <w:pPr>
        <w:pStyle w:val="ListParagraph"/>
        <w:numPr>
          <w:ilvl w:val="0"/>
          <w:numId w:val="2"/>
        </w:numPr>
        <w:spacing w:before="40" w:after="40"/>
      </w:pPr>
      <w:r>
        <w:rPr>
          <w:rFonts w:ascii="Arial" w:cs="Arial" w:eastAsia="Arial" w:hAnsi="Arial"/>
          <w:b w:val="false"/>
          <w:bCs w:val="false"/>
          <w:color w:val="000000"/>
          <w:sz w:val="20"/>
          <w:szCs w:val="20"/>
        </w:rPr>
        <w:t xml:space="preserve">Platform rebundling: If a large industrial company (Siemens, Honeywell) decides to bundle water metering into a broader smart city or building management platform, BMI's standalone positioning could be threatened.</w:t>
      </w:r>
    </w:p>
    <w:p>
      <w:pPr>
        <w:spacing w:before="60" w:after="0"/>
      </w:pPr>
      <w:r>
        <w:t xml:space="preserve"/>
      </w:r>
    </w:p>
    <w:p>
      <w:pPr>
        <w:spacing w:before="200" w:after="80"/>
      </w:pPr>
      <w:r>
        <w:rPr>
          <w:rFonts w:ascii="Arial" w:cs="Arial" w:eastAsia="Arial" w:hAnsi="Arial"/>
          <w:b/>
          <w:bCs/>
          <w:color w:val="1B3A6B"/>
          <w:sz w:val="22"/>
          <w:szCs w:val="22"/>
        </w:rPr>
        <w:t xml:space="preserve">Leading Indicators — Product Health Dashboard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760"/>
      </w:tblGrid>
      <w:tr>
        <w:trPr>
          <w:tblHeader/>
        </w:trP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Indicator</w:t>
            </w:r>
          </w:p>
        </w:tc>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Healthy Signal</w:t>
            </w:r>
          </w:p>
        </w:tc>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Warning Signal</w:t>
            </w:r>
          </w:p>
        </w:tc>
        <w:tc>
          <w:tcPr>
            <w:tcW w:type="dxa" w:w="1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Frequency</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Software revenue YoY growth</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&gt;20%</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&lt;15% for 2+ quarters</w:t>
            </w:r>
          </w:p>
        </w:tc>
        <w:tc>
          <w:tcPr>
            <w:tcW w:type="dxa" w:w="1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Quarterly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Gross margin trend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39-42% band holding or expanding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Below 39% on sustained basis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Quarterly</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Utility water segment growth</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&gt;10%</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&lt;7% for 2+ quarters post-IIJA normalization</w:t>
            </w:r>
          </w:p>
        </w:tc>
        <w:tc>
          <w:tcPr>
            <w:tcW w:type="dxa" w:w="1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Quarterly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NRR / SaaS retention (if disclosed)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&gt;105%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&lt;100% (implied churn)</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When disclosed — request at investor day</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NaaS endpoints as % of new shipments</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Increasing to &gt;60%</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Plateauing or declining</w:t>
            </w:r>
          </w:p>
        </w:tc>
        <w:tc>
          <w:tcPr>
            <w:tcW w:type="dxa" w:w="1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Annual — watch investor day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SmartCover revenue run-rate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&gt;$50M by 2026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&lt;$35M by 2026</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Annual</w:t>
            </w:r>
          </w:p>
        </w:tc>
      </w:tr>
      <w:tr>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Competitor NaaS announcements</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None from Itron/Xylem</w:t>
            </w:r>
          </w:p>
        </w:tc>
        <w:tc>
          <w:tcPr>
            <w:tcW w:type="dxa" w:w="24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Itron or Sensus launches cellular NaaS pilot</w:t>
            </w:r>
          </w:p>
        </w:tc>
        <w:tc>
          <w:tcPr>
            <w:tcW w:type="dxa" w:w="1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Event-driven</w:t>
            </w:r>
          </w:p>
        </w:tc>
      </w:tr>
    </w:tbl>
    <w:p>
      <w:pPr>
        <w:spacing w:before="80" w:after="0"/>
      </w:pPr>
      <w:r>
        <w:t xml:space="preserve"/>
      </w:r>
    </w:p>
    <w:p>
      <w:pPr>
        <w:spacing w:before="200" w:after="80"/>
      </w:pPr>
      <w:r>
        <w:rPr>
          <w:rFonts w:ascii="Arial" w:cs="Arial" w:eastAsia="Arial" w:hAnsi="Arial"/>
          <w:b/>
          <w:bCs/>
          <w:color w:val="1B3A6B"/>
          <w:sz w:val="22"/>
          <w:szCs w:val="22"/>
        </w:rPr>
        <w:t xml:space="preserve">10-Year Compounding Engine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8"/>
              <w:left w:val="single" w:color="2E6DA4" w:sz="4"/>
              <w:bottom w:val="single" w:color="2E6DA4" w:sz="4"/>
              <w:right w:val="single" w:color="2E6DA4" w:sz="4"/>
            </w:tcBorders>
            <w:shd w:fill="EEF5FB" w:val="clear"/>
            <w:tcMar>
              <w:top w:type="dxa" w:w="120"/>
              <w:left w:type="dxa" w:w="180"/>
              <w:bottom w:type="dxa" w:w="120"/>
              <w:right w:type="dxa" w:w="180"/>
            </w:tcMar>
          </w:tcPr>
          <w:p>
            <w:r>
              <w:rPr>
                <w:rFonts w:ascii="Arial" w:cs="Arial" w:eastAsia="Arial" w:hAnsi="Arial"/>
                <w:b/>
                <w:bCs/>
                <w:color w:val="2E6DA4"/>
                <w:sz w:val="20"/>
                <w:szCs w:val="20"/>
              </w:rPr>
              <w:t xml:space="preserve">10-Year Durability:</w:t>
            </w:r>
          </w:p>
          <w:p>
            <w:r>
              <w:rPr>
                <w:rFonts w:ascii="Arial" w:cs="Arial" w:eastAsia="Arial" w:hAnsi="Arial"/>
                <w:color w:val="1A1A1A"/>
                <w:sz w:val="19"/>
                <w:szCs w:val="19"/>
              </w:rPr>
              <w:t xml:space="preserve">CAN ORION NaaS + BEACON SaaS BE A 10-YEAR COMPOUNDING ENGINE?
Yes — under these conditions: (1) AMI market penetration reaches 60-70% of US connections during 2025-2035, providing volume growth for the majority of the decade; (2) BEACON SaaS ARPU expands via AI/ML features, offsetting hardware-to-NaaS revenue mix effects; (3) SmartCover proves the platform-extension playbook, opening sewer monitoring as a second multi-decade growth runway; (4) BMI defends its cellular NaaS differentiation against competitive response from Itron/Xylem. The 120-year physical switching cost moat, the 33-year dividend compounding track record, and the $295M net cash balance sheet provide resilience for this thesis to play out even with intermittent setbacks. At the right entry price, this is among the most durable hardware-software compounders in US small-cap industrials.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52D2D"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  VERIFICATION REQUIRED</w:t>
            </w:r>
          </w:p>
          <w:p>
            <w:pPr>
              <w:spacing w:before="60"/>
              <w:jc w:val="center"/>
            </w:pPr>
            <w:r>
              <w:rPr>
                <w:rFonts w:ascii="Arial" w:cs="Arial" w:eastAsia="Arial" w:hAnsi="Arial"/>
                <w:i/>
                <w:iCs/>
                <w:color w:val="FFCCCC"/>
                <w:sz w:val="22"/>
                <w:szCs w:val="22"/>
              </w:rPr>
              <w:t xml:space="preserve">Run the Senior Fact-Checker Prompt against this document before distribution</w:t>
            </w:r>
          </w:p>
        </w:tc>
      </w:tr>
    </w:tbl>
    <w:p>
      <w:pPr>
        <w:spacing w:before="80" w:after="0"/>
      </w:pPr>
      <w:r>
        <w:t xml:space="preserve"/>
      </w:r>
    </w:p>
    <w:p>
      <w:pPr>
        <w:spacing w:before="60" w:after="60"/>
        <w:jc w:val="left"/>
      </w:pPr>
      <w:r>
        <w:rPr>
          <w:rFonts w:ascii="Arial" w:cs="Arial" w:eastAsia="Arial" w:hAnsi="Arial"/>
          <w:b w:val="false"/>
          <w:bCs w:val="false"/>
          <w:i/>
          <w:iCs/>
          <w:color w:val="5A6A7A"/>
          <w:sz w:val="17"/>
          <w:szCs w:val="17"/>
        </w:rPr>
        <w:t xml:space="preserve">All financial data is sourced from SEC filings (10-K FY2024, 10-Q Q3 2025) and official earnings releases. Items marked [Inference] represent analytical conclusions not directly stated in company filings. Items marked [Unknown] represent gaps where primary source disclosure is absent. Items marked [Disclosure] are directly sourced from company documents.</w:t>
      </w:r>
    </w:p>
    <w:p>
      <w:pPr>
        <w:spacing w:before="40" w:after="0"/>
      </w:pPr>
      <w:r>
        <w:t xml:space="preserve"/>
      </w:r>
    </w:p>
    <w:p>
      <w:pPr>
        <w:spacing w:before="60" w:after="60"/>
        <w:jc w:val="left"/>
      </w:pPr>
      <w:r>
        <w:rPr>
          <w:rFonts w:ascii="Arial" w:cs="Arial" w:eastAsia="Arial" w:hAnsi="Arial"/>
          <w:b w:val="false"/>
          <w:bCs w:val="false"/>
          <w:i/>
          <w:iCs/>
          <w:color w:val="5A6A7A"/>
          <w:sz w:val="17"/>
          <w:szCs w:val="17"/>
        </w:rPr>
        <w:t xml:space="preserve">Primary Sources: BMI 10-K FY2024 (filed Feb 2025) | Q4 2024 Earnings Release (Jan 28 2025) | Q3 2025 Earnings Release (Oct 21 2025) | January 2024 Investor Presentation | 2024 Annual Report (shareholder letter) | Business Wire press releases 2022-2025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6D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2026-03-06T02:53:46.251Z</dcterms:created>
  <dcterms:modified xsi:type="dcterms:W3CDTF">2026-03-06T02:53:46.256Z</dcterms:modified>
</cp:coreProperties>
</file>

<file path=docProps/custom.xml><?xml version="1.0" encoding="utf-8"?>
<Properties xmlns="http://schemas.openxmlformats.org/officeDocument/2006/custom-properties" xmlns:vt="http://schemas.openxmlformats.org/officeDocument/2006/docPropsVTypes"/>
</file>