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0A464" w14:textId="77777777" w:rsidR="00FF0954" w:rsidRDefault="00000000">
      <w:pPr>
        <w:spacing w:before="3000"/>
        <w:jc w:val="center"/>
      </w:pPr>
      <w:r>
        <w:rPr>
          <w:b/>
          <w:bCs/>
          <w:color w:val="1B3A5C"/>
          <w:sz w:val="44"/>
          <w:szCs w:val="44"/>
        </w:rPr>
        <w:t>CADENCE DESIGN SYSTEMS (CDNS)</w:t>
      </w:r>
    </w:p>
    <w:p w14:paraId="3FBF843E" w14:textId="77777777" w:rsidR="00FF0954" w:rsidRDefault="00000000">
      <w:pPr>
        <w:spacing w:before="200"/>
        <w:jc w:val="center"/>
      </w:pPr>
      <w:r>
        <w:rPr>
          <w:color w:val="2E75B6"/>
          <w:sz w:val="32"/>
          <w:szCs w:val="32"/>
        </w:rPr>
        <w:t>Data Infrastructure Moat Assessment</w:t>
      </w:r>
    </w:p>
    <w:p w14:paraId="3141184A" w14:textId="77777777" w:rsidR="00FF0954" w:rsidRDefault="00000000">
      <w:pPr>
        <w:spacing w:before="200"/>
        <w:jc w:val="center"/>
      </w:pPr>
      <w:r>
        <w:rPr>
          <w:color w:val="666666"/>
          <w:sz w:val="24"/>
          <w:szCs w:val="24"/>
        </w:rPr>
        <w:t>Stage 1: Moat Taxonomy Pre-Screen + Stage 2: Antifragility Assessment</w:t>
      </w:r>
    </w:p>
    <w:p w14:paraId="294D9997" w14:textId="77777777" w:rsidR="00FF0954" w:rsidRDefault="00000000">
      <w:pPr>
        <w:spacing w:before="600"/>
        <w:jc w:val="center"/>
      </w:pPr>
      <w:r>
        <w:rPr>
          <w:color w:val="888888"/>
          <w:sz w:val="22"/>
          <w:szCs w:val="22"/>
        </w:rPr>
        <w:t>Framework: Data Infrastructure Antifragility Framework v1.0</w:t>
      </w:r>
    </w:p>
    <w:p w14:paraId="2109ED01" w14:textId="77777777" w:rsidR="00FF0954" w:rsidRDefault="00000000">
      <w:pPr>
        <w:spacing w:before="100"/>
        <w:jc w:val="center"/>
      </w:pPr>
      <w:r>
        <w:rPr>
          <w:color w:val="888888"/>
          <w:sz w:val="22"/>
          <w:szCs w:val="22"/>
        </w:rPr>
        <w:t xml:space="preserve">Date: March 3, </w:t>
      </w:r>
      <w:proofErr w:type="gramStart"/>
      <w:r>
        <w:rPr>
          <w:color w:val="888888"/>
          <w:sz w:val="22"/>
          <w:szCs w:val="22"/>
        </w:rPr>
        <w:t>2026  |</w:t>
      </w:r>
      <w:proofErr w:type="gramEnd"/>
      <w:r>
        <w:rPr>
          <w:color w:val="888888"/>
          <w:sz w:val="22"/>
          <w:szCs w:val="22"/>
        </w:rPr>
        <w:t xml:space="preserve">  Price: ~$</w:t>
      </w:r>
      <w:proofErr w:type="gramStart"/>
      <w:r>
        <w:rPr>
          <w:color w:val="888888"/>
          <w:sz w:val="22"/>
          <w:szCs w:val="22"/>
        </w:rPr>
        <w:t>283  |</w:t>
      </w:r>
      <w:proofErr w:type="gramEnd"/>
      <w:r>
        <w:rPr>
          <w:color w:val="888888"/>
          <w:sz w:val="22"/>
          <w:szCs w:val="22"/>
        </w:rPr>
        <w:t xml:space="preserve">  Market Cap: ~$77B</w:t>
      </w:r>
    </w:p>
    <w:p w14:paraId="14D60D37" w14:textId="77777777" w:rsidR="00FF0954" w:rsidRDefault="00000000">
      <w:r>
        <w:br w:type="page"/>
      </w:r>
    </w:p>
    <w:p w14:paraId="72C5C640" w14:textId="77777777" w:rsidR="00FF0954" w:rsidRDefault="00000000">
      <w:pPr>
        <w:pStyle w:val="Heading1"/>
      </w:pPr>
      <w:r>
        <w:lastRenderedPageBreak/>
        <w:t>STAGE 1: DATA INFRASTRUCTURE MOAT TAXONOMY PRE-SCREEN</w:t>
      </w:r>
    </w:p>
    <w:p w14:paraId="28538C33" w14:textId="77777777" w:rsidR="00FF0954" w:rsidRDefault="00FF0954">
      <w:pPr>
        <w:pBdr>
          <w:bottom w:val="single" w:sz="6" w:space="1" w:color="2E75B6"/>
        </w:pBdr>
        <w:spacing w:before="200" w:after="200"/>
      </w:pPr>
    </w:p>
    <w:p w14:paraId="28363940" w14:textId="77777777" w:rsidR="00FF0954" w:rsidRDefault="00000000">
      <w:pPr>
        <w:pStyle w:val="Heading2"/>
      </w:pPr>
      <w:r>
        <w:t>Company Overview</w:t>
      </w:r>
    </w:p>
    <w:p w14:paraId="433F12FC" w14:textId="77777777" w:rsidR="00FF0954" w:rsidRDefault="00000000">
      <w:pPr>
        <w:spacing w:before="60" w:after="60"/>
      </w:pPr>
      <w:r>
        <w:rPr>
          <w:b/>
          <w:bCs/>
          <w:color w:val="1B3A5C"/>
        </w:rPr>
        <w:t xml:space="preserve">Company: </w:t>
      </w:r>
      <w:r>
        <w:rPr>
          <w:color w:val="333333"/>
        </w:rPr>
        <w:t>Cadence Design Systems, Inc.</w:t>
      </w:r>
    </w:p>
    <w:p w14:paraId="65C81301" w14:textId="77777777" w:rsidR="00FF0954" w:rsidRDefault="00000000">
      <w:pPr>
        <w:spacing w:before="60" w:after="60"/>
      </w:pPr>
      <w:r>
        <w:rPr>
          <w:b/>
          <w:bCs/>
          <w:color w:val="1B3A5C"/>
        </w:rPr>
        <w:t xml:space="preserve">Ticker: </w:t>
      </w:r>
      <w:r>
        <w:rPr>
          <w:color w:val="333333"/>
        </w:rPr>
        <w:t>CDNS (Nasdaq)</w:t>
      </w:r>
    </w:p>
    <w:p w14:paraId="478DF5D0" w14:textId="77777777" w:rsidR="00FF0954" w:rsidRDefault="00000000">
      <w:pPr>
        <w:spacing w:before="60" w:after="60"/>
      </w:pPr>
      <w:r>
        <w:rPr>
          <w:b/>
          <w:bCs/>
          <w:color w:val="1B3A5C"/>
        </w:rPr>
        <w:t xml:space="preserve">CEO: </w:t>
      </w:r>
      <w:r>
        <w:rPr>
          <w:color w:val="333333"/>
        </w:rPr>
        <w:t>Dr. Anirudh Devgan (President &amp; CEO)</w:t>
      </w:r>
    </w:p>
    <w:p w14:paraId="2C1C0E58" w14:textId="77777777" w:rsidR="00FF0954" w:rsidRDefault="00000000">
      <w:pPr>
        <w:spacing w:before="60" w:after="60"/>
      </w:pPr>
      <w:r>
        <w:rPr>
          <w:b/>
          <w:bCs/>
          <w:color w:val="1B3A5C"/>
        </w:rPr>
        <w:t xml:space="preserve">CFO: </w:t>
      </w:r>
      <w:r>
        <w:rPr>
          <w:color w:val="333333"/>
        </w:rPr>
        <w:t>John Wall (SVP &amp; CFO)</w:t>
      </w:r>
    </w:p>
    <w:p w14:paraId="4B5F2162" w14:textId="77777777" w:rsidR="00FF0954" w:rsidRDefault="00000000">
      <w:pPr>
        <w:spacing w:before="60" w:after="60"/>
      </w:pPr>
      <w:r>
        <w:rPr>
          <w:b/>
          <w:bCs/>
          <w:color w:val="1B3A5C"/>
        </w:rPr>
        <w:t xml:space="preserve">Employees: </w:t>
      </w:r>
      <w:r>
        <w:rPr>
          <w:color w:val="333333"/>
        </w:rPr>
        <w:t>~13,800</w:t>
      </w:r>
    </w:p>
    <w:p w14:paraId="1B907728" w14:textId="77777777" w:rsidR="00FF0954" w:rsidRDefault="00000000">
      <w:pPr>
        <w:spacing w:before="60" w:after="60"/>
      </w:pPr>
      <w:r>
        <w:rPr>
          <w:b/>
          <w:bCs/>
          <w:color w:val="1B3A5C"/>
        </w:rPr>
        <w:t xml:space="preserve">FY2025 Revenue: </w:t>
      </w:r>
      <w:r>
        <w:rPr>
          <w:color w:val="333333"/>
        </w:rPr>
        <w:t>$5,297M (+14% YoY)</w:t>
      </w:r>
    </w:p>
    <w:p w14:paraId="1038091C" w14:textId="77777777" w:rsidR="00FF0954" w:rsidRDefault="00000000">
      <w:pPr>
        <w:spacing w:before="60" w:after="60"/>
      </w:pPr>
      <w:r>
        <w:rPr>
          <w:b/>
          <w:bCs/>
          <w:color w:val="1B3A5C"/>
        </w:rPr>
        <w:t xml:space="preserve">FY2026 Guidance: </w:t>
      </w:r>
      <w:r>
        <w:rPr>
          <w:color w:val="333333"/>
        </w:rPr>
        <w:t>$5.9B–$6.0B (+11–13% organic) + ~$160M Hexagon D&amp;E incremental</w:t>
      </w:r>
    </w:p>
    <w:p w14:paraId="50C226E7" w14:textId="77777777" w:rsidR="00FF0954" w:rsidRDefault="00000000">
      <w:pPr>
        <w:spacing w:before="60" w:after="60"/>
      </w:pPr>
      <w:r>
        <w:rPr>
          <w:b/>
          <w:bCs/>
          <w:color w:val="1B3A5C"/>
        </w:rPr>
        <w:t xml:space="preserve">Backlog: </w:t>
      </w:r>
      <w:r>
        <w:rPr>
          <w:color w:val="333333"/>
        </w:rPr>
        <w:t>$7.8B record (67% of 2026 revenue covered)</w:t>
      </w:r>
    </w:p>
    <w:p w14:paraId="435B3A71" w14:textId="77777777" w:rsidR="00FF0954" w:rsidRDefault="00000000">
      <w:pPr>
        <w:spacing w:before="60" w:after="60"/>
      </w:pPr>
      <w:r>
        <w:rPr>
          <w:b/>
          <w:bCs/>
          <w:color w:val="1B3A5C"/>
        </w:rPr>
        <w:t xml:space="preserve">Non-GAAP Operating Margin: </w:t>
      </w:r>
      <w:r>
        <w:rPr>
          <w:color w:val="333333"/>
        </w:rPr>
        <w:t>44.6% FY2025; guided 44.75–45.75% FY2026</w:t>
      </w:r>
    </w:p>
    <w:p w14:paraId="1DDDE8AE" w14:textId="77777777" w:rsidR="00FF0954" w:rsidRDefault="00000000">
      <w:pPr>
        <w:spacing w:before="60" w:after="60"/>
      </w:pPr>
      <w:r>
        <w:rPr>
          <w:b/>
          <w:bCs/>
          <w:color w:val="1B3A5C"/>
        </w:rPr>
        <w:t xml:space="preserve">Non-GAAP EPS: </w:t>
      </w:r>
      <w:r>
        <w:rPr>
          <w:color w:val="333333"/>
        </w:rPr>
        <w:t>$7.14 FY2025; guided $8.05–$8.15 FY2026</w:t>
      </w:r>
    </w:p>
    <w:p w14:paraId="653416B4" w14:textId="77777777" w:rsidR="00FF0954" w:rsidRDefault="00000000">
      <w:pPr>
        <w:spacing w:before="200" w:after="120"/>
      </w:pPr>
      <w:r>
        <w:rPr>
          <w:b/>
          <w:bCs/>
          <w:color w:val="1B3A5C"/>
          <w:sz w:val="22"/>
          <w:szCs w:val="22"/>
        </w:rPr>
        <w:t>Core Products &amp; Segments</w:t>
      </w:r>
    </w:p>
    <w:p w14:paraId="1A57D9C6" w14:textId="77777777" w:rsidR="00FF0954" w:rsidRDefault="00000000">
      <w:pPr>
        <w:spacing w:before="60" w:after="60"/>
      </w:pPr>
      <w:r>
        <w:rPr>
          <w:color w:val="333333"/>
        </w:rPr>
        <w:t>Cadence is a global leader in electronic design automation (EDA) software, semiconductor IP, and system design &amp; analysis (SDA). Revenue breakdown (FY2025): Core EDA 70%, Semiconductor IP 14%, System Design &amp; Analysis 16%. Recurring revenue ~80%. Geographic mix: US 44%, China 13%, Other Asia 19%, EMEA 15%, Japan 6%.</w:t>
      </w:r>
    </w:p>
    <w:p w14:paraId="374A475D" w14:textId="77777777" w:rsidR="00FF0954" w:rsidRDefault="00000000">
      <w:pPr>
        <w:spacing w:before="200" w:after="120"/>
      </w:pPr>
      <w:r>
        <w:rPr>
          <w:b/>
          <w:bCs/>
          <w:color w:val="1B3A5C"/>
          <w:sz w:val="22"/>
          <w:szCs w:val="22"/>
        </w:rPr>
        <w:t>Revenue Model</w:t>
      </w:r>
    </w:p>
    <w:p w14:paraId="37A08ABC" w14:textId="77777777" w:rsidR="00FF0954" w:rsidRDefault="00000000">
      <w:pPr>
        <w:spacing w:before="60" w:after="60"/>
      </w:pPr>
      <w:r>
        <w:rPr>
          <w:color w:val="333333"/>
        </w:rPr>
        <w:t>Primarily time-based software subscriptions (multi-year contracts), plus hardware emulation/prototyping systems (Palladium Z3, Protium X3), IP licensing, and professional services. Subscription/maintenance model drives ~80% recurring revenue with high visibility. Hardware is upfront but increasingly driven by AI/</w:t>
      </w:r>
      <w:proofErr w:type="spellStart"/>
      <w:r>
        <w:rPr>
          <w:color w:val="333333"/>
        </w:rPr>
        <w:t>hyperscaler</w:t>
      </w:r>
      <w:proofErr w:type="spellEnd"/>
      <w:r>
        <w:rPr>
          <w:color w:val="333333"/>
        </w:rPr>
        <w:t xml:space="preserve"> demand.</w:t>
      </w:r>
    </w:p>
    <w:p w14:paraId="24F720DF" w14:textId="77777777" w:rsidR="00FF0954" w:rsidRDefault="00000000">
      <w:pPr>
        <w:spacing w:before="200" w:after="120"/>
      </w:pPr>
      <w:r>
        <w:rPr>
          <w:b/>
          <w:bCs/>
          <w:color w:val="1B3A5C"/>
          <w:sz w:val="22"/>
          <w:szCs w:val="22"/>
        </w:rPr>
        <w:t>Primary Customers</w:t>
      </w:r>
    </w:p>
    <w:p w14:paraId="37B4C4EF" w14:textId="77777777" w:rsidR="00FF0954" w:rsidRDefault="00000000">
      <w:pPr>
        <w:spacing w:before="60" w:after="60"/>
      </w:pPr>
      <w:r>
        <w:rPr>
          <w:color w:val="333333"/>
        </w:rPr>
        <w:t xml:space="preserve">Every major semiconductor company globally: TSMC, Intel Foundry, Samsung Foundry, Broadcom, NVIDIA, AMD, Qualcomm, Apple, plus </w:t>
      </w:r>
      <w:proofErr w:type="spellStart"/>
      <w:r>
        <w:rPr>
          <w:color w:val="333333"/>
        </w:rPr>
        <w:t>hyperscalers</w:t>
      </w:r>
      <w:proofErr w:type="spellEnd"/>
      <w:r>
        <w:rPr>
          <w:color w:val="333333"/>
        </w:rPr>
        <w:t xml:space="preserve"> (Google, Amazon, Microsoft, Meta) designing custom AI silicon. </w:t>
      </w:r>
      <w:proofErr w:type="gramStart"/>
      <w:r>
        <w:rPr>
          <w:color w:val="333333"/>
        </w:rPr>
        <w:t>Also</w:t>
      </w:r>
      <w:proofErr w:type="gramEnd"/>
      <w:r>
        <w:rPr>
          <w:color w:val="333333"/>
        </w:rPr>
        <w:t xml:space="preserve"> automotive (Tesla, BMW), aerospace/defense, and systems companies. Customers cannot design advanced chips without EDA tools from either Cadence or Synopsys.</w:t>
      </w:r>
    </w:p>
    <w:p w14:paraId="2CF3C7F6" w14:textId="77777777" w:rsidR="00FF0954" w:rsidRDefault="00000000">
      <w:pPr>
        <w:spacing w:before="200" w:after="120"/>
      </w:pPr>
      <w:r>
        <w:rPr>
          <w:b/>
          <w:bCs/>
          <w:color w:val="1B3A5C"/>
          <w:sz w:val="22"/>
          <w:szCs w:val="22"/>
        </w:rPr>
        <w:t>Recent Material Events</w:t>
      </w:r>
    </w:p>
    <w:p w14:paraId="1F4AF89E" w14:textId="77777777" w:rsidR="00FF0954" w:rsidRDefault="00000000">
      <w:pPr>
        <w:spacing w:before="60" w:after="60"/>
      </w:pPr>
      <w:r>
        <w:rPr>
          <w:color w:val="333333"/>
        </w:rPr>
        <w:t>DOJ/BIS Export Control Settlement (July 2025): $140.6M aggregate penalties for 2015–2021 export violations to Chinese military-linked entities (NUDT). Guilty plea to conspiracy. Three-year probation with enhanced compliance obligations.</w:t>
      </w:r>
    </w:p>
    <w:p w14:paraId="1A308D7B" w14:textId="77777777" w:rsidR="00FF0954" w:rsidRDefault="00000000">
      <w:pPr>
        <w:spacing w:before="60" w:after="60"/>
      </w:pPr>
      <w:r>
        <w:rPr>
          <w:color w:val="333333"/>
        </w:rPr>
        <w:t>Hexagon D&amp;E Acquisition (completed Feb 23, 2026): ~€2.7B for MSC Software (Nastran, Adams). Adds structural analysis, multibody dynamics. Expected $160M incremental 2026 revenue, ~$0.28 EPS dilutive in 2026, accretive 2027.</w:t>
      </w:r>
    </w:p>
    <w:p w14:paraId="53B0777B" w14:textId="77777777" w:rsidR="00FF0954" w:rsidRDefault="00000000">
      <w:pPr>
        <w:spacing w:before="60" w:after="60"/>
      </w:pPr>
      <w:r>
        <w:rPr>
          <w:color w:val="333333"/>
        </w:rPr>
        <w:t xml:space="preserve">ChipStack AI </w:t>
      </w:r>
      <w:proofErr w:type="spellStart"/>
      <w:r>
        <w:rPr>
          <w:color w:val="333333"/>
        </w:rPr>
        <w:t>Super Agent</w:t>
      </w:r>
      <w:proofErr w:type="spellEnd"/>
      <w:r>
        <w:rPr>
          <w:color w:val="333333"/>
        </w:rPr>
        <w:t xml:space="preserve"> (launched Feb 2026): Agentic AI for front-end chip design and verification. Up to 10x productivity improvements reported. Acquired ChipStack startup Nov 2025.</w:t>
      </w:r>
    </w:p>
    <w:p w14:paraId="33E494AF" w14:textId="77777777" w:rsidR="00FF0954" w:rsidRDefault="00000000">
      <w:pPr>
        <w:spacing w:before="60" w:after="60"/>
      </w:pPr>
      <w:r>
        <w:rPr>
          <w:color w:val="333333"/>
        </w:rPr>
        <w:t>China Export Controls: BIS temporarily imposed EDA export restrictions May 23, 2025; rescinded July 2, 2025. China ~13% of 2025 revenue, guided 12–13% for 2026.</w:t>
      </w:r>
    </w:p>
    <w:p w14:paraId="6328BFBC" w14:textId="77777777" w:rsidR="00FF0954" w:rsidRDefault="00000000">
      <w:r>
        <w:br w:type="page"/>
      </w:r>
    </w:p>
    <w:p w14:paraId="2D50780C" w14:textId="77777777" w:rsidR="00FF0954" w:rsidRDefault="00000000">
      <w:pPr>
        <w:pStyle w:val="Heading2"/>
      </w:pPr>
      <w:r>
        <w:lastRenderedPageBreak/>
        <w:t>SECTION 1: THE 5-MOAT TAXONOMY ASSESSMENT</w:t>
      </w:r>
    </w:p>
    <w:p w14:paraId="031A3BA8" w14:textId="77777777" w:rsidR="00FF0954" w:rsidRDefault="00000000">
      <w:pPr>
        <w:spacing w:before="200" w:after="120"/>
      </w:pPr>
      <w:r>
        <w:rPr>
          <w:b/>
          <w:bCs/>
          <w:color w:val="1B3A5C"/>
          <w:sz w:val="22"/>
          <w:szCs w:val="22"/>
        </w:rPr>
        <w:t>Moat Type 1: Regulatory Designation</w:t>
      </w:r>
    </w:p>
    <w:p w14:paraId="206F4099" w14:textId="77777777" w:rsidR="00FF0954" w:rsidRDefault="00000000">
      <w:pPr>
        <w:spacing w:before="60" w:after="60"/>
      </w:pPr>
      <w:r>
        <w:rPr>
          <w:color w:val="333333"/>
        </w:rPr>
        <w:t xml:space="preserve">Assessment: Cadence holds NO formal regulatory designation. No statute or regulation names Cadence EDA tools as a required input. There is no NRSRO-equivalent designation, no government mandate requiring specific EDA software, and no closed-market regulatory barrier to entry </w:t>
      </w:r>
      <w:proofErr w:type="gramStart"/>
      <w:r>
        <w:rPr>
          <w:color w:val="333333"/>
        </w:rPr>
        <w:t>in</w:t>
      </w:r>
      <w:proofErr w:type="gramEnd"/>
      <w:r>
        <w:rPr>
          <w:color w:val="333333"/>
        </w:rPr>
        <w:t xml:space="preserve"> EDA.</w:t>
      </w:r>
    </w:p>
    <w:p w14:paraId="670DF9A2" w14:textId="77777777" w:rsidR="00FF0954" w:rsidRDefault="00000000">
      <w:pPr>
        <w:spacing w:before="60" w:after="60"/>
      </w:pPr>
      <w:r>
        <w:rPr>
          <w:color w:val="333333"/>
        </w:rPr>
        <w:t xml:space="preserve">However, EDA tools occupy a unique quasi-regulatory position. US export controls (EAR) classify advanced EDA software as controlled technology, making it a strategic chokepoint. BIS has used ‘is informed’ letters to restrict EDA exports, and the EDA duopoly’s tools are effectively the only pathway to design chips at advanced nodes (3nm, 2nm). Leading foundries (TSMC, Samsung, Intel) certify designs only against Cadence and Synopsys </w:t>
      </w:r>
      <w:proofErr w:type="gramStart"/>
      <w:r>
        <w:rPr>
          <w:color w:val="333333"/>
        </w:rPr>
        <w:t>tool flows —</w:t>
      </w:r>
      <w:proofErr w:type="gramEnd"/>
      <w:r>
        <w:rPr>
          <w:color w:val="333333"/>
        </w:rPr>
        <w:t xml:space="preserve"> creating a de facto standard without legal mandate.</w:t>
      </w:r>
    </w:p>
    <w:p w14:paraId="1E2EBAB5" w14:textId="77777777" w:rsidR="00FF0954" w:rsidRDefault="00000000">
      <w:pPr>
        <w:spacing w:before="60" w:after="60"/>
      </w:pPr>
      <w:r>
        <w:rPr>
          <w:color w:val="333333"/>
        </w:rPr>
        <w:t>Foundry certification is not regulatory designation, but it functions similarly: customers cannot tape out chips at leading-edge nodes without using Cadence/Synopsys-certified flows. This is Level 1 on the regulatory spectrum (industry standard, no legal force) with elements approaching Level 2 (contractual/process embedding).</w:t>
      </w:r>
    </w:p>
    <w:p w14:paraId="01BD7917" w14:textId="77777777" w:rsidR="00FF0954" w:rsidRDefault="00000000">
      <w:pPr>
        <w:spacing w:before="60" w:after="60"/>
      </w:pPr>
      <w:r>
        <w:rPr>
          <w:b/>
          <w:bCs/>
          <w:color w:val="1B3A5C"/>
        </w:rPr>
        <w:t xml:space="preserve">Regulatory Designation Level: </w:t>
      </w:r>
      <w:r>
        <w:rPr>
          <w:color w:val="333333"/>
        </w:rPr>
        <w:t>1 (Industry Standard, approaching Level 2)</w:t>
      </w:r>
    </w:p>
    <w:p w14:paraId="5CDB17D5" w14:textId="77777777" w:rsidR="00FF0954" w:rsidRDefault="00000000">
      <w:pPr>
        <w:spacing w:before="60" w:after="60"/>
      </w:pPr>
      <w:r>
        <w:rPr>
          <w:b/>
          <w:bCs/>
          <w:color w:val="1B3A5C"/>
        </w:rPr>
        <w:t xml:space="preserve">Jurisdictional breadth: </w:t>
      </w:r>
      <w:r>
        <w:rPr>
          <w:color w:val="333333"/>
        </w:rPr>
        <w:t>Global — every advanced foundry worldwide certifies against CDNS/SNPS</w:t>
      </w:r>
    </w:p>
    <w:p w14:paraId="5C2E343A" w14:textId="77777777" w:rsidR="00FF0954" w:rsidRDefault="00000000">
      <w:pPr>
        <w:spacing w:before="60" w:after="60"/>
      </w:pPr>
      <w:r>
        <w:rPr>
          <w:b/>
          <w:bCs/>
          <w:color w:val="1B3A5C"/>
        </w:rPr>
        <w:t xml:space="preserve">Disruption path: </w:t>
      </w:r>
      <w:r>
        <w:rPr>
          <w:color w:val="333333"/>
        </w:rPr>
        <w:t xml:space="preserve">A credible open-source EDA achieving foundry certification at 3nm+ nodes. Currently no viable path — </w:t>
      </w:r>
      <w:proofErr w:type="spellStart"/>
      <w:r>
        <w:rPr>
          <w:color w:val="333333"/>
        </w:rPr>
        <w:t>OpenROAD</w:t>
      </w:r>
      <w:proofErr w:type="spellEnd"/>
      <w:r>
        <w:rPr>
          <w:color w:val="333333"/>
        </w:rPr>
        <w:t xml:space="preserve"> lags significantly, </w:t>
      </w:r>
      <w:proofErr w:type="spellStart"/>
      <w:r>
        <w:rPr>
          <w:color w:val="333333"/>
        </w:rPr>
        <w:t>Efabless</w:t>
      </w:r>
      <w:proofErr w:type="spellEnd"/>
      <w:r>
        <w:rPr>
          <w:color w:val="333333"/>
        </w:rPr>
        <w:t xml:space="preserve"> shut down March 2025 due to funding challenges.</w:t>
      </w:r>
    </w:p>
    <w:p w14:paraId="73966A7C" w14:textId="77777777" w:rsidR="00FF0954" w:rsidRDefault="00000000">
      <w:pPr>
        <w:spacing w:before="60" w:after="60"/>
      </w:pPr>
      <w:r>
        <w:rPr>
          <w:b/>
          <w:bCs/>
          <w:color w:val="1B3A5C"/>
        </w:rPr>
        <w:t xml:space="preserve">Time to disrupt: </w:t>
      </w:r>
      <w:r>
        <w:rPr>
          <w:color w:val="333333"/>
        </w:rPr>
        <w:t>10–15+ years minimum given R&amp;D requirements, foundry certification complexity, and accumulated design rule libraries.</w:t>
      </w:r>
    </w:p>
    <w:p w14:paraId="6C8019F2" w14:textId="77777777" w:rsidR="00FF0954" w:rsidRDefault="00000000">
      <w:pPr>
        <w:spacing w:before="200" w:after="120"/>
      </w:pPr>
      <w:r>
        <w:rPr>
          <w:b/>
          <w:bCs/>
          <w:color w:val="1B3A5C"/>
          <w:sz w:val="22"/>
          <w:szCs w:val="22"/>
        </w:rPr>
        <w:t>Moat Type 2: Benchmark Pricing Authority</w:t>
      </w:r>
    </w:p>
    <w:p w14:paraId="09703F58" w14:textId="77777777" w:rsidR="00FF0954" w:rsidRDefault="00000000">
      <w:pPr>
        <w:spacing w:before="60" w:after="60"/>
      </w:pPr>
      <w:r>
        <w:rPr>
          <w:b/>
          <w:bCs/>
          <w:color w:val="1B3A5C"/>
        </w:rPr>
        <w:t xml:space="preserve">Has Benchmark Authority: </w:t>
      </w:r>
      <w:r>
        <w:rPr>
          <w:color w:val="333333"/>
        </w:rPr>
        <w:t>No</w:t>
      </w:r>
    </w:p>
    <w:p w14:paraId="323AD222" w14:textId="77777777" w:rsidR="00FF0954" w:rsidRDefault="00000000">
      <w:pPr>
        <w:spacing w:before="60" w:after="60"/>
      </w:pPr>
      <w:r>
        <w:rPr>
          <w:color w:val="333333"/>
        </w:rPr>
        <w:t>Cadence does not produce benchmark prices, rates, or index values. EDA software is a product/service business, not a pricing authority business. Not applicable.</w:t>
      </w:r>
    </w:p>
    <w:p w14:paraId="159C40EA" w14:textId="77777777" w:rsidR="00FF0954" w:rsidRDefault="00000000">
      <w:pPr>
        <w:spacing w:before="200" w:after="120"/>
      </w:pPr>
      <w:r>
        <w:rPr>
          <w:b/>
          <w:bCs/>
          <w:color w:val="1B3A5C"/>
          <w:sz w:val="22"/>
          <w:szCs w:val="22"/>
        </w:rPr>
        <w:t>Moat Type 3: Contributed Data Network</w:t>
      </w:r>
    </w:p>
    <w:p w14:paraId="26730D54" w14:textId="77777777" w:rsidR="00FF0954" w:rsidRDefault="00000000">
      <w:pPr>
        <w:spacing w:before="60" w:after="60"/>
      </w:pPr>
      <w:r>
        <w:rPr>
          <w:color w:val="333333"/>
        </w:rPr>
        <w:t>Assessment: Cadence possesses a STRONG contributed data network through a mechanism unique to EDA — foundry process design kits (PDKs) and design rule libraries built jointly with foundry partners.</w:t>
      </w:r>
    </w:p>
    <w:p w14:paraId="26D30B76" w14:textId="77777777" w:rsidR="00FF0954" w:rsidRDefault="00000000">
      <w:pPr>
        <w:spacing w:before="60" w:after="60"/>
      </w:pPr>
      <w:r>
        <w:rPr>
          <w:color w:val="333333"/>
        </w:rPr>
        <w:t>Cadence’s tools are co-developed with TSMC, Intel Foundry, Samsung Foundry, and others through multi-year joint development agreements. Each new process node (5nm, 3nm, 2nm, GAA) requires Cadence to receive foundry-confidential manufacturing data to calibrate its simulation, verification, and physical design tools. This data is contributed by foundries under NDA and cannot be shared with competitors or replicated externally.</w:t>
      </w:r>
    </w:p>
    <w:p w14:paraId="096B6D56" w14:textId="77777777" w:rsidR="00FF0954" w:rsidRDefault="00000000">
      <w:pPr>
        <w:spacing w:before="60" w:after="60"/>
      </w:pPr>
      <w:r>
        <w:rPr>
          <w:color w:val="333333"/>
        </w:rPr>
        <w:t>Additionally, decades of customer design data trains Cadence’s AI tools (</w:t>
      </w:r>
      <w:proofErr w:type="spellStart"/>
      <w:r>
        <w:rPr>
          <w:color w:val="333333"/>
        </w:rPr>
        <w:t>Cerebrus</w:t>
      </w:r>
      <w:proofErr w:type="spellEnd"/>
      <w:r>
        <w:rPr>
          <w:color w:val="333333"/>
        </w:rPr>
        <w:t xml:space="preserve">, </w:t>
      </w:r>
      <w:proofErr w:type="spellStart"/>
      <w:r>
        <w:rPr>
          <w:color w:val="333333"/>
        </w:rPr>
        <w:t>JedAI</w:t>
      </w:r>
      <w:proofErr w:type="spellEnd"/>
      <w:r>
        <w:rPr>
          <w:color w:val="333333"/>
        </w:rPr>
        <w:t xml:space="preserve"> platform, ChipStack). Bank of America noted that ‘chip design data collected over prior years allows faster acceleration of CDNS’s AI-enabled tools vs. merchant AI models.’ This proprietary training data represents a contributed data network where customer usage generates design optimization data that feeds back into tool improvement.</w:t>
      </w:r>
    </w:p>
    <w:p w14:paraId="794E29F2" w14:textId="77777777" w:rsidR="00FF0954" w:rsidRDefault="00000000">
      <w:pPr>
        <w:spacing w:before="60" w:after="60"/>
      </w:pPr>
      <w:r>
        <w:rPr>
          <w:color w:val="333333"/>
        </w:rPr>
        <w:t>No AI startup can access foundry PDKs without multi-year foundry relationships. No startup can replicate decades of customer design flow data. The contributed data is structurally non-replicable.</w:t>
      </w:r>
    </w:p>
    <w:p w14:paraId="46AC2179" w14:textId="77777777" w:rsidR="00FF0954" w:rsidRDefault="00000000">
      <w:pPr>
        <w:spacing w:before="60" w:after="60"/>
      </w:pPr>
      <w:r>
        <w:rPr>
          <w:b/>
          <w:bCs/>
          <w:color w:val="1B3A5C"/>
        </w:rPr>
        <w:t xml:space="preserve">Contributed Data Score: </w:t>
      </w:r>
      <w:r>
        <w:rPr>
          <w:color w:val="333333"/>
        </w:rPr>
        <w:t xml:space="preserve">2/3 (Strong but not </w:t>
      </w:r>
      <w:proofErr w:type="gramStart"/>
      <w:r>
        <w:rPr>
          <w:color w:val="333333"/>
        </w:rPr>
        <w:t>regulatory-grade</w:t>
      </w:r>
      <w:proofErr w:type="gramEnd"/>
      <w:r>
        <w:rPr>
          <w:color w:val="333333"/>
        </w:rPr>
        <w:t>)</w:t>
      </w:r>
    </w:p>
    <w:p w14:paraId="548D02D6" w14:textId="77777777" w:rsidR="00FF0954" w:rsidRDefault="00000000">
      <w:pPr>
        <w:spacing w:before="60" w:after="60"/>
      </w:pPr>
      <w:r>
        <w:rPr>
          <w:b/>
          <w:bCs/>
          <w:color w:val="1B3A5C"/>
        </w:rPr>
        <w:t xml:space="preserve">Data sources: </w:t>
      </w:r>
      <w:r>
        <w:rPr>
          <w:color w:val="333333"/>
        </w:rPr>
        <w:t xml:space="preserve">TSMC, Intel, Samsung foundry PDKs + accumulated customer design data across thousands of </w:t>
      </w:r>
      <w:proofErr w:type="spellStart"/>
      <w:r>
        <w:rPr>
          <w:color w:val="333333"/>
        </w:rPr>
        <w:t>tapeouts</w:t>
      </w:r>
      <w:proofErr w:type="spellEnd"/>
    </w:p>
    <w:p w14:paraId="40B2AA74" w14:textId="77777777" w:rsidR="00FF0954" w:rsidRDefault="00000000">
      <w:pPr>
        <w:spacing w:before="60" w:after="60"/>
      </w:pPr>
      <w:r>
        <w:rPr>
          <w:b/>
          <w:bCs/>
          <w:color w:val="1B3A5C"/>
        </w:rPr>
        <w:t xml:space="preserve">Historical depth: </w:t>
      </w:r>
      <w:r>
        <w:rPr>
          <w:color w:val="333333"/>
        </w:rPr>
        <w:t>35+ years of continuous EDA design data; foundry PDK relationships spanning decades</w:t>
      </w:r>
    </w:p>
    <w:p w14:paraId="2141EE66" w14:textId="77777777" w:rsidR="00FF0954" w:rsidRDefault="00000000">
      <w:pPr>
        <w:spacing w:before="60" w:after="60"/>
      </w:pPr>
      <w:r>
        <w:rPr>
          <w:b/>
          <w:bCs/>
          <w:color w:val="1B3A5C"/>
        </w:rPr>
        <w:t xml:space="preserve">Replicability: </w:t>
      </w:r>
      <w:r>
        <w:rPr>
          <w:color w:val="333333"/>
        </w:rPr>
        <w:t xml:space="preserve">A well-funded startup cannot replicate foundry PDK access or 35 years of design optimization data. </w:t>
      </w:r>
      <w:proofErr w:type="gramStart"/>
      <w:r>
        <w:rPr>
          <w:color w:val="333333"/>
        </w:rPr>
        <w:t>Would</w:t>
      </w:r>
      <w:proofErr w:type="gramEnd"/>
      <w:r>
        <w:rPr>
          <w:color w:val="333333"/>
        </w:rPr>
        <w:t xml:space="preserve"> require foundry partnerships that take years to establish.</w:t>
      </w:r>
    </w:p>
    <w:p w14:paraId="796372C1" w14:textId="77777777" w:rsidR="00FF0954" w:rsidRDefault="00000000">
      <w:pPr>
        <w:spacing w:before="200" w:after="120"/>
      </w:pPr>
      <w:r>
        <w:rPr>
          <w:b/>
          <w:bCs/>
          <w:color w:val="1B3A5C"/>
          <w:sz w:val="22"/>
          <w:szCs w:val="22"/>
        </w:rPr>
        <w:lastRenderedPageBreak/>
        <w:t>Moat Type 4: Passive Capital Gravity</w:t>
      </w:r>
    </w:p>
    <w:p w14:paraId="77363CB0" w14:textId="77777777" w:rsidR="00FF0954" w:rsidRDefault="00000000">
      <w:pPr>
        <w:spacing w:before="60" w:after="60"/>
      </w:pPr>
      <w:r>
        <w:rPr>
          <w:b/>
          <w:bCs/>
          <w:color w:val="1B3A5C"/>
        </w:rPr>
        <w:t xml:space="preserve">Has Passive Capital Gravity: </w:t>
      </w:r>
      <w:r>
        <w:rPr>
          <w:color w:val="333333"/>
        </w:rPr>
        <w:t>No</w:t>
      </w:r>
    </w:p>
    <w:p w14:paraId="76C31F66" w14:textId="77777777" w:rsidR="00FF0954" w:rsidRDefault="00000000">
      <w:pPr>
        <w:spacing w:before="60" w:after="60"/>
      </w:pPr>
      <w:r>
        <w:rPr>
          <w:color w:val="333333"/>
        </w:rPr>
        <w:t>Cadence does not license indices. It is a product company, not an index/benchmark provider. Not applicable.</w:t>
      </w:r>
    </w:p>
    <w:p w14:paraId="369888D0" w14:textId="77777777" w:rsidR="00FF0954" w:rsidRDefault="00000000">
      <w:pPr>
        <w:spacing w:before="200" w:after="120"/>
      </w:pPr>
      <w:r>
        <w:rPr>
          <w:b/>
          <w:bCs/>
          <w:color w:val="1B3A5C"/>
          <w:sz w:val="22"/>
          <w:szCs w:val="22"/>
        </w:rPr>
        <w:t>Moat Type 5: Historical Depth</w:t>
      </w:r>
    </w:p>
    <w:p w14:paraId="14C557AD" w14:textId="77777777" w:rsidR="00FF0954" w:rsidRDefault="00000000">
      <w:pPr>
        <w:spacing w:before="60" w:after="60"/>
      </w:pPr>
      <w:r>
        <w:rPr>
          <w:color w:val="333333"/>
        </w:rPr>
        <w:t>Assessment: Cadence has MODERATE historical depth through its accumulated design rule libraries, process-calibrated models, and verification IP built over 35+ years. Each new process node adds complexity; tools must be calibrated against real silicon from prior nodes. However, historical depth is not the primary moat driver — it reinforces switching costs rather than creating standalone pricing power.</w:t>
      </w:r>
    </w:p>
    <w:p w14:paraId="71C13F97" w14:textId="77777777" w:rsidR="00FF0954" w:rsidRDefault="00000000">
      <w:pPr>
        <w:spacing w:before="60" w:after="60"/>
      </w:pPr>
      <w:r>
        <w:rPr>
          <w:b/>
          <w:bCs/>
          <w:color w:val="1B3A5C"/>
        </w:rPr>
        <w:t xml:space="preserve">Historical Depth Score: </w:t>
      </w:r>
      <w:r>
        <w:rPr>
          <w:color w:val="333333"/>
        </w:rPr>
        <w:t>2/3 (Moderate-Strong)</w:t>
      </w:r>
    </w:p>
    <w:p w14:paraId="1DB18974" w14:textId="77777777" w:rsidR="00FF0954" w:rsidRDefault="00000000">
      <w:pPr>
        <w:spacing w:before="60" w:after="60"/>
      </w:pPr>
      <w:r>
        <w:rPr>
          <w:b/>
          <w:bCs/>
          <w:color w:val="1B3A5C"/>
        </w:rPr>
        <w:t xml:space="preserve">Time series depth: </w:t>
      </w:r>
      <w:r>
        <w:rPr>
          <w:color w:val="333333"/>
        </w:rPr>
        <w:t>35+ years of continuous EDA development, foundry calibration data, and design libraries</w:t>
      </w:r>
    </w:p>
    <w:p w14:paraId="3EF2FBE3" w14:textId="77777777" w:rsidR="00FF0954" w:rsidRDefault="00000000">
      <w:pPr>
        <w:spacing w:before="60" w:after="60"/>
      </w:pPr>
      <w:r>
        <w:rPr>
          <w:b/>
          <w:bCs/>
          <w:color w:val="1B3A5C"/>
        </w:rPr>
        <w:t xml:space="preserve">Methodology consistency: </w:t>
      </w:r>
      <w:r>
        <w:rPr>
          <w:color w:val="333333"/>
        </w:rPr>
        <w:t>Consistent within tool families; evolutionary across major platform transitions</w:t>
      </w:r>
    </w:p>
    <w:p w14:paraId="0AB5F7A7" w14:textId="77777777" w:rsidR="00FF0954" w:rsidRDefault="00000000">
      <w:pPr>
        <w:spacing w:before="60" w:after="60"/>
      </w:pPr>
      <w:r>
        <w:rPr>
          <w:b/>
          <w:bCs/>
          <w:color w:val="1B3A5C"/>
        </w:rPr>
        <w:t xml:space="preserve">Use cases requiring depth: </w:t>
      </w:r>
      <w:r>
        <w:rPr>
          <w:color w:val="333333"/>
        </w:rPr>
        <w:t>Process node calibration, design rule checking accuracy, signoff tool reliability — all require decades of accumulated silicon validation data</w:t>
      </w:r>
    </w:p>
    <w:p w14:paraId="01EA8063" w14:textId="77777777" w:rsidR="00FF0954" w:rsidRDefault="00000000">
      <w:r>
        <w:br w:type="page"/>
      </w:r>
    </w:p>
    <w:p w14:paraId="1C4C0AB8" w14:textId="77777777" w:rsidR="00FF0954" w:rsidRDefault="00000000">
      <w:pPr>
        <w:pStyle w:val="Heading2"/>
      </w:pPr>
      <w:r>
        <w:lastRenderedPageBreak/>
        <w:t>SECTION 2: AI DISRUPTION VECTOR ANALYSIS</w:t>
      </w:r>
    </w:p>
    <w:p w14:paraId="2C43E387" w14:textId="77777777" w:rsidR="00FF0954" w:rsidRDefault="00000000">
      <w:pPr>
        <w:spacing w:before="200" w:after="120"/>
      </w:pPr>
      <w:r>
        <w:rPr>
          <w:b/>
          <w:bCs/>
          <w:color w:val="1B3A5C"/>
          <w:sz w:val="22"/>
          <w:szCs w:val="22"/>
        </w:rPr>
        <w:t>Disruption Vector A: Structuring Layer Commoditization</w:t>
      </w:r>
    </w:p>
    <w:p w14:paraId="437C82BE" w14:textId="77777777" w:rsidR="00FF0954" w:rsidRDefault="00000000">
      <w:pPr>
        <w:spacing w:before="60" w:after="60"/>
      </w:pPr>
      <w:r>
        <w:rPr>
          <w:color w:val="333333"/>
        </w:rPr>
        <w:t xml:space="preserve">Risk Assessment: LOW. Cadence’s value is not in ‘structuring data for display’ but in executing physics-based simulation and verification of chip designs. An LLM cannot replicate SPICE simulation, parasitic extraction, electromagnetic analysis, or formal verification. These are deterministic computational engines, not data structuring. As one analyst </w:t>
      </w:r>
      <w:proofErr w:type="gramStart"/>
      <w:r>
        <w:rPr>
          <w:color w:val="333333"/>
        </w:rPr>
        <w:t>noted: ‘</w:t>
      </w:r>
      <w:proofErr w:type="gramEnd"/>
      <w:r>
        <w:rPr>
          <w:color w:val="333333"/>
        </w:rPr>
        <w:t>as design complexity hits the atomic level, the ground truth provided by specialized engineering software becomes more critical, not less.’</w:t>
      </w:r>
    </w:p>
    <w:p w14:paraId="1AB07E8E" w14:textId="77777777" w:rsidR="00FF0954" w:rsidRDefault="00000000">
      <w:pPr>
        <w:spacing w:before="60" w:after="60"/>
      </w:pPr>
      <w:r>
        <w:rPr>
          <w:color w:val="333333"/>
        </w:rPr>
        <w:t xml:space="preserve">The structuring layer (UI, workflow orchestration) is being enhanced by AI — Cadence’s own ChipStack AI </w:t>
      </w:r>
      <w:proofErr w:type="spellStart"/>
      <w:r>
        <w:rPr>
          <w:color w:val="333333"/>
        </w:rPr>
        <w:t>Super Agent</w:t>
      </w:r>
      <w:proofErr w:type="spellEnd"/>
      <w:r>
        <w:rPr>
          <w:color w:val="333333"/>
        </w:rPr>
        <w:t xml:space="preserve"> uses LLMs to orchestrate EDA tool flows. But AI augments rather than </w:t>
      </w:r>
      <w:proofErr w:type="gramStart"/>
      <w:r>
        <w:rPr>
          <w:color w:val="333333"/>
        </w:rPr>
        <w:t>replaces</w:t>
      </w:r>
      <w:proofErr w:type="gramEnd"/>
      <w:r>
        <w:rPr>
          <w:color w:val="333333"/>
        </w:rPr>
        <w:t xml:space="preserve"> the underlying physics engines. Bank of America confirms ‘CDNS has seen no customer discussion regarding reducing their usage of EDA software.’</w:t>
      </w:r>
    </w:p>
    <w:p w14:paraId="7FF3C4A8" w14:textId="77777777" w:rsidR="00FF0954" w:rsidRDefault="00000000">
      <w:pPr>
        <w:spacing w:before="60" w:after="60"/>
      </w:pPr>
      <w:r>
        <w:rPr>
          <w:b/>
          <w:bCs/>
          <w:color w:val="1B3A5C"/>
        </w:rPr>
        <w:t xml:space="preserve">Structuring Layer Vulnerability: </w:t>
      </w:r>
      <w:r>
        <w:rPr>
          <w:color w:val="333333"/>
        </w:rPr>
        <w:t>Low</w:t>
      </w:r>
    </w:p>
    <w:p w14:paraId="45CC4E47" w14:textId="77777777" w:rsidR="00FF0954" w:rsidRDefault="00000000">
      <w:pPr>
        <w:spacing w:before="60" w:after="60"/>
      </w:pPr>
      <w:r>
        <w:rPr>
          <w:b/>
          <w:bCs/>
          <w:color w:val="1B3A5C"/>
        </w:rPr>
        <w:t xml:space="preserve">Revenue at risk: </w:t>
      </w:r>
      <w:r>
        <w:rPr>
          <w:color w:val="333333"/>
        </w:rPr>
        <w:t>&lt;5% (some low-value analytics/reporting could be commoditized; core simulation/verification immune)</w:t>
      </w:r>
    </w:p>
    <w:p w14:paraId="49E3CD56" w14:textId="77777777" w:rsidR="00FF0954" w:rsidRDefault="00000000">
      <w:pPr>
        <w:spacing w:before="200" w:after="120"/>
      </w:pPr>
      <w:r>
        <w:rPr>
          <w:b/>
          <w:bCs/>
          <w:color w:val="1B3A5C"/>
          <w:sz w:val="22"/>
          <w:szCs w:val="22"/>
        </w:rPr>
        <w:t>Disruption Vector B: Alternative Creation</w:t>
      </w:r>
    </w:p>
    <w:p w14:paraId="43494A63" w14:textId="77777777" w:rsidR="00FF0954" w:rsidRDefault="00000000">
      <w:pPr>
        <w:spacing w:before="60" w:after="60"/>
      </w:pPr>
      <w:r>
        <w:rPr>
          <w:color w:val="333333"/>
        </w:rPr>
        <w:t xml:space="preserve">Risk Assessment: LOW. Could AI create an alternative EDA platform? Technically, LLMs can generate RTL code and simple </w:t>
      </w:r>
      <w:proofErr w:type="gramStart"/>
      <w:r>
        <w:rPr>
          <w:color w:val="333333"/>
        </w:rPr>
        <w:t>testbenches</w:t>
      </w:r>
      <w:proofErr w:type="gramEnd"/>
      <w:r>
        <w:rPr>
          <w:color w:val="333333"/>
        </w:rPr>
        <w:t>. But creating an alternative to a full EDA stack requires: (a) physics-accurate simulation engines validated against real silicon across every major foundry process, (b) foundry certification for signoff at advanced nodes, (c) integration with customer design flows accumulated over decades, and (d) formal verification engines that provide mathematical proof of correctness.</w:t>
      </w:r>
    </w:p>
    <w:p w14:paraId="6DB79240" w14:textId="77777777" w:rsidR="00FF0954" w:rsidRDefault="00000000">
      <w:pPr>
        <w:spacing w:before="60" w:after="60"/>
      </w:pPr>
      <w:r>
        <w:rPr>
          <w:color w:val="333333"/>
        </w:rPr>
        <w:t>Open-source alternatives (</w:t>
      </w:r>
      <w:proofErr w:type="spellStart"/>
      <w:r>
        <w:rPr>
          <w:color w:val="333333"/>
        </w:rPr>
        <w:t>OpenROAD</w:t>
      </w:r>
      <w:proofErr w:type="spellEnd"/>
      <w:r>
        <w:rPr>
          <w:color w:val="333333"/>
        </w:rPr>
        <w:t xml:space="preserve">) exist but are limited to older nodes and lack foundry certification for production designs at 3nm+. AI-native EDA startups (Alpha Design, </w:t>
      </w:r>
      <w:proofErr w:type="spellStart"/>
      <w:r>
        <w:rPr>
          <w:color w:val="333333"/>
        </w:rPr>
        <w:t>PrimisAI</w:t>
      </w:r>
      <w:proofErr w:type="spellEnd"/>
      <w:r>
        <w:rPr>
          <w:color w:val="333333"/>
        </w:rPr>
        <w:t xml:space="preserve">, </w:t>
      </w:r>
      <w:proofErr w:type="spellStart"/>
      <w:r>
        <w:rPr>
          <w:color w:val="333333"/>
        </w:rPr>
        <w:t>Silimate</w:t>
      </w:r>
      <w:proofErr w:type="spellEnd"/>
      <w:r>
        <w:rPr>
          <w:color w:val="333333"/>
        </w:rPr>
        <w:t xml:space="preserve">, etc.) are focused on point tools, not full-flow replacements. </w:t>
      </w:r>
      <w:proofErr w:type="spellStart"/>
      <w:r>
        <w:rPr>
          <w:color w:val="333333"/>
        </w:rPr>
        <w:t>Efabless</w:t>
      </w:r>
      <w:proofErr w:type="spellEnd"/>
      <w:r>
        <w:rPr>
          <w:color w:val="333333"/>
        </w:rPr>
        <w:t>, a key open-source EDA company, shut down operations in March 2025 due to funding challenges.</w:t>
      </w:r>
    </w:p>
    <w:p w14:paraId="36729CBC" w14:textId="77777777" w:rsidR="00FF0954" w:rsidRDefault="00000000">
      <w:pPr>
        <w:spacing w:before="60" w:after="60"/>
      </w:pPr>
      <w:r>
        <w:rPr>
          <w:color w:val="333333"/>
        </w:rPr>
        <w:t xml:space="preserve">The adoption barrier is immense: semiconductor companies will not risk multi-billion-dollar chip designs on unproven tools. A single </w:t>
      </w:r>
      <w:proofErr w:type="spellStart"/>
      <w:r>
        <w:rPr>
          <w:color w:val="333333"/>
        </w:rPr>
        <w:t>tapeout</w:t>
      </w:r>
      <w:proofErr w:type="spellEnd"/>
      <w:r>
        <w:rPr>
          <w:color w:val="333333"/>
        </w:rPr>
        <w:t xml:space="preserve"> failure at 3nm can cost $500M+. Customer lifetime relationships span 20+ years with near-100% retention.</w:t>
      </w:r>
    </w:p>
    <w:p w14:paraId="65F398F5" w14:textId="77777777" w:rsidR="00FF0954" w:rsidRDefault="00000000">
      <w:pPr>
        <w:spacing w:before="60" w:after="60"/>
      </w:pPr>
      <w:r>
        <w:rPr>
          <w:b/>
          <w:bCs/>
          <w:color w:val="1B3A5C"/>
        </w:rPr>
        <w:t xml:space="preserve">Alternative Creation Risk: </w:t>
      </w:r>
      <w:r>
        <w:rPr>
          <w:color w:val="333333"/>
        </w:rPr>
        <w:t>Low</w:t>
      </w:r>
    </w:p>
    <w:p w14:paraId="4D3FE5D7" w14:textId="77777777" w:rsidR="00FF0954" w:rsidRDefault="00000000">
      <w:pPr>
        <w:spacing w:before="60" w:after="60"/>
      </w:pPr>
      <w:r>
        <w:rPr>
          <w:b/>
          <w:bCs/>
          <w:color w:val="1B3A5C"/>
        </w:rPr>
        <w:t xml:space="preserve">Named alternatives: </w:t>
      </w:r>
      <w:proofErr w:type="spellStart"/>
      <w:r>
        <w:rPr>
          <w:color w:val="333333"/>
        </w:rPr>
        <w:t>OpenROAD</w:t>
      </w:r>
      <w:proofErr w:type="spellEnd"/>
      <w:r>
        <w:rPr>
          <w:color w:val="333333"/>
        </w:rPr>
        <w:t xml:space="preserve"> (academic, limited to older nodes), Alpha Design, </w:t>
      </w:r>
      <w:proofErr w:type="spellStart"/>
      <w:r>
        <w:rPr>
          <w:color w:val="333333"/>
        </w:rPr>
        <w:t>PrimisAI</w:t>
      </w:r>
      <w:proofErr w:type="spellEnd"/>
      <w:r>
        <w:rPr>
          <w:color w:val="333333"/>
        </w:rPr>
        <w:t xml:space="preserve">, </w:t>
      </w:r>
      <w:proofErr w:type="spellStart"/>
      <w:r>
        <w:rPr>
          <w:color w:val="333333"/>
        </w:rPr>
        <w:t>Silimate</w:t>
      </w:r>
      <w:proofErr w:type="spellEnd"/>
      <w:r>
        <w:rPr>
          <w:color w:val="333333"/>
        </w:rPr>
        <w:t xml:space="preserve"> (startups, point tools only)</w:t>
      </w:r>
    </w:p>
    <w:p w14:paraId="27614618" w14:textId="77777777" w:rsidR="00FF0954" w:rsidRDefault="00000000">
      <w:pPr>
        <w:spacing w:before="60" w:after="60"/>
      </w:pPr>
      <w:r>
        <w:rPr>
          <w:b/>
          <w:bCs/>
          <w:color w:val="1B3A5C"/>
        </w:rPr>
        <w:t xml:space="preserve">Adoption barrier: </w:t>
      </w:r>
      <w:r>
        <w:rPr>
          <w:color w:val="333333"/>
        </w:rPr>
        <w:t>Extreme — foundry certification, silicon validation, customer risk aversion, $1B+ R&amp;D to build full flow</w:t>
      </w:r>
    </w:p>
    <w:p w14:paraId="59CACA27" w14:textId="77777777" w:rsidR="00FF0954" w:rsidRDefault="00000000">
      <w:pPr>
        <w:spacing w:before="200" w:after="120"/>
      </w:pPr>
      <w:r>
        <w:rPr>
          <w:b/>
          <w:bCs/>
          <w:color w:val="1B3A5C"/>
          <w:sz w:val="22"/>
          <w:szCs w:val="22"/>
        </w:rPr>
        <w:t>Disruption Vector C: Delivery Model Disruption</w:t>
      </w:r>
    </w:p>
    <w:p w14:paraId="53BA264A" w14:textId="77777777" w:rsidR="00FF0954" w:rsidRDefault="00000000">
      <w:pPr>
        <w:spacing w:before="60" w:after="60"/>
      </w:pPr>
      <w:r>
        <w:rPr>
          <w:color w:val="333333"/>
        </w:rPr>
        <w:t xml:space="preserve">Risk Assessment: LOW–MEDIUM. Cadence’s subscription model is already transitioning toward cloud/AI delivery. The company offers Cadence Cloud (on-premises and public cloud EDA), consumption-based hardware emulation, and is actively building AI-native products (ChipStack, </w:t>
      </w:r>
      <w:proofErr w:type="spellStart"/>
      <w:r>
        <w:rPr>
          <w:color w:val="333333"/>
        </w:rPr>
        <w:t>Cerebrus</w:t>
      </w:r>
      <w:proofErr w:type="spellEnd"/>
      <w:r>
        <w:rPr>
          <w:color w:val="333333"/>
        </w:rPr>
        <w:t xml:space="preserve">, </w:t>
      </w:r>
      <w:proofErr w:type="spellStart"/>
      <w:r>
        <w:rPr>
          <w:color w:val="333333"/>
        </w:rPr>
        <w:t>JedAI</w:t>
      </w:r>
      <w:proofErr w:type="spellEnd"/>
      <w:r>
        <w:rPr>
          <w:color w:val="333333"/>
        </w:rPr>
        <w:t>) that enhance rather than cannibalize existing subscriptions.</w:t>
      </w:r>
    </w:p>
    <w:p w14:paraId="275BC2D8" w14:textId="77777777" w:rsidR="00FF0954" w:rsidRDefault="00000000">
      <w:pPr>
        <w:spacing w:before="60" w:after="60"/>
      </w:pPr>
      <w:r>
        <w:rPr>
          <w:color w:val="333333"/>
        </w:rPr>
        <w:t>The risk is that AI agents could eventually orchestrate EDA workflows without the full Cadence tool suite, treating individual engines as commodity back-ends. However, Cadence is counter-positioning by embedding AI INTO its platform (ChipStack is built on top of Cadence’s own tools), ensuring customers deepen rather than reduce tool dependency.</w:t>
      </w:r>
    </w:p>
    <w:p w14:paraId="064EA9C5" w14:textId="77777777" w:rsidR="00FF0954" w:rsidRDefault="00000000">
      <w:pPr>
        <w:spacing w:before="60" w:after="60"/>
      </w:pPr>
      <w:r>
        <w:rPr>
          <w:color w:val="333333"/>
        </w:rPr>
        <w:t xml:space="preserve">Recurring revenue at ~80% with multi-year contracts </w:t>
      </w:r>
      <w:proofErr w:type="gramStart"/>
      <w:r>
        <w:rPr>
          <w:color w:val="333333"/>
        </w:rPr>
        <w:t>provides</w:t>
      </w:r>
      <w:proofErr w:type="gramEnd"/>
      <w:r>
        <w:rPr>
          <w:color w:val="333333"/>
        </w:rPr>
        <w:t xml:space="preserve"> structural protection. Hardware emulation (Palladium, Protium) is inherently non-</w:t>
      </w:r>
      <w:proofErr w:type="spellStart"/>
      <w:r>
        <w:rPr>
          <w:color w:val="333333"/>
        </w:rPr>
        <w:t>disruptable</w:t>
      </w:r>
      <w:proofErr w:type="spellEnd"/>
      <w:r>
        <w:rPr>
          <w:color w:val="333333"/>
        </w:rPr>
        <w:t xml:space="preserve"> by software-only AI.</w:t>
      </w:r>
    </w:p>
    <w:p w14:paraId="12D3A11E" w14:textId="77777777" w:rsidR="00FF0954" w:rsidRDefault="00000000">
      <w:pPr>
        <w:spacing w:before="60" w:after="60"/>
      </w:pPr>
      <w:r>
        <w:rPr>
          <w:b/>
          <w:bCs/>
          <w:color w:val="1B3A5C"/>
        </w:rPr>
        <w:t xml:space="preserve">Delivery Model Disruption Risk: </w:t>
      </w:r>
      <w:r>
        <w:rPr>
          <w:color w:val="333333"/>
        </w:rPr>
        <w:t>Low–Medium</w:t>
      </w:r>
    </w:p>
    <w:p w14:paraId="5BD8B85D" w14:textId="77777777" w:rsidR="00FF0954" w:rsidRDefault="00000000">
      <w:pPr>
        <w:spacing w:before="60" w:after="60"/>
      </w:pPr>
      <w:r>
        <w:rPr>
          <w:b/>
          <w:bCs/>
          <w:color w:val="1B3A5C"/>
        </w:rPr>
        <w:t xml:space="preserve">Terminal/seat revenue at risk: </w:t>
      </w:r>
      <w:r>
        <w:rPr>
          <w:color w:val="333333"/>
        </w:rPr>
        <w:t>~10–15% of revenue could see pricing pressure as AI increases per-engineer productivity (fewer seats needed per design); offset by increasing total design complexity and AI-driven tool upsell.</w:t>
      </w:r>
    </w:p>
    <w:p w14:paraId="2425B808" w14:textId="77777777" w:rsidR="00FF0954" w:rsidRDefault="00000000">
      <w:r>
        <w:br w:type="page"/>
      </w:r>
    </w:p>
    <w:p w14:paraId="5611C221" w14:textId="77777777" w:rsidR="00FF0954" w:rsidRDefault="00000000">
      <w:pPr>
        <w:pStyle w:val="Heading2"/>
      </w:pPr>
      <w:r>
        <w:lastRenderedPageBreak/>
        <w:t>SECTION 3: SEGMENT-LEVEL ANALYSIS</w:t>
      </w:r>
    </w:p>
    <w:p w14:paraId="025140D0" w14:textId="77777777" w:rsidR="00FF0954" w:rsidRDefault="00000000">
      <w:pPr>
        <w:spacing w:before="60" w:after="60"/>
      </w:pPr>
      <w:r>
        <w:rPr>
          <w:color w:val="333333"/>
        </w:rPr>
        <w:t>Cadence operates as a single reportable segment but discloses three product categories. Each has a distinct moat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200"/>
        <w:gridCol w:w="2560"/>
        <w:gridCol w:w="2200"/>
      </w:tblGrid>
      <w:tr w:rsidR="00FF0954" w14:paraId="0268AA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230105B" w14:textId="77777777" w:rsidR="00FF0954" w:rsidRDefault="00000000">
            <w:r>
              <w:rPr>
                <w:b/>
                <w:bCs/>
                <w:color w:val="FFFFFF"/>
              </w:rPr>
              <w:t>Segment</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8F02DA9" w14:textId="77777777" w:rsidR="00FF0954" w:rsidRDefault="00000000">
            <w:r>
              <w:rPr>
                <w:b/>
                <w:bCs/>
                <w:color w:val="FFFFFF"/>
              </w:rPr>
              <w:t>Rev (FY25)</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1145228" w14:textId="77777777" w:rsidR="00FF0954" w:rsidRDefault="00000000">
            <w:r>
              <w:rPr>
                <w:b/>
                <w:bCs/>
                <w:color w:val="FFFFFF"/>
              </w:rPr>
              <w:t>% Total</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3A0895E" w14:textId="77777777" w:rsidR="00FF0954" w:rsidRDefault="00000000">
            <w:r>
              <w:rPr>
                <w:b/>
                <w:bCs/>
                <w:color w:val="FFFFFF"/>
              </w:rPr>
              <w:t>Primary Moat(s)</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0C28B59" w14:textId="77777777" w:rsidR="00FF0954" w:rsidRDefault="00000000">
            <w:r>
              <w:rPr>
                <w:b/>
                <w:bCs/>
                <w:color w:val="FFFFFF"/>
              </w:rPr>
              <w:t>AI Vulnerability</w:t>
            </w:r>
          </w:p>
        </w:tc>
      </w:tr>
      <w:tr w:rsidR="00FF0954" w14:paraId="2481FF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731DF3" w14:textId="77777777" w:rsidR="00FF0954" w:rsidRDefault="00000000">
            <w:r>
              <w:rPr>
                <w:color w:val="333333"/>
              </w:rPr>
              <w:t>Core EDA</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F509572" w14:textId="77777777" w:rsidR="00FF0954" w:rsidRDefault="00000000">
            <w:r>
              <w:rPr>
                <w:color w:val="333333"/>
              </w:rPr>
              <w:t>~$3,708M</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18220A7" w14:textId="77777777" w:rsidR="00FF0954" w:rsidRDefault="00000000">
            <w:r>
              <w:rPr>
                <w:color w:val="333333"/>
              </w:rPr>
              <w:t>70%</w:t>
            </w:r>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82B86F3" w14:textId="77777777" w:rsidR="00FF0954" w:rsidRDefault="00000000">
            <w:r>
              <w:rPr>
                <w:color w:val="333333"/>
              </w:rPr>
              <w:t>Switching costs, Foundry certification, Contributed data (PDKs)</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8E501C7" w14:textId="77777777" w:rsidR="00FF0954" w:rsidRDefault="00000000">
            <w:r>
              <w:rPr>
                <w:color w:val="333333"/>
              </w:rPr>
              <w:t>Low — physics engines immune; AI augments workflow</w:t>
            </w:r>
          </w:p>
        </w:tc>
      </w:tr>
      <w:tr w:rsidR="00FF0954" w14:paraId="303B78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53F94" w14:textId="77777777" w:rsidR="00FF0954" w:rsidRDefault="00000000">
            <w:r>
              <w:rPr>
                <w:color w:val="333333"/>
              </w:rPr>
              <w:t>Semiconductor IP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4E090" w14:textId="77777777" w:rsidR="00FF0954" w:rsidRDefault="00000000">
            <w:r>
              <w:rPr>
                <w:color w:val="333333"/>
              </w:rPr>
              <w:t>~$742M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7DF50" w14:textId="77777777" w:rsidR="00FF0954" w:rsidRDefault="00000000">
            <w:r>
              <w:rPr>
                <w:color w:val="333333"/>
              </w:rPr>
              <w:t>14%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EC239" w14:textId="77777777" w:rsidR="00FF0954" w:rsidRDefault="00000000">
            <w:r>
              <w:rPr>
                <w:color w:val="333333"/>
              </w:rPr>
              <w:t>Design validation, Silicon-proven IP, Licensing network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DED75" w14:textId="77777777" w:rsidR="00FF0954" w:rsidRDefault="00000000">
            <w:r>
              <w:rPr>
                <w:color w:val="333333"/>
              </w:rPr>
              <w:t xml:space="preserve">Low — silicon-proven IP requires real </w:t>
            </w:r>
            <w:proofErr w:type="spellStart"/>
            <w:r>
              <w:rPr>
                <w:color w:val="333333"/>
              </w:rPr>
              <w:t>tapeouts</w:t>
            </w:r>
            <w:proofErr w:type="spellEnd"/>
          </w:p>
        </w:tc>
      </w:tr>
      <w:tr w:rsidR="00FF0954" w14:paraId="151C5E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495F509" w14:textId="77777777" w:rsidR="00FF0954" w:rsidRDefault="00000000">
            <w:r>
              <w:rPr>
                <w:color w:val="333333"/>
              </w:rPr>
              <w:t>System Design &amp; Analysis</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7E64CB0" w14:textId="77777777" w:rsidR="00FF0954" w:rsidRDefault="00000000">
            <w:r>
              <w:rPr>
                <w:color w:val="333333"/>
              </w:rPr>
              <w:t>~$847M</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918BD81" w14:textId="77777777" w:rsidR="00FF0954" w:rsidRDefault="00000000">
            <w:r>
              <w:rPr>
                <w:color w:val="333333"/>
              </w:rPr>
              <w:t>16%</w:t>
            </w:r>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52AAEDD" w14:textId="77777777" w:rsidR="00FF0954" w:rsidRDefault="00000000">
            <w:r>
              <w:rPr>
                <w:color w:val="333333"/>
              </w:rPr>
              <w:t>Multi-physics simulation, Industry-standard tools (Nastran, Adams)</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834C8C" w14:textId="77777777" w:rsidR="00FF0954" w:rsidRDefault="00000000">
            <w:r>
              <w:rPr>
                <w:color w:val="333333"/>
              </w:rPr>
              <w:t>Low–Medium — some computational analysis could face AI alternatives</w:t>
            </w:r>
          </w:p>
        </w:tc>
      </w:tr>
    </w:tbl>
    <w:p w14:paraId="7C6D539B" w14:textId="77777777" w:rsidR="00FF0954" w:rsidRDefault="00000000">
      <w:pPr>
        <w:spacing w:before="200" w:after="120"/>
      </w:pPr>
      <w:r>
        <w:rPr>
          <w:b/>
          <w:bCs/>
          <w:color w:val="1B3A5C"/>
          <w:sz w:val="22"/>
          <w:szCs w:val="22"/>
        </w:rPr>
        <w:t>Cross-Segment Synergy Assessment</w:t>
      </w:r>
    </w:p>
    <w:p w14:paraId="092D548D" w14:textId="77777777" w:rsidR="00FF0954" w:rsidRDefault="00000000">
      <w:pPr>
        <w:spacing w:before="60" w:after="60"/>
      </w:pPr>
      <w:r>
        <w:rPr>
          <w:color w:val="333333"/>
        </w:rPr>
        <w:t>Segments are deeply reinforcing. Core EDA provides the design flow, IP plugs pre-validated blocks into that flow, and SDA enables system-level verification that feeds back into chip design decisions. The ‘Intelligent System Design’ strategy explicitly integrates all three. Hexagon D&amp;E (Nastran, Adams) extends SDA into structural/mechanical simulation, creating a chip-to-system digital twin capability that is genuinely differentiated.</w:t>
      </w:r>
    </w:p>
    <w:p w14:paraId="2B1166C9" w14:textId="77777777" w:rsidR="00FF0954" w:rsidRDefault="00000000">
      <w:pPr>
        <w:spacing w:before="60" w:after="60"/>
      </w:pPr>
      <w:r>
        <w:rPr>
          <w:color w:val="333333"/>
        </w:rPr>
        <w:t>No segment is hiding behind a fortress segment — all three have strong competitive positions and all three are experiencing double-digit growth. This is structurally different from data infrastructure conglomerates where weak analytics segments hide behind regulatory fortress segments.</w:t>
      </w:r>
    </w:p>
    <w:p w14:paraId="55A10463" w14:textId="77777777" w:rsidR="00FF0954" w:rsidRDefault="00000000">
      <w:r>
        <w:br w:type="page"/>
      </w:r>
    </w:p>
    <w:p w14:paraId="1D321BDD" w14:textId="77777777" w:rsidR="00FF0954" w:rsidRDefault="00000000">
      <w:pPr>
        <w:pStyle w:val="Heading2"/>
      </w:pPr>
      <w:r>
        <w:lastRenderedPageBreak/>
        <w:t>SECTION 4: COMPETITIVE PRESSURE ASSESSMENT</w:t>
      </w:r>
    </w:p>
    <w:p w14:paraId="2663B538" w14:textId="77777777" w:rsidR="00FF0954" w:rsidRDefault="00000000">
      <w:pPr>
        <w:spacing w:before="200" w:after="120"/>
      </w:pPr>
      <w:r>
        <w:rPr>
          <w:b/>
          <w:bCs/>
          <w:color w:val="1B3A5C"/>
          <w:sz w:val="22"/>
          <w:szCs w:val="22"/>
        </w:rPr>
        <w:t>Market Structure</w:t>
      </w:r>
    </w:p>
    <w:p w14:paraId="5A2BE734" w14:textId="77777777" w:rsidR="00FF0954" w:rsidRDefault="00000000">
      <w:pPr>
        <w:spacing w:before="60" w:after="60"/>
      </w:pPr>
      <w:r>
        <w:rPr>
          <w:color w:val="333333"/>
        </w:rPr>
        <w:t xml:space="preserve">EDA is a stable oligopoly that has persisted since the late 1980s. Synopsys (~31% share), Cadence (~30%), and Siemens EDA (~13%) collectively control ~74–80% of the global market. The duopoly at the top (CDNS + SNPS = ~61%) has near-100% retention rates. Former Mentor Graphics CEO Wally Rhines documented this oligopoly stability back to the 1970s — three companies have always led EDA. The structure has survived multiple </w:t>
      </w:r>
      <w:proofErr w:type="gramStart"/>
      <w:r>
        <w:rPr>
          <w:color w:val="333333"/>
        </w:rPr>
        <w:t>technology</w:t>
      </w:r>
      <w:proofErr w:type="gramEnd"/>
      <w:r>
        <w:rPr>
          <w:color w:val="333333"/>
        </w:rPr>
        <w:t xml:space="preserve"> transitions.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8"/>
        <w:gridCol w:w="1085"/>
        <w:gridCol w:w="1544"/>
        <w:gridCol w:w="2362"/>
        <w:gridCol w:w="2391"/>
      </w:tblGrid>
      <w:tr w:rsidR="00FF0954" w14:paraId="66EFF2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151A921" w14:textId="77777777" w:rsidR="00FF0954" w:rsidRDefault="00000000">
            <w:r>
              <w:rPr>
                <w:b/>
                <w:bCs/>
                <w:color w:val="FFFFFF"/>
              </w:rPr>
              <w:t>Competitor</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4D23EC4" w14:textId="77777777" w:rsidR="00FF0954" w:rsidRDefault="00000000">
            <w:r>
              <w:rPr>
                <w:b/>
                <w:bCs/>
                <w:color w:val="FFFFFF"/>
              </w:rPr>
              <w:t>Founded</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0BEAEA2" w14:textId="77777777" w:rsidR="00FF0954" w:rsidRDefault="00000000">
            <w:r>
              <w:rPr>
                <w:b/>
                <w:bCs/>
                <w:color w:val="FFFFFF"/>
              </w:rPr>
              <w:t>Revenue</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E3E56FE" w14:textId="77777777" w:rsidR="00FF0954" w:rsidRDefault="00000000">
            <w:r>
              <w:rPr>
                <w:b/>
                <w:bCs/>
                <w:color w:val="FFFFFF"/>
              </w:rPr>
              <w:t>Core Function</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89C1576" w14:textId="77777777" w:rsidR="00FF0954" w:rsidRDefault="00000000">
            <w:r>
              <w:rPr>
                <w:b/>
                <w:bCs/>
                <w:color w:val="FFFFFF"/>
              </w:rPr>
              <w:t>Threat Level</w:t>
            </w:r>
          </w:p>
        </w:tc>
      </w:tr>
      <w:tr w:rsidR="00FF0954" w14:paraId="706138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E3375DF" w14:textId="77777777" w:rsidR="00FF0954" w:rsidRDefault="00000000">
            <w:r>
              <w:rPr>
                <w:color w:val="333333"/>
              </w:rPr>
              <w:t>Synopsys (SNPS)</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73DA9AE" w14:textId="77777777" w:rsidR="00FF0954" w:rsidRDefault="00000000">
            <w:r>
              <w:rPr>
                <w:color w:val="333333"/>
              </w:rPr>
              <w:t>1986</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3A33E7E" w14:textId="77777777" w:rsidR="00FF0954" w:rsidRDefault="00000000">
            <w:r>
              <w:rPr>
                <w:color w:val="333333"/>
              </w:rPr>
              <w:t>~$6.1B FY24</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8A15026" w14:textId="77777777" w:rsidR="00FF0954" w:rsidRDefault="00000000">
            <w:r>
              <w:rPr>
                <w:color w:val="333333"/>
              </w:rPr>
              <w:t>Full-flow EDA, IP, Ansys sim</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F8C9C9F" w14:textId="77777777" w:rsidR="00FF0954" w:rsidRDefault="00000000">
            <w:r>
              <w:rPr>
                <w:color w:val="333333"/>
              </w:rPr>
              <w:t>Primary peer, not disruptor. Duopoly co-exists.</w:t>
            </w:r>
          </w:p>
        </w:tc>
      </w:tr>
      <w:tr w:rsidR="00FF0954" w14:paraId="4D9B27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1F300" w14:textId="77777777" w:rsidR="00FF0954" w:rsidRDefault="00000000">
            <w:r>
              <w:rPr>
                <w:color w:val="333333"/>
              </w:rPr>
              <w:t>Siemens EDA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4409B" w14:textId="77777777" w:rsidR="00FF0954" w:rsidRDefault="00000000">
            <w:r>
              <w:rPr>
                <w:color w:val="333333"/>
              </w:rPr>
              <w:t>1981*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F72F2" w14:textId="77777777" w:rsidR="00FF0954" w:rsidRDefault="00000000">
            <w:r>
              <w:rPr>
                <w:color w:val="333333"/>
              </w:rPr>
              <w:t>~$2B est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727A" w14:textId="77777777" w:rsidR="00FF0954" w:rsidRDefault="00000000">
            <w:r>
              <w:rPr>
                <w:color w:val="333333"/>
              </w:rPr>
              <w:t>PCB, IC verification, industrial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96D84" w14:textId="77777777" w:rsidR="00FF0954" w:rsidRDefault="00000000">
            <w:r>
              <w:rPr>
                <w:color w:val="333333"/>
              </w:rPr>
              <w:t>Moderate. Third player, deep in automotive/industrial.</w:t>
            </w:r>
          </w:p>
        </w:tc>
      </w:tr>
      <w:tr w:rsidR="00FF0954" w14:paraId="244E0E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445B0C8" w14:textId="77777777" w:rsidR="00FF0954" w:rsidRDefault="00000000">
            <w:proofErr w:type="spellStart"/>
            <w:r>
              <w:rPr>
                <w:color w:val="333333"/>
              </w:rPr>
              <w:t>OpenROAD</w:t>
            </w:r>
            <w:proofErr w:type="spellEnd"/>
            <w:r>
              <w:rPr>
                <w:color w:val="333333"/>
              </w:rPr>
              <w:t xml:space="preserve"> / Open Source</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09BDD79" w14:textId="77777777" w:rsidR="00FF0954" w:rsidRDefault="00000000">
            <w:r>
              <w:rPr>
                <w:color w:val="333333"/>
              </w:rPr>
              <w:t>2018</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68C2540" w14:textId="77777777" w:rsidR="00FF0954" w:rsidRDefault="00000000">
            <w:r>
              <w:rPr>
                <w:color w:val="333333"/>
              </w:rPr>
              <w:t>N/A</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7DEE3B" w14:textId="77777777" w:rsidR="00FF0954" w:rsidRDefault="00000000">
            <w:r>
              <w:rPr>
                <w:color w:val="333333"/>
              </w:rPr>
              <w:t>Open-source RTL-to-GDS</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290914" w14:textId="77777777" w:rsidR="00FF0954" w:rsidRDefault="00000000">
            <w:r>
              <w:rPr>
                <w:color w:val="333333"/>
              </w:rPr>
              <w:t xml:space="preserve">Low. Limited to older nodes. </w:t>
            </w:r>
            <w:proofErr w:type="spellStart"/>
            <w:r>
              <w:rPr>
                <w:color w:val="333333"/>
              </w:rPr>
              <w:t>Efabless</w:t>
            </w:r>
            <w:proofErr w:type="spellEnd"/>
            <w:r>
              <w:rPr>
                <w:color w:val="333333"/>
              </w:rPr>
              <w:t xml:space="preserve"> shut down Mar 2025.</w:t>
            </w:r>
          </w:p>
        </w:tc>
      </w:tr>
      <w:tr w:rsidR="00FF0954" w14:paraId="6AC4A8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45EE5" w14:textId="77777777" w:rsidR="00FF0954" w:rsidRPr="00560988" w:rsidRDefault="00000000">
            <w:pPr>
              <w:rPr>
                <w:lang w:val="fr-FR"/>
              </w:rPr>
            </w:pPr>
            <w:r w:rsidRPr="00560988">
              <w:rPr>
                <w:color w:val="333333"/>
                <w:lang w:val="fr-FR"/>
              </w:rPr>
              <w:t>AI Startups (PrimisAI, Silimate, etc.)</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96E41" w14:textId="77777777" w:rsidR="00FF0954" w:rsidRDefault="00000000">
            <w:r>
              <w:rPr>
                <w:color w:val="333333"/>
              </w:rPr>
              <w:t>2022–2024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77F23" w14:textId="77777777" w:rsidR="00FF0954" w:rsidRDefault="00000000">
            <w:r>
              <w:rPr>
                <w:color w:val="333333"/>
              </w:rPr>
              <w:t>Pre-rev</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56584" w14:textId="77777777" w:rsidR="00FF0954" w:rsidRDefault="00000000">
            <w:r>
              <w:rPr>
                <w:color w:val="333333"/>
              </w:rPr>
              <w:t>AI-native point tools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43FE9" w14:textId="77777777" w:rsidR="00FF0954" w:rsidRDefault="00000000">
            <w:r>
              <w:rPr>
                <w:color w:val="333333"/>
              </w:rPr>
              <w:t>Very Low. Point tools, no full flow, no foundry cert.</w:t>
            </w:r>
          </w:p>
        </w:tc>
      </w:tr>
    </w:tbl>
    <w:p w14:paraId="156E30D1" w14:textId="77777777" w:rsidR="00FF0954" w:rsidRDefault="00000000">
      <w:pPr>
        <w:spacing w:before="200" w:after="120"/>
      </w:pPr>
      <w:r>
        <w:rPr>
          <w:b/>
          <w:bCs/>
          <w:color w:val="1B3A5C"/>
          <w:sz w:val="22"/>
          <w:szCs w:val="22"/>
        </w:rPr>
        <w:t>Horizontal Platform Threats</w:t>
      </w:r>
    </w:p>
    <w:p w14:paraId="3F537E8B" w14:textId="77777777" w:rsidR="00FF0954" w:rsidRDefault="00000000">
      <w:pPr>
        <w:spacing w:before="60" w:after="60"/>
      </w:pPr>
      <w:r>
        <w:rPr>
          <w:color w:val="333333"/>
        </w:rPr>
        <w:t xml:space="preserve">LLMs (ChatGPT, Claude, Copilot) can generate RTL code snippets and simple testbenches. However, generating correct-by-construction chip designs </w:t>
      </w:r>
      <w:proofErr w:type="gramStart"/>
      <w:r>
        <w:rPr>
          <w:color w:val="333333"/>
        </w:rPr>
        <w:t>requires</w:t>
      </w:r>
      <w:proofErr w:type="gramEnd"/>
      <w:r>
        <w:rPr>
          <w:color w:val="333333"/>
        </w:rPr>
        <w:t xml:space="preserve"> foundry-calibrated tools, silicon-validated libraries, and formal verification — none of which general-purpose AI provides. Cadence is actively embedding AI INTO its own platform (ChipStack, </w:t>
      </w:r>
      <w:proofErr w:type="spellStart"/>
      <w:r>
        <w:rPr>
          <w:color w:val="333333"/>
        </w:rPr>
        <w:t>Cerebrus</w:t>
      </w:r>
      <w:proofErr w:type="spellEnd"/>
      <w:r>
        <w:rPr>
          <w:color w:val="333333"/>
        </w:rPr>
        <w:t xml:space="preserve">, </w:t>
      </w:r>
      <w:proofErr w:type="spellStart"/>
      <w:r>
        <w:rPr>
          <w:color w:val="333333"/>
        </w:rPr>
        <w:t>JedAI</w:t>
      </w:r>
      <w:proofErr w:type="spellEnd"/>
      <w:r>
        <w:rPr>
          <w:color w:val="333333"/>
        </w:rPr>
        <w:t>), turning the AI threat into a moat-deepening opportunity. AI increases design complexity (more design starts) which increases EDA demand.</w:t>
      </w:r>
    </w:p>
    <w:p w14:paraId="012A7251" w14:textId="77777777" w:rsidR="00FF0954" w:rsidRDefault="00000000">
      <w:pPr>
        <w:spacing w:before="60" w:after="60"/>
      </w:pPr>
      <w:r>
        <w:rPr>
          <w:b/>
          <w:bCs/>
          <w:color w:val="1B3A5C"/>
        </w:rPr>
        <w:t xml:space="preserve">Horizontal threat level: </w:t>
      </w:r>
      <w:r>
        <w:rPr>
          <w:color w:val="333333"/>
        </w:rPr>
        <w:t>Low</w:t>
      </w:r>
    </w:p>
    <w:p w14:paraId="54703C68" w14:textId="77777777" w:rsidR="00FF0954" w:rsidRDefault="00000000">
      <w:pPr>
        <w:spacing w:before="200" w:after="120"/>
      </w:pPr>
      <w:r>
        <w:rPr>
          <w:b/>
          <w:bCs/>
          <w:color w:val="1B3A5C"/>
          <w:sz w:val="22"/>
          <w:szCs w:val="22"/>
        </w:rPr>
        <w:t>Regulatory / Geopolitical Threats</w:t>
      </w:r>
    </w:p>
    <w:p w14:paraId="70CA3759" w14:textId="77777777" w:rsidR="00FF0954" w:rsidRDefault="00000000">
      <w:pPr>
        <w:spacing w:before="60" w:after="60"/>
      </w:pPr>
      <w:r>
        <w:rPr>
          <w:color w:val="333333"/>
        </w:rPr>
        <w:t>The most material threat to Cadence is US–China export controls, not AI disruption. China represented 13% of FY2025 revenue. BIS temporarily imposed EDA export restrictions in May 2025 (rescinded July 2025). Cadence paid $140.6M in DOJ/BIS settlement for 2015–2021 violations. The company is on three-year probation with enhanced compliance requirements. Future export control tightening could reduce China revenue to near-zero. This is the single largest exogenous risk.</w:t>
      </w:r>
    </w:p>
    <w:p w14:paraId="18BA4746" w14:textId="77777777" w:rsidR="00FF0954" w:rsidRDefault="00000000">
      <w:pPr>
        <w:spacing w:before="60" w:after="60"/>
      </w:pPr>
      <w:r>
        <w:rPr>
          <w:color w:val="333333"/>
        </w:rPr>
        <w:t>Domestically, there is no regulatory movement to break the EDA duopoly. Semiconductor companies, foundries, and government agencies all benefit from the current structure.</w:t>
      </w:r>
    </w:p>
    <w:p w14:paraId="3D4CF84F" w14:textId="77777777" w:rsidR="00FF0954" w:rsidRDefault="00000000">
      <w:pPr>
        <w:spacing w:before="60" w:after="60"/>
      </w:pPr>
      <w:r>
        <w:rPr>
          <w:b/>
          <w:bCs/>
          <w:color w:val="1B3A5C"/>
        </w:rPr>
        <w:t xml:space="preserve">Regulatory threat level: </w:t>
      </w:r>
      <w:r>
        <w:rPr>
          <w:color w:val="333333"/>
        </w:rPr>
        <w:t>Medium (China geopolitics, not domestic regulation)</w:t>
      </w:r>
    </w:p>
    <w:p w14:paraId="4CDECB29" w14:textId="77777777" w:rsidR="00FF0954" w:rsidRDefault="00000000">
      <w:r>
        <w:br w:type="page"/>
      </w:r>
    </w:p>
    <w:p w14:paraId="1A24C348" w14:textId="77777777" w:rsidR="00FF0954" w:rsidRDefault="00000000">
      <w:pPr>
        <w:pStyle w:val="Heading2"/>
      </w:pPr>
      <w:r>
        <w:lastRenderedPageBreak/>
        <w:t>SECTION 5: PRE-SCREEN SUMMARY OUTPUT</w:t>
      </w:r>
    </w:p>
    <w:p w14:paraId="0F645D67" w14:textId="77777777" w:rsidR="00FF0954" w:rsidRDefault="00000000">
      <w:pPr>
        <w:spacing w:before="200" w:after="120"/>
      </w:pPr>
      <w:r>
        <w:rPr>
          <w:b/>
          <w:bCs/>
          <w:color w:val="1B3A5C"/>
          <w:sz w:val="22"/>
          <w:szCs w:val="22"/>
        </w:rPr>
        <w:t>Moat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560"/>
        <w:gridCol w:w="3800"/>
      </w:tblGrid>
      <w:tr w:rsidR="00FF0954" w14:paraId="0A3DDB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85FED65" w14:textId="77777777" w:rsidR="00FF0954" w:rsidRDefault="00000000">
            <w:r>
              <w:rPr>
                <w:b/>
                <w:bCs/>
                <w:color w:val="FFFFFF"/>
              </w:rPr>
              <w:t>Moat Type</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322FF47" w14:textId="77777777" w:rsidR="00FF0954" w:rsidRDefault="00000000">
            <w:r>
              <w:rPr>
                <w:b/>
                <w:bCs/>
                <w:color w:val="FFFFFF"/>
              </w:rPr>
              <w:t>Has It</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0A81A7C" w14:textId="77777777" w:rsidR="00FF0954" w:rsidRDefault="00000000">
            <w:r>
              <w:rPr>
                <w:b/>
                <w:bCs/>
                <w:color w:val="FFFFFF"/>
              </w:rPr>
              <w:t>Level/Score</w:t>
            </w:r>
          </w:p>
        </w:tc>
        <w:tc>
          <w:tcPr>
            <w:tcW w:w="3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C0D0321" w14:textId="77777777" w:rsidR="00FF0954" w:rsidRDefault="00000000">
            <w:r>
              <w:rPr>
                <w:b/>
                <w:bCs/>
                <w:color w:val="FFFFFF"/>
              </w:rPr>
              <w:t>Key Evidence</w:t>
            </w:r>
          </w:p>
        </w:tc>
      </w:tr>
      <w:tr w:rsidR="00FF0954" w14:paraId="6539ED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208BE24" w14:textId="77777777" w:rsidR="00FF0954" w:rsidRDefault="00000000">
            <w:r>
              <w:rPr>
                <w:color w:val="333333"/>
              </w:rPr>
              <w:t>1. Regulatory Designation</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47324B3" w14:textId="77777777" w:rsidR="00FF0954" w:rsidRDefault="00000000">
            <w:r>
              <w:rPr>
                <w:color w:val="333333"/>
              </w:rPr>
              <w:t>Partial</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053B4A7" w14:textId="77777777" w:rsidR="00FF0954" w:rsidRDefault="00000000">
            <w:r>
              <w:rPr>
                <w:color w:val="333333"/>
              </w:rPr>
              <w:t>Level 1</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6466267" w14:textId="77777777" w:rsidR="00FF0954" w:rsidRDefault="00000000">
            <w:r>
              <w:rPr>
                <w:color w:val="333333"/>
              </w:rPr>
              <w:t>De facto standard via foundry certification. No legal mandate.</w:t>
            </w:r>
          </w:p>
        </w:tc>
      </w:tr>
      <w:tr w:rsidR="00FF0954" w14:paraId="3450A6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71B0F" w14:textId="77777777" w:rsidR="00FF0954" w:rsidRDefault="00000000">
            <w:r>
              <w:rPr>
                <w:color w:val="333333"/>
              </w:rPr>
              <w:t>2. Benchmark Pricing Authority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5F6D2" w14:textId="77777777" w:rsidR="00FF0954" w:rsidRDefault="00000000">
            <w:r>
              <w:rPr>
                <w:color w:val="333333"/>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AD78B" w14:textId="77777777" w:rsidR="00FF0954" w:rsidRDefault="00000000">
            <w:r>
              <w:rPr>
                <w:color w:val="333333"/>
              </w:rPr>
              <w:t>N/A</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BAFB6" w14:textId="77777777" w:rsidR="00FF0954" w:rsidRDefault="00000000">
            <w:r>
              <w:rPr>
                <w:color w:val="333333"/>
              </w:rPr>
              <w:t>Not applicable. Product company, not benchmark provider.</w:t>
            </w:r>
          </w:p>
        </w:tc>
      </w:tr>
      <w:tr w:rsidR="00FF0954" w14:paraId="0AB4DC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502A8CB" w14:textId="77777777" w:rsidR="00FF0954" w:rsidRDefault="00000000">
            <w:r>
              <w:rPr>
                <w:color w:val="333333"/>
              </w:rPr>
              <w:t>3. Contributed Data Network</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21234F0" w14:textId="77777777" w:rsidR="00FF0954" w:rsidRDefault="00000000">
            <w:r>
              <w:rPr>
                <w:color w:val="333333"/>
              </w:rPr>
              <w:t>Yes</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F858FB7" w14:textId="77777777" w:rsidR="00FF0954" w:rsidRDefault="00000000">
            <w:r>
              <w:rPr>
                <w:color w:val="333333"/>
              </w:rPr>
              <w:t>2/3</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E71F9F" w14:textId="77777777" w:rsidR="00FF0954" w:rsidRDefault="00000000">
            <w:r>
              <w:rPr>
                <w:color w:val="333333"/>
              </w:rPr>
              <w:t xml:space="preserve">Foundry PDKs, 35+ years design data, customer </w:t>
            </w:r>
            <w:proofErr w:type="spellStart"/>
            <w:r>
              <w:rPr>
                <w:color w:val="333333"/>
              </w:rPr>
              <w:t>tapeout</w:t>
            </w:r>
            <w:proofErr w:type="spellEnd"/>
            <w:r>
              <w:rPr>
                <w:color w:val="333333"/>
              </w:rPr>
              <w:t xml:space="preserve"> data.</w:t>
            </w:r>
          </w:p>
        </w:tc>
      </w:tr>
      <w:tr w:rsidR="00FF0954" w14:paraId="20C6CC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837C2" w14:textId="77777777" w:rsidR="00FF0954" w:rsidRDefault="00000000">
            <w:r>
              <w:rPr>
                <w:color w:val="333333"/>
              </w:rPr>
              <w:t>4. Passive Capital Gravity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FF4A8" w14:textId="77777777" w:rsidR="00FF0954" w:rsidRDefault="00000000">
            <w:r>
              <w:rPr>
                <w:color w:val="333333"/>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98915" w14:textId="77777777" w:rsidR="00FF0954" w:rsidRDefault="00000000">
            <w:r>
              <w:rPr>
                <w:color w:val="333333"/>
              </w:rPr>
              <w:t>N/A</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C9903" w14:textId="77777777" w:rsidR="00FF0954" w:rsidRDefault="00000000">
            <w:r>
              <w:rPr>
                <w:color w:val="333333"/>
              </w:rPr>
              <w:t>Not applicable. Not an index provider.</w:t>
            </w:r>
          </w:p>
        </w:tc>
      </w:tr>
      <w:tr w:rsidR="00FF0954" w14:paraId="05B85E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5977E83" w14:textId="77777777" w:rsidR="00FF0954" w:rsidRDefault="00000000">
            <w:r>
              <w:rPr>
                <w:color w:val="333333"/>
              </w:rPr>
              <w:t>5. Historical Depth</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FDD1C57" w14:textId="77777777" w:rsidR="00FF0954" w:rsidRDefault="00000000">
            <w:r>
              <w:rPr>
                <w:color w:val="333333"/>
              </w:rPr>
              <w:t>Yes</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0950AA7" w14:textId="77777777" w:rsidR="00FF0954" w:rsidRDefault="00000000">
            <w:r>
              <w:rPr>
                <w:color w:val="333333"/>
              </w:rPr>
              <w:t>2/3</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0C6625C" w14:textId="77777777" w:rsidR="00FF0954" w:rsidRDefault="00000000">
            <w:r>
              <w:rPr>
                <w:color w:val="333333"/>
              </w:rPr>
              <w:t xml:space="preserve">35+ years calibration data. Process </w:t>
            </w:r>
            <w:proofErr w:type="gramStart"/>
            <w:r>
              <w:rPr>
                <w:color w:val="333333"/>
              </w:rPr>
              <w:t>node</w:t>
            </w:r>
            <w:proofErr w:type="gramEnd"/>
            <w:r>
              <w:rPr>
                <w:color w:val="333333"/>
              </w:rPr>
              <w:t xml:space="preserve"> libraries.</w:t>
            </w:r>
          </w:p>
        </w:tc>
      </w:tr>
    </w:tbl>
    <w:p w14:paraId="0D099778" w14:textId="77777777" w:rsidR="00FF0954" w:rsidRDefault="00000000">
      <w:pPr>
        <w:spacing w:before="200" w:after="120"/>
      </w:pPr>
      <w:r>
        <w:rPr>
          <w:b/>
          <w:bCs/>
          <w:color w:val="1B3A5C"/>
          <w:sz w:val="22"/>
          <w:szCs w:val="22"/>
        </w:rPr>
        <w:t>AI Disruption Vectors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60"/>
        <w:gridCol w:w="1400"/>
        <w:gridCol w:w="3200"/>
      </w:tblGrid>
      <w:tr w:rsidR="00FF0954" w14:paraId="7C24BAA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4047D1B" w14:textId="77777777" w:rsidR="00FF0954" w:rsidRDefault="00000000">
            <w:r>
              <w:rPr>
                <w:b/>
                <w:bCs/>
                <w:color w:val="FFFFFF"/>
              </w:rPr>
              <w:t>Vector</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B405C95" w14:textId="77777777" w:rsidR="00FF0954" w:rsidRDefault="00000000">
            <w:r>
              <w:rPr>
                <w:b/>
                <w:bCs/>
                <w:color w:val="FFFFFF"/>
              </w:rPr>
              <w:t>Vulnerability</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F2CAFEB" w14:textId="77777777" w:rsidR="00FF0954" w:rsidRDefault="00000000">
            <w:r>
              <w:rPr>
                <w:b/>
                <w:bCs/>
                <w:color w:val="FFFFFF"/>
              </w:rPr>
              <w:t>Rev at Risk</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065CAE0" w14:textId="77777777" w:rsidR="00FF0954" w:rsidRDefault="00000000">
            <w:r>
              <w:rPr>
                <w:b/>
                <w:bCs/>
                <w:color w:val="FFFFFF"/>
              </w:rPr>
              <w:t>Key Evidence</w:t>
            </w:r>
          </w:p>
        </w:tc>
      </w:tr>
      <w:tr w:rsidR="00FF0954" w14:paraId="280C248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818A8BA" w14:textId="77777777" w:rsidR="00FF0954" w:rsidRDefault="00000000">
            <w:r>
              <w:rPr>
                <w:color w:val="333333"/>
              </w:rPr>
              <w:t>A. Structuring Layer Commoditization</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50DB352" w14:textId="77777777" w:rsidR="00FF0954" w:rsidRDefault="00000000">
            <w:r>
              <w:rPr>
                <w:color w:val="333333"/>
              </w:rPr>
              <w:t>Low</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A54322" w14:textId="77777777" w:rsidR="00FF0954" w:rsidRDefault="00000000">
            <w:r>
              <w:rPr>
                <w:color w:val="333333"/>
              </w:rPr>
              <w:t>&lt;5%</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40D29DF" w14:textId="77777777" w:rsidR="00FF0954" w:rsidRDefault="00000000">
            <w:r>
              <w:rPr>
                <w:color w:val="333333"/>
              </w:rPr>
              <w:t>Physics engines are deterministic, not structuring. AI augments.</w:t>
            </w:r>
          </w:p>
        </w:tc>
      </w:tr>
      <w:tr w:rsidR="00FF0954" w14:paraId="73B7116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24B0C" w14:textId="77777777" w:rsidR="00FF0954" w:rsidRDefault="00000000">
            <w:r>
              <w:rPr>
                <w:color w:val="333333"/>
              </w:rPr>
              <w:t>B. Alternative Creation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5FCCD" w14:textId="77777777" w:rsidR="00FF0954" w:rsidRDefault="00000000">
            <w:r>
              <w:rPr>
                <w:color w:val="333333"/>
              </w:rPr>
              <w:t>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01E9C" w14:textId="77777777" w:rsidR="00FF0954" w:rsidRDefault="00000000">
            <w:r>
              <w:rPr>
                <w:color w:val="333333"/>
              </w:rPr>
              <w:t>&lt;5%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33437" w14:textId="77777777" w:rsidR="00FF0954" w:rsidRDefault="00000000">
            <w:r>
              <w:rPr>
                <w:color w:val="333333"/>
              </w:rPr>
              <w:t xml:space="preserve">No full-flow alternative. </w:t>
            </w:r>
            <w:proofErr w:type="gramStart"/>
            <w:r>
              <w:rPr>
                <w:color w:val="333333"/>
              </w:rPr>
              <w:t>10-15 year</w:t>
            </w:r>
            <w:proofErr w:type="gramEnd"/>
            <w:r>
              <w:rPr>
                <w:color w:val="333333"/>
              </w:rPr>
              <w:t xml:space="preserve"> barrier to foundry cert.</w:t>
            </w:r>
          </w:p>
        </w:tc>
      </w:tr>
      <w:tr w:rsidR="00FF0954" w14:paraId="5665BB0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12353CA" w14:textId="77777777" w:rsidR="00FF0954" w:rsidRDefault="00000000">
            <w:r>
              <w:rPr>
                <w:color w:val="333333"/>
              </w:rPr>
              <w:t>C. Delivery Model Disruption</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3524F36" w14:textId="77777777" w:rsidR="00FF0954" w:rsidRDefault="00000000">
            <w:r>
              <w:rPr>
                <w:color w:val="333333"/>
              </w:rPr>
              <w:t>Low–Medium</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B5BADD" w14:textId="77777777" w:rsidR="00FF0954" w:rsidRDefault="00000000">
            <w:r>
              <w:rPr>
                <w:color w:val="333333"/>
              </w:rPr>
              <w:t>10–15%</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CE6782" w14:textId="77777777" w:rsidR="00FF0954" w:rsidRDefault="00000000">
            <w:r>
              <w:rPr>
                <w:color w:val="333333"/>
              </w:rPr>
              <w:t>AI productivity may reduce seats; offset by complexity growth.</w:t>
            </w:r>
          </w:p>
        </w:tc>
      </w:tr>
    </w:tbl>
    <w:p w14:paraId="17C58684" w14:textId="77777777" w:rsidR="00FF0954" w:rsidRDefault="00000000">
      <w:pPr>
        <w:spacing w:before="200" w:after="120"/>
      </w:pPr>
      <w:r>
        <w:rPr>
          <w:b/>
          <w:bCs/>
          <w:color w:val="1B3A5C"/>
          <w:sz w:val="22"/>
          <w:szCs w:val="22"/>
        </w:rPr>
        <w:t>Three-Question Score</w:t>
      </w:r>
    </w:p>
    <w:p w14:paraId="0FC6308D" w14:textId="77777777" w:rsidR="00FF0954" w:rsidRDefault="00000000">
      <w:pPr>
        <w:spacing w:before="60" w:after="60"/>
      </w:pPr>
      <w:r>
        <w:rPr>
          <w:b/>
          <w:bCs/>
          <w:color w:val="1B3A5C"/>
        </w:rPr>
        <w:t xml:space="preserve">Q1 — Legal/regulatory force: </w:t>
      </w:r>
      <w:r>
        <w:rPr>
          <w:color w:val="333333"/>
        </w:rPr>
        <w:t>Partial. No legal mandate, but foundry certification creates process-level lock-in that functions similarly. Customer contracts span multi-year terms.</w:t>
      </w:r>
    </w:p>
    <w:p w14:paraId="41414659" w14:textId="77777777" w:rsidR="00FF0954" w:rsidRDefault="00000000">
      <w:pPr>
        <w:spacing w:before="60" w:after="60"/>
      </w:pPr>
      <w:r>
        <w:rPr>
          <w:b/>
          <w:bCs/>
          <w:color w:val="1B3A5C"/>
        </w:rPr>
        <w:t xml:space="preserve">Q2 — </w:t>
      </w:r>
      <w:proofErr w:type="gramStart"/>
      <w:r>
        <w:rPr>
          <w:b/>
          <w:bCs/>
          <w:color w:val="1B3A5C"/>
        </w:rPr>
        <w:t>Non-replicable</w:t>
      </w:r>
      <w:proofErr w:type="gramEnd"/>
      <w:r>
        <w:rPr>
          <w:b/>
          <w:bCs/>
          <w:color w:val="1B3A5C"/>
        </w:rPr>
        <w:t xml:space="preserve"> data: </w:t>
      </w:r>
      <w:r>
        <w:rPr>
          <w:color w:val="333333"/>
        </w:rPr>
        <w:t xml:space="preserve">Yes. Foundry PDKs under NDA, 35+ years of design calibration data, customer </w:t>
      </w:r>
      <w:proofErr w:type="spellStart"/>
      <w:r>
        <w:rPr>
          <w:color w:val="333333"/>
        </w:rPr>
        <w:t>tapeout</w:t>
      </w:r>
      <w:proofErr w:type="spellEnd"/>
      <w:r>
        <w:rPr>
          <w:color w:val="333333"/>
        </w:rPr>
        <w:t xml:space="preserve"> data training AI tools. Cannot be replicated by AI startup.</w:t>
      </w:r>
    </w:p>
    <w:p w14:paraId="003495DC" w14:textId="77777777" w:rsidR="00FF0954" w:rsidRDefault="00000000">
      <w:pPr>
        <w:spacing w:before="60" w:after="60"/>
      </w:pPr>
      <w:r>
        <w:rPr>
          <w:b/>
          <w:bCs/>
          <w:color w:val="1B3A5C"/>
        </w:rPr>
        <w:t xml:space="preserve">Q3 — Structural infrastructure embedding: </w:t>
      </w:r>
      <w:r>
        <w:rPr>
          <w:color w:val="333333"/>
        </w:rPr>
        <w:t>Yes. Every advanced chip in the world is designed using Cadence and/or Synopsys tools. Displacement requires rebuilding the entire semiconductor design ecosystem.</w:t>
      </w:r>
    </w:p>
    <w:p w14:paraId="7C65BE02" w14:textId="77777777" w:rsidR="00FF0954" w:rsidRDefault="00000000">
      <w:pPr>
        <w:spacing w:before="60" w:after="60"/>
      </w:pPr>
      <w:r>
        <w:rPr>
          <w:b/>
          <w:bCs/>
          <w:color w:val="1B3A5C"/>
        </w:rPr>
        <w:t xml:space="preserve">Three-Question Score: </w:t>
      </w:r>
      <w:r>
        <w:rPr>
          <w:color w:val="333333"/>
        </w:rPr>
        <w:t>2.5 / 3</w:t>
      </w:r>
    </w:p>
    <w:p w14:paraId="66374F8E" w14:textId="77777777" w:rsidR="00FF0954" w:rsidRDefault="00000000">
      <w:pPr>
        <w:spacing w:before="200" w:after="120"/>
      </w:pPr>
      <w:r>
        <w:rPr>
          <w:b/>
          <w:bCs/>
          <w:color w:val="1B3A5C"/>
          <w:sz w:val="22"/>
          <w:szCs w:val="22"/>
        </w:rPr>
        <w:t>Critical Finding</w:t>
      </w:r>
    </w:p>
    <w:p w14:paraId="72F3FA56" w14:textId="77777777" w:rsidR="00FF0954" w:rsidRDefault="00000000">
      <w:pPr>
        <w:spacing w:before="60" w:after="60"/>
      </w:pPr>
      <w:r>
        <w:rPr>
          <w:color w:val="333333"/>
        </w:rPr>
        <w:t xml:space="preserve">Cadence’s moat is NOT the classic data infrastructure moat (regulatory designation, benchmark authority, index licensing). It is a COMPUTATIONAL INFRASTRUCTURE moat: switching costs so extreme that customers measure relationships in decades, contributed data so proprietary (foundry PDKs) that replication is impossible, and historical depth so deep that no startup can catch up. The framework’s 5-moat taxonomy only partially captures this — Cadence scores highest on Contributed Data and Historical Depth, which together </w:t>
      </w:r>
      <w:proofErr w:type="gramStart"/>
      <w:r>
        <w:rPr>
          <w:color w:val="333333"/>
        </w:rPr>
        <w:t>create</w:t>
      </w:r>
      <w:proofErr w:type="gramEnd"/>
      <w:r>
        <w:rPr>
          <w:color w:val="333333"/>
        </w:rPr>
        <w:t xml:space="preserve"> the equivalent of a regulatory moat without legal mandate.</w:t>
      </w:r>
    </w:p>
    <w:p w14:paraId="14D7A9D5" w14:textId="77777777" w:rsidR="00FF0954" w:rsidRDefault="00000000">
      <w:pPr>
        <w:spacing w:before="200" w:after="120"/>
      </w:pPr>
      <w:r>
        <w:rPr>
          <w:b/>
          <w:bCs/>
          <w:color w:val="1B3A5C"/>
          <w:sz w:val="22"/>
          <w:szCs w:val="22"/>
        </w:rPr>
        <w:t>Moats Under Threat</w:t>
      </w:r>
    </w:p>
    <w:p w14:paraId="309B1C22" w14:textId="77777777" w:rsidR="00FF0954" w:rsidRDefault="00000000">
      <w:pPr>
        <w:spacing w:before="60" w:after="60"/>
      </w:pPr>
      <w:r>
        <w:rPr>
          <w:color w:val="333333"/>
        </w:rPr>
        <w:lastRenderedPageBreak/>
        <w:t xml:space="preserve">The delivery model faces modest threat: AI-driven productivity improvements could reduce per-engineer seat counts, </w:t>
      </w:r>
      <w:proofErr w:type="gramStart"/>
      <w:r>
        <w:rPr>
          <w:color w:val="333333"/>
        </w:rPr>
        <w:t>creating pricing</w:t>
      </w:r>
      <w:proofErr w:type="gramEnd"/>
      <w:r>
        <w:rPr>
          <w:color w:val="333333"/>
        </w:rPr>
        <w:t xml:space="preserve"> pressure on the subscription model. This represents ~10–15% of revenue at risk over 5–10 years, fully offset by increasing chip design complexity driving more total tool usage.</w:t>
      </w:r>
    </w:p>
    <w:p w14:paraId="49931054" w14:textId="77777777" w:rsidR="00FF0954" w:rsidRDefault="00000000">
      <w:pPr>
        <w:spacing w:before="200" w:after="120"/>
      </w:pPr>
      <w:r>
        <w:rPr>
          <w:b/>
          <w:bCs/>
          <w:color w:val="1B3A5C"/>
          <w:sz w:val="22"/>
          <w:szCs w:val="22"/>
        </w:rPr>
        <w:t>Moats Holding</w:t>
      </w:r>
    </w:p>
    <w:p w14:paraId="29E64766" w14:textId="77777777" w:rsidR="00FF0954" w:rsidRDefault="00000000">
      <w:pPr>
        <w:spacing w:before="60" w:after="60"/>
      </w:pPr>
      <w:r>
        <w:rPr>
          <w:color w:val="333333"/>
        </w:rPr>
        <w:t>Foundry certification lock-in, contributed PDK data, switching costs (20+ year customer lifetimes, near-100% retention), physics-engine computational moat, and 35+ years of accumulated design libraries. None of these can be touched by AI.</w:t>
      </w:r>
    </w:p>
    <w:p w14:paraId="024DE894" w14:textId="77777777" w:rsidR="00FF0954" w:rsidRDefault="00000000">
      <w:pPr>
        <w:spacing w:before="200" w:after="120"/>
      </w:pPr>
      <w:r>
        <w:rPr>
          <w:b/>
          <w:bCs/>
          <w:color w:val="1B3A5C"/>
          <w:sz w:val="22"/>
          <w:szCs w:val="22"/>
        </w:rPr>
        <w:t>Red Flags for Stage 2</w:t>
      </w:r>
    </w:p>
    <w:p w14:paraId="01E0250D" w14:textId="77777777" w:rsidR="00FF0954" w:rsidRDefault="00000000">
      <w:pPr>
        <w:spacing w:before="60" w:after="60"/>
      </w:pPr>
      <w:r>
        <w:rPr>
          <w:color w:val="333333"/>
        </w:rPr>
        <w:t>1. China geopolitical risk: 13% of revenue from a market subject to sudden export control changes. Three-year DOJ/BIS probation creates additional compliance friction.</w:t>
      </w:r>
    </w:p>
    <w:p w14:paraId="0EFA0871" w14:textId="77777777" w:rsidR="00FF0954" w:rsidRDefault="00000000">
      <w:pPr>
        <w:spacing w:before="60" w:after="60"/>
      </w:pPr>
      <w:r>
        <w:rPr>
          <w:color w:val="333333"/>
        </w:rPr>
        <w:t>2. Valuation premium: At ~$77B market cap on ~$5.3B trailing revenue (~14.5x) and ~73x trailing P/E, significant execution risk is priced in.</w:t>
      </w:r>
    </w:p>
    <w:p w14:paraId="2922A1AD" w14:textId="77777777" w:rsidR="00FF0954" w:rsidRDefault="00000000">
      <w:pPr>
        <w:spacing w:before="60" w:after="60"/>
      </w:pPr>
      <w:r>
        <w:rPr>
          <w:color w:val="333333"/>
        </w:rPr>
        <w:t>3. Hexagon D&amp;E integration risk: €2.7B acquisition adds structural simulation but is dilutive in 2026. Extends Cadence beyond core EDA competence.</w:t>
      </w:r>
    </w:p>
    <w:p w14:paraId="30A138C4" w14:textId="77777777" w:rsidR="00FF0954" w:rsidRDefault="00000000">
      <w:pPr>
        <w:spacing w:before="200" w:after="120"/>
      </w:pPr>
      <w:r>
        <w:rPr>
          <w:b/>
          <w:bCs/>
          <w:color w:val="1B3A5C"/>
          <w:sz w:val="22"/>
          <w:szCs w:val="22"/>
        </w:rPr>
        <w:t>Pre-Screen Verdict</w:t>
      </w:r>
    </w:p>
    <w:p w14:paraId="340B9371" w14:textId="77777777" w:rsidR="00FF0954" w:rsidRDefault="00000000">
      <w:pPr>
        <w:spacing w:before="60" w:after="60"/>
      </w:pPr>
      <w:r>
        <w:rPr>
          <w:color w:val="333333"/>
        </w:rPr>
        <w:t>PROCEED TO STAGE 2 WITH HIGH CONFIDENCE in defensibility. While Cadence lacks classic data infrastructure regulatory designation (Level 3–4), its computational infrastructure moat through foundry certification, contributed PDK data, extreme switching costs, and 35+ year historical depth creates equivalent structural protection. AI is a tailwind (increasing chip complexity = more EDA demand), not a headwind. The primary risk is geopolitical, not technological.</w:t>
      </w:r>
    </w:p>
    <w:p w14:paraId="3B242088" w14:textId="77777777" w:rsidR="00FF0954" w:rsidRDefault="00000000">
      <w:r>
        <w:br w:type="page"/>
      </w:r>
    </w:p>
    <w:p w14:paraId="7400CA02" w14:textId="77777777" w:rsidR="00FF0954" w:rsidRDefault="00000000">
      <w:pPr>
        <w:pStyle w:val="Heading1"/>
      </w:pPr>
      <w:r>
        <w:lastRenderedPageBreak/>
        <w:t>STAGE 2: DATA INFRASTRUCTURE ANTIFRAGILITY ASSESSMENT</w:t>
      </w:r>
    </w:p>
    <w:p w14:paraId="5D52AF4D" w14:textId="77777777" w:rsidR="00FF0954" w:rsidRDefault="00FF0954">
      <w:pPr>
        <w:pBdr>
          <w:bottom w:val="single" w:sz="6" w:space="1" w:color="2E75B6"/>
        </w:pBdr>
        <w:spacing w:before="200" w:after="200"/>
      </w:pPr>
    </w:p>
    <w:p w14:paraId="481C117C" w14:textId="77777777" w:rsidR="00FF0954" w:rsidRDefault="00000000">
      <w:pPr>
        <w:pStyle w:val="Heading2"/>
      </w:pPr>
      <w:r>
        <w:t>Step 0: Pre-Screen Acknowledgment</w:t>
      </w:r>
    </w:p>
    <w:p w14:paraId="77D7AD31" w14:textId="77777777" w:rsidR="00FF0954" w:rsidRDefault="00000000">
      <w:pPr>
        <w:spacing w:before="60" w:after="60"/>
      </w:pPr>
      <w:r>
        <w:rPr>
          <w:b/>
          <w:bCs/>
          <w:color w:val="1B3A5C"/>
        </w:rPr>
        <w:t xml:space="preserve">Regulatory Designation Level: </w:t>
      </w:r>
      <w:r>
        <w:rPr>
          <w:color w:val="333333"/>
        </w:rPr>
        <w:t>1 (Industry standard via foundry certification)</w:t>
      </w:r>
    </w:p>
    <w:p w14:paraId="281C2744" w14:textId="77777777" w:rsidR="00FF0954" w:rsidRDefault="00000000">
      <w:pPr>
        <w:spacing w:before="60" w:after="60"/>
      </w:pPr>
      <w:r>
        <w:rPr>
          <w:b/>
          <w:bCs/>
          <w:color w:val="1B3A5C"/>
        </w:rPr>
        <w:t xml:space="preserve">Benchmark Pricing Authority: </w:t>
      </w:r>
      <w:r>
        <w:rPr>
          <w:color w:val="333333"/>
        </w:rPr>
        <w:t>No</w:t>
      </w:r>
    </w:p>
    <w:p w14:paraId="5B1B15EC" w14:textId="77777777" w:rsidR="00FF0954" w:rsidRDefault="00000000">
      <w:pPr>
        <w:spacing w:before="60" w:after="60"/>
      </w:pPr>
      <w:r>
        <w:rPr>
          <w:b/>
          <w:bCs/>
          <w:color w:val="1B3A5C"/>
        </w:rPr>
        <w:t xml:space="preserve">Contributed Data Network Score: </w:t>
      </w:r>
      <w:r>
        <w:rPr>
          <w:color w:val="333333"/>
        </w:rPr>
        <w:t>2/3</w:t>
      </w:r>
    </w:p>
    <w:p w14:paraId="3924DDBF" w14:textId="77777777" w:rsidR="00FF0954" w:rsidRDefault="00000000">
      <w:pPr>
        <w:spacing w:before="60" w:after="60"/>
      </w:pPr>
      <w:r>
        <w:rPr>
          <w:b/>
          <w:bCs/>
          <w:color w:val="1B3A5C"/>
        </w:rPr>
        <w:t xml:space="preserve">Passive Capital Gravity: </w:t>
      </w:r>
      <w:r>
        <w:rPr>
          <w:color w:val="333333"/>
        </w:rPr>
        <w:t>No</w:t>
      </w:r>
    </w:p>
    <w:p w14:paraId="565BA826" w14:textId="77777777" w:rsidR="00FF0954" w:rsidRDefault="00000000">
      <w:pPr>
        <w:spacing w:before="60" w:after="60"/>
      </w:pPr>
      <w:r>
        <w:rPr>
          <w:b/>
          <w:bCs/>
          <w:color w:val="1B3A5C"/>
        </w:rPr>
        <w:t xml:space="preserve">Historical Depth Score: </w:t>
      </w:r>
      <w:r>
        <w:rPr>
          <w:color w:val="333333"/>
        </w:rPr>
        <w:t>2/3</w:t>
      </w:r>
    </w:p>
    <w:p w14:paraId="154EA9C0" w14:textId="77777777" w:rsidR="00FF0954" w:rsidRDefault="00000000">
      <w:pPr>
        <w:spacing w:before="60" w:after="60"/>
      </w:pPr>
      <w:r>
        <w:rPr>
          <w:b/>
          <w:bCs/>
          <w:color w:val="1B3A5C"/>
        </w:rPr>
        <w:t xml:space="preserve">Three-Question Score: </w:t>
      </w:r>
      <w:r>
        <w:rPr>
          <w:color w:val="333333"/>
        </w:rPr>
        <w:t>2.5/3</w:t>
      </w:r>
    </w:p>
    <w:p w14:paraId="05D2EC77" w14:textId="77777777" w:rsidR="00FF0954" w:rsidRDefault="00000000">
      <w:pPr>
        <w:spacing w:before="60" w:after="60"/>
      </w:pPr>
      <w:r>
        <w:rPr>
          <w:b/>
          <w:bCs/>
          <w:color w:val="1B3A5C"/>
        </w:rPr>
        <w:t xml:space="preserve">AI Disruption Vectors: </w:t>
      </w:r>
      <w:r>
        <w:rPr>
          <w:color w:val="333333"/>
        </w:rPr>
        <w:t>A: Low / B: Low / C: Low–Medium</w:t>
      </w:r>
    </w:p>
    <w:p w14:paraId="07C6502D" w14:textId="77777777" w:rsidR="00FF0954" w:rsidRDefault="00000000">
      <w:pPr>
        <w:spacing w:before="60" w:after="60"/>
      </w:pPr>
      <w:r>
        <w:rPr>
          <w:b/>
          <w:bCs/>
          <w:color w:val="1B3A5C"/>
        </w:rPr>
        <w:t xml:space="preserve">Pre-Screen Verdict: </w:t>
      </w:r>
      <w:r>
        <w:rPr>
          <w:color w:val="333333"/>
        </w:rPr>
        <w:t>HIGH confidence in defensibility</w:t>
      </w:r>
    </w:p>
    <w:p w14:paraId="5DFE71A3" w14:textId="77777777" w:rsidR="00FF0954" w:rsidRDefault="00000000">
      <w:pPr>
        <w:spacing w:before="60" w:after="60"/>
      </w:pPr>
      <w:r>
        <w:rPr>
          <w:b/>
          <w:bCs/>
          <w:color w:val="1B3A5C"/>
        </w:rPr>
        <w:t xml:space="preserve">Stage 2 Starting Posture: </w:t>
      </w:r>
      <w:r>
        <w:rPr>
          <w:color w:val="333333"/>
        </w:rPr>
        <w:t xml:space="preserve">Approach scoring openly; look for genuine </w:t>
      </w:r>
      <w:proofErr w:type="gramStart"/>
      <w:r>
        <w:rPr>
          <w:color w:val="333333"/>
        </w:rPr>
        <w:t>antifragility</w:t>
      </w:r>
      <w:proofErr w:type="gramEnd"/>
      <w:r>
        <w:rPr>
          <w:color w:val="333333"/>
        </w:rPr>
        <w:t xml:space="preserve"> signals. Pre-screen confirms structural moats are real and AI is a net positive.</w:t>
      </w:r>
    </w:p>
    <w:p w14:paraId="055A6943" w14:textId="77777777" w:rsidR="00FF0954" w:rsidRDefault="00000000">
      <w:r>
        <w:br w:type="page"/>
      </w:r>
    </w:p>
    <w:p w14:paraId="7884EA28" w14:textId="77777777" w:rsidR="00FF0954" w:rsidRDefault="00000000">
      <w:pPr>
        <w:pStyle w:val="Heading2"/>
      </w:pPr>
      <w:r>
        <w:lastRenderedPageBreak/>
        <w:t>Step 2: Four-Dimension Scoring</w:t>
      </w:r>
    </w:p>
    <w:p w14:paraId="1E17F0ED" w14:textId="77777777" w:rsidR="00FF0954" w:rsidRDefault="00000000">
      <w:pPr>
        <w:spacing w:before="200" w:after="120"/>
      </w:pPr>
      <w:r>
        <w:rPr>
          <w:b/>
          <w:bCs/>
          <w:color w:val="1B3A5C"/>
          <w:sz w:val="22"/>
          <w:szCs w:val="22"/>
        </w:rPr>
        <w:t>Dimension 1: Legal &amp; Regulatory Fortress (Weight: 30%)</w:t>
      </w:r>
    </w:p>
    <w:p w14:paraId="17827942" w14:textId="77777777" w:rsidR="00FF0954" w:rsidRDefault="00000000">
      <w:pPr>
        <w:spacing w:before="60" w:after="60"/>
      </w:pPr>
      <w:r>
        <w:rPr>
          <w:color w:val="333333"/>
        </w:rPr>
        <w:t>Score: 4 / 10</w:t>
      </w:r>
    </w:p>
    <w:p w14:paraId="0372A58F" w14:textId="77777777" w:rsidR="00FF0954" w:rsidRDefault="00000000">
      <w:pPr>
        <w:spacing w:before="60" w:after="60"/>
      </w:pPr>
      <w:r>
        <w:rPr>
          <w:color w:val="333333"/>
        </w:rPr>
        <w:t>Cadence has NO formal legal or regulatory designation. No statute names Cadence EDA tools. No regulatory body controls market entry (unlike NRSRO for credit ratings). The EDA market is open to any entrant that can build competitive tools.</w:t>
      </w:r>
    </w:p>
    <w:p w14:paraId="6046047D" w14:textId="77777777" w:rsidR="00FF0954" w:rsidRDefault="00000000">
      <w:pPr>
        <w:spacing w:before="60" w:after="60"/>
      </w:pPr>
      <w:r>
        <w:rPr>
          <w:color w:val="333333"/>
        </w:rPr>
        <w:t>However, the de facto standard through foundry certification creates a functional equivalent of Level 1–2 regulatory embedding. TSMC, Samsung, and Intel will not certify chip designs against unproven EDA tools. This creates a closed market in practice — but one enforced by market structure, not law. A motivated regulatory actor could not change this; only a technological breakthrough could.</w:t>
      </w:r>
    </w:p>
    <w:p w14:paraId="79270952" w14:textId="77777777" w:rsidR="00FF0954" w:rsidRDefault="00000000">
      <w:pPr>
        <w:spacing w:before="60" w:after="60"/>
      </w:pPr>
      <w:r>
        <w:rPr>
          <w:color w:val="333333"/>
        </w:rPr>
        <w:t>The China export control dimension adds complexity. US government has used EDA as a geopolitical tool (BIS ‘is informed’ letters), effectively deputizing the duopoly as instruments of export control policy. This creates regulatory entanglement — beneficial in some ways (strategic importance) but risky in others (compliance liability, revenue disruption).</w:t>
      </w:r>
    </w:p>
    <w:p w14:paraId="699D8DCA" w14:textId="77777777" w:rsidR="00FF0954" w:rsidRDefault="00000000">
      <w:pPr>
        <w:spacing w:before="60" w:after="60"/>
      </w:pPr>
      <w:r>
        <w:rPr>
          <w:b/>
          <w:bCs/>
          <w:color w:val="1B3A5C"/>
        </w:rPr>
        <w:t xml:space="preserve">Segment divergence: </w:t>
      </w:r>
      <w:r>
        <w:rPr>
          <w:color w:val="333333"/>
        </w:rPr>
        <w:t>None — all segments operate under the same market structure without legal mandate.</w:t>
      </w:r>
    </w:p>
    <w:p w14:paraId="5C557A17" w14:textId="77777777" w:rsidR="00FF0954" w:rsidRDefault="00000000">
      <w:pPr>
        <w:spacing w:before="200" w:after="120"/>
      </w:pPr>
      <w:r>
        <w:rPr>
          <w:b/>
          <w:bCs/>
          <w:color w:val="1B3A5C"/>
          <w:sz w:val="22"/>
          <w:szCs w:val="22"/>
        </w:rPr>
        <w:t>Dimension 2: Data Non-Replicability (Weight: 30%)</w:t>
      </w:r>
    </w:p>
    <w:p w14:paraId="563999EC" w14:textId="77777777" w:rsidR="00FF0954" w:rsidRDefault="00000000">
      <w:pPr>
        <w:spacing w:before="60" w:after="60"/>
      </w:pPr>
      <w:r>
        <w:rPr>
          <w:color w:val="333333"/>
        </w:rPr>
        <w:t>Score: 7 / 10</w:t>
      </w:r>
    </w:p>
    <w:p w14:paraId="7AD2DD34" w14:textId="77777777" w:rsidR="00FF0954" w:rsidRDefault="00000000">
      <w:pPr>
        <w:spacing w:before="60" w:after="60"/>
      </w:pPr>
      <w:r>
        <w:rPr>
          <w:color w:val="333333"/>
        </w:rPr>
        <w:t>Cadence’s data moat operates through three layers that are structurally non-replicable:</w:t>
      </w:r>
    </w:p>
    <w:p w14:paraId="067D185E" w14:textId="77777777" w:rsidR="00FF0954" w:rsidRDefault="00000000">
      <w:pPr>
        <w:spacing w:before="60" w:after="60"/>
      </w:pPr>
      <w:r>
        <w:rPr>
          <w:color w:val="333333"/>
        </w:rPr>
        <w:t>First, foundry PDKs and design rule libraries are contributed under NDA by TSMC, Samsung, Intel Foundry, and others. These contain foundry-confidential manufacturing parameters that enable accurate simulation. No competitor can access this data without establishing multi-year foundry partnerships.</w:t>
      </w:r>
    </w:p>
    <w:p w14:paraId="081C8706" w14:textId="77777777" w:rsidR="00FF0954" w:rsidRDefault="00000000">
      <w:pPr>
        <w:spacing w:before="60" w:after="60"/>
      </w:pPr>
      <w:r>
        <w:rPr>
          <w:color w:val="333333"/>
        </w:rPr>
        <w:t xml:space="preserve">Second, 35+ years of accumulated customer design data — </w:t>
      </w:r>
      <w:proofErr w:type="spellStart"/>
      <w:r>
        <w:rPr>
          <w:color w:val="333333"/>
        </w:rPr>
        <w:t>tapeout</w:t>
      </w:r>
      <w:proofErr w:type="spellEnd"/>
      <w:r>
        <w:rPr>
          <w:color w:val="333333"/>
        </w:rPr>
        <w:t xml:space="preserve"> results, design optimization patterns, verification coverage data — trains Cadence’s AI tools. This data cannot be synthesized or purchased. It was generated through millions of hours of customer tool usage.</w:t>
      </w:r>
    </w:p>
    <w:p w14:paraId="49749F7C" w14:textId="77777777" w:rsidR="00FF0954" w:rsidRDefault="00000000">
      <w:pPr>
        <w:spacing w:before="60" w:after="60"/>
      </w:pPr>
      <w:r>
        <w:rPr>
          <w:color w:val="333333"/>
        </w:rPr>
        <w:t xml:space="preserve">Third, silicon-proven IP blocks are validated against real fabricated chips across multiple process nodes. This validation data spans decades and is non-replicable without </w:t>
      </w:r>
      <w:proofErr w:type="gramStart"/>
      <w:r>
        <w:rPr>
          <w:color w:val="333333"/>
        </w:rPr>
        <w:t>actually manufacturing</w:t>
      </w:r>
      <w:proofErr w:type="gramEnd"/>
      <w:r>
        <w:rPr>
          <w:color w:val="333333"/>
        </w:rPr>
        <w:t xml:space="preserve"> chips.</w:t>
      </w:r>
    </w:p>
    <w:p w14:paraId="1A173BA1" w14:textId="77777777" w:rsidR="00FF0954" w:rsidRDefault="00000000">
      <w:pPr>
        <w:spacing w:before="60" w:after="60"/>
      </w:pPr>
      <w:r>
        <w:rPr>
          <w:color w:val="333333"/>
        </w:rPr>
        <w:t>This is not quite the ‘contributed competitive intelligence’ of a Verisk (insurance claims) or FICO (credit bureau), but it is structurally non-replicable through a different mechanism: foundry partnerships and silicon validation. A well-funded AI startup could not replicate this data at any cost in less than 10–15 years.</w:t>
      </w:r>
    </w:p>
    <w:p w14:paraId="08575254" w14:textId="77777777" w:rsidR="00FF0954" w:rsidRDefault="00000000">
      <w:pPr>
        <w:spacing w:before="200" w:after="120"/>
      </w:pPr>
      <w:r>
        <w:rPr>
          <w:b/>
          <w:bCs/>
          <w:color w:val="1B3A5C"/>
          <w:sz w:val="22"/>
          <w:szCs w:val="22"/>
        </w:rPr>
        <w:t>Dimension 3: Business Model &amp; AI Adaptability (Weight: 20%)</w:t>
      </w:r>
    </w:p>
    <w:p w14:paraId="18FE14E5" w14:textId="77777777" w:rsidR="00FF0954" w:rsidRDefault="00000000">
      <w:pPr>
        <w:spacing w:before="60" w:after="60"/>
      </w:pPr>
      <w:r>
        <w:rPr>
          <w:color w:val="333333"/>
        </w:rPr>
        <w:t>Score: 9 / 10</w:t>
      </w:r>
    </w:p>
    <w:p w14:paraId="66744764" w14:textId="77777777" w:rsidR="00FF0954" w:rsidRDefault="00000000">
      <w:pPr>
        <w:spacing w:before="60" w:after="60"/>
      </w:pPr>
      <w:r>
        <w:rPr>
          <w:color w:val="333333"/>
        </w:rPr>
        <w:t xml:space="preserve">AI is unambiguously a TAILWIND for Cadence. The company is in </w:t>
      </w:r>
      <w:proofErr w:type="gramStart"/>
      <w:r>
        <w:rPr>
          <w:color w:val="333333"/>
        </w:rPr>
        <w:t>the</w:t>
      </w:r>
      <w:proofErr w:type="gramEnd"/>
      <w:r>
        <w:rPr>
          <w:color w:val="333333"/>
        </w:rPr>
        <w:t xml:space="preserve"> rare position where AI enhances both the product AND increases customer demand:</w:t>
      </w:r>
    </w:p>
    <w:p w14:paraId="15E3BBFF" w14:textId="77777777" w:rsidR="00FF0954" w:rsidRDefault="00000000">
      <w:pPr>
        <w:spacing w:before="60" w:after="60"/>
      </w:pPr>
      <w:r>
        <w:rPr>
          <w:color w:val="333333"/>
        </w:rPr>
        <w:t xml:space="preserve">Supply-side enhancement: AI-native tools (ChipStack Super Agent, </w:t>
      </w:r>
      <w:proofErr w:type="spellStart"/>
      <w:r>
        <w:rPr>
          <w:color w:val="333333"/>
        </w:rPr>
        <w:t>Cerebrus</w:t>
      </w:r>
      <w:proofErr w:type="spellEnd"/>
      <w:r>
        <w:rPr>
          <w:color w:val="333333"/>
        </w:rPr>
        <w:t xml:space="preserve">, </w:t>
      </w:r>
      <w:proofErr w:type="spellStart"/>
      <w:r>
        <w:rPr>
          <w:color w:val="333333"/>
        </w:rPr>
        <w:t>Verisium</w:t>
      </w:r>
      <w:proofErr w:type="spellEnd"/>
      <w:r>
        <w:rPr>
          <w:color w:val="333333"/>
        </w:rPr>
        <w:t xml:space="preserve">, </w:t>
      </w:r>
      <w:proofErr w:type="spellStart"/>
      <w:r>
        <w:rPr>
          <w:color w:val="333333"/>
        </w:rPr>
        <w:t>JedAI</w:t>
      </w:r>
      <w:proofErr w:type="spellEnd"/>
      <w:r>
        <w:rPr>
          <w:color w:val="333333"/>
        </w:rPr>
        <w:t xml:space="preserve">) integrate into Cadence’s existing platform, increasing tool productivity and value. Samsung reported 4x productivity improvement with Cerberus AI Studio. Altera cited 7–10x improvement. ChipStack delivers up to 10x in verification workflows. These are </w:t>
      </w:r>
      <w:proofErr w:type="gramStart"/>
      <w:r>
        <w:rPr>
          <w:color w:val="333333"/>
        </w:rPr>
        <w:t>upsell</w:t>
      </w:r>
      <w:proofErr w:type="gramEnd"/>
      <w:r>
        <w:rPr>
          <w:color w:val="333333"/>
        </w:rPr>
        <w:t xml:space="preserve"> opportunities, not cannibalization.</w:t>
      </w:r>
    </w:p>
    <w:p w14:paraId="5CAFD1FE" w14:textId="77777777" w:rsidR="00FF0954" w:rsidRDefault="00000000">
      <w:pPr>
        <w:spacing w:before="60" w:after="60"/>
      </w:pPr>
      <w:r>
        <w:rPr>
          <w:color w:val="333333"/>
        </w:rPr>
        <w:t xml:space="preserve">Demand-side amplification: The AI buildout is driving massive chip design complexity. </w:t>
      </w:r>
      <w:proofErr w:type="spellStart"/>
      <w:r>
        <w:rPr>
          <w:color w:val="333333"/>
        </w:rPr>
        <w:t>Hyperscalers</w:t>
      </w:r>
      <w:proofErr w:type="spellEnd"/>
      <w:r>
        <w:rPr>
          <w:color w:val="333333"/>
        </w:rPr>
        <w:t xml:space="preserve"> (Google TPU, Amazon </w:t>
      </w:r>
      <w:proofErr w:type="spellStart"/>
      <w:r>
        <w:rPr>
          <w:color w:val="333333"/>
        </w:rPr>
        <w:t>Trainium</w:t>
      </w:r>
      <w:proofErr w:type="spellEnd"/>
      <w:r>
        <w:rPr>
          <w:color w:val="333333"/>
        </w:rPr>
        <w:t>, Microsoft Maia, Meta MTIA) are designing custom AI accelerators that require Cadence’s most advanced tools. Every new AI chip architecture is a new EDA engagement. Hardware added 30+ new customers in 2025, with seven of the top ten purchasing both Palladium Z3 and Protium X3.</w:t>
      </w:r>
    </w:p>
    <w:p w14:paraId="6017EB7E" w14:textId="77777777" w:rsidR="00FF0954" w:rsidRDefault="00000000">
      <w:pPr>
        <w:spacing w:before="60" w:after="60"/>
      </w:pPr>
      <w:r>
        <w:rPr>
          <w:color w:val="333333"/>
        </w:rPr>
        <w:t xml:space="preserve">Business model evolution: Cadence is transitioning from pure subscription to AI-enhanced consumption. ChipStack is an incremental tool that deepens engagement. IP licensing grows as </w:t>
      </w:r>
      <w:proofErr w:type="spellStart"/>
      <w:r>
        <w:rPr>
          <w:color w:val="333333"/>
        </w:rPr>
        <w:t>chiplet</w:t>
      </w:r>
      <w:proofErr w:type="spellEnd"/>
      <w:r>
        <w:rPr>
          <w:color w:val="333333"/>
        </w:rPr>
        <w:t xml:space="preserve"> architectures increase IP block demand (+25% FY2025). The Hexagon D&amp;E acquisition extends into system-level digital twins — a new market enabled by AI simulation.</w:t>
      </w:r>
    </w:p>
    <w:p w14:paraId="10B22209" w14:textId="77777777" w:rsidR="00FF0954" w:rsidRDefault="00000000">
      <w:pPr>
        <w:spacing w:before="60" w:after="60"/>
      </w:pPr>
      <w:r>
        <w:rPr>
          <w:color w:val="333333"/>
        </w:rPr>
        <w:lastRenderedPageBreak/>
        <w:t>This is the strongest possible AI adaptability profile: the company’s proprietary data (foundry PDKs, customer design data) becomes MORE valuable as AI enables more complex designs that require more sophisticated simulation.</w:t>
      </w:r>
    </w:p>
    <w:p w14:paraId="1CD05DE8" w14:textId="77777777" w:rsidR="00FF0954" w:rsidRDefault="00000000">
      <w:pPr>
        <w:spacing w:before="200" w:after="120"/>
      </w:pPr>
      <w:r>
        <w:rPr>
          <w:b/>
          <w:bCs/>
          <w:color w:val="1B3A5C"/>
          <w:sz w:val="22"/>
          <w:szCs w:val="22"/>
        </w:rPr>
        <w:t>Dimension 4: Market Structure &amp; Competitive Position (Weight: 20%)</w:t>
      </w:r>
    </w:p>
    <w:p w14:paraId="00AF4E53" w14:textId="77777777" w:rsidR="00FF0954" w:rsidRDefault="00000000">
      <w:pPr>
        <w:spacing w:before="60" w:after="60"/>
      </w:pPr>
      <w:r>
        <w:rPr>
          <w:color w:val="333333"/>
        </w:rPr>
        <w:t>Score: 9 / 10</w:t>
      </w:r>
    </w:p>
    <w:p w14:paraId="605C6CBD" w14:textId="77777777" w:rsidR="00FF0954" w:rsidRDefault="00000000">
      <w:pPr>
        <w:spacing w:before="60" w:after="60"/>
      </w:pPr>
      <w:r>
        <w:rPr>
          <w:color w:val="333333"/>
        </w:rPr>
        <w:t>EDA is one of the most durable natural oligopolies in technology. The Cadence-Synopsys duopoly has controlled 60%+ of the market since the late 1980s. This is not a technology moat — it is a structural market feature:</w:t>
      </w:r>
    </w:p>
    <w:p w14:paraId="54C47D68" w14:textId="77777777" w:rsidR="00FF0954" w:rsidRDefault="00000000">
      <w:pPr>
        <w:spacing w:before="60" w:after="60"/>
      </w:pPr>
      <w:r>
        <w:rPr>
          <w:color w:val="333333"/>
        </w:rPr>
        <w:t>Switching costs are measured in decades. Engineering teams spend years mastering tool flows. Migrating a multi-billion-dollar chip design to a competitor’s platform is prohibitively expensive and risky. Near-100% retention rates — customers leave only when they go out of business.</w:t>
      </w:r>
    </w:p>
    <w:p w14:paraId="110BCF8F" w14:textId="77777777" w:rsidR="00FF0954" w:rsidRDefault="00000000">
      <w:pPr>
        <w:spacing w:before="60" w:after="60"/>
      </w:pPr>
      <w:r>
        <w:rPr>
          <w:color w:val="333333"/>
        </w:rPr>
        <w:t xml:space="preserve">R&amp;D barriers are immense. Cadence spent $1.8B+ on R&amp;D in FY2025. Combined </w:t>
      </w:r>
      <w:proofErr w:type="spellStart"/>
      <w:r>
        <w:rPr>
          <w:color w:val="333333"/>
        </w:rPr>
        <w:t>Cadence+Synopsys</w:t>
      </w:r>
      <w:proofErr w:type="spellEnd"/>
      <w:r>
        <w:rPr>
          <w:color w:val="333333"/>
        </w:rPr>
        <w:t xml:space="preserve"> R&amp;D headcount exceeds 17,000 engineers. A new entrant would need to invest billions over a decade to build a competitive full-flow EDA suite.</w:t>
      </w:r>
    </w:p>
    <w:p w14:paraId="0D264D16" w14:textId="77777777" w:rsidR="00FF0954" w:rsidRDefault="00000000">
      <w:pPr>
        <w:spacing w:before="60" w:after="60"/>
      </w:pPr>
      <w:r>
        <w:rPr>
          <w:color w:val="333333"/>
        </w:rPr>
        <w:t>Network effects compound: more customers → more design data → better AI tools → more customers. Foundry partnerships create additional lock-in. Most large customers use BOTH Cadence and Synopsys, eliminating winner-take-all risk.</w:t>
      </w:r>
    </w:p>
    <w:p w14:paraId="1167F7F2" w14:textId="77777777" w:rsidR="00FF0954" w:rsidRDefault="00000000">
      <w:pPr>
        <w:spacing w:before="60" w:after="60"/>
      </w:pPr>
      <w:r>
        <w:rPr>
          <w:color w:val="333333"/>
        </w:rPr>
        <w:t>Market share: Cadence ~30%, Synopsys ~31%, Siemens EDA ~13%. No meaningful new entrant in 20+ years. Open-source challenger (</w:t>
      </w:r>
      <w:proofErr w:type="spellStart"/>
      <w:r>
        <w:rPr>
          <w:color w:val="333333"/>
        </w:rPr>
        <w:t>Efabless</w:t>
      </w:r>
      <w:proofErr w:type="spellEnd"/>
      <w:r>
        <w:rPr>
          <w:color w:val="333333"/>
        </w:rPr>
        <w:t>) shut down in March 2025.</w:t>
      </w:r>
    </w:p>
    <w:p w14:paraId="5C9FC62B" w14:textId="77777777" w:rsidR="00FF0954" w:rsidRDefault="00000000">
      <w:r>
        <w:br w:type="page"/>
      </w:r>
    </w:p>
    <w:p w14:paraId="788255DB" w14:textId="77777777" w:rsidR="00FF0954" w:rsidRDefault="00000000">
      <w:pPr>
        <w:pStyle w:val="Heading2"/>
      </w:pPr>
      <w:r>
        <w:lastRenderedPageBreak/>
        <w:t>Step 3: Raw Composite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200"/>
        <w:gridCol w:w="1160"/>
        <w:gridCol w:w="3200"/>
      </w:tblGrid>
      <w:tr w:rsidR="00FF0954" w14:paraId="47032CF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B24A486" w14:textId="77777777" w:rsidR="00FF0954" w:rsidRDefault="00000000">
            <w:r>
              <w:rPr>
                <w:b/>
                <w:bCs/>
                <w:color w:val="FFFFFF"/>
              </w:rPr>
              <w:t>Dimension</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7C88D2A" w14:textId="77777777" w:rsidR="00FF0954" w:rsidRDefault="00000000">
            <w:r>
              <w:rPr>
                <w:b/>
                <w:bCs/>
                <w:color w:val="FFFFFF"/>
              </w:rPr>
              <w:t>Weight</w:t>
            </w:r>
          </w:p>
        </w:tc>
        <w:tc>
          <w:tcPr>
            <w:tcW w:w="1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3DC27A0" w14:textId="77777777" w:rsidR="00FF0954" w:rsidRDefault="00000000">
            <w:r>
              <w:rPr>
                <w:b/>
                <w:bCs/>
                <w:color w:val="FFFFFF"/>
              </w:rPr>
              <w:t>Score</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FE8F4C7" w14:textId="77777777" w:rsidR="00FF0954" w:rsidRDefault="00000000">
            <w:r>
              <w:rPr>
                <w:b/>
                <w:bCs/>
                <w:color w:val="FFFFFF"/>
              </w:rPr>
              <w:t>Weighted</w:t>
            </w:r>
          </w:p>
        </w:tc>
      </w:tr>
      <w:tr w:rsidR="00FF0954" w14:paraId="000C693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FE1D6AD" w14:textId="77777777" w:rsidR="00FF0954" w:rsidRDefault="00000000">
            <w:r>
              <w:rPr>
                <w:color w:val="333333"/>
              </w:rPr>
              <w:t>D1: Legal &amp; Regulatory Fortress</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5F592D8" w14:textId="77777777" w:rsidR="00FF0954" w:rsidRDefault="00000000">
            <w:r>
              <w:rPr>
                <w:color w:val="333333"/>
              </w:rPr>
              <w:t>30%</w:t>
            </w:r>
          </w:p>
        </w:tc>
        <w:tc>
          <w:tcPr>
            <w:tcW w:w="1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90F6D2A" w14:textId="77777777" w:rsidR="00FF0954" w:rsidRDefault="00000000">
            <w:r>
              <w:rPr>
                <w:color w:val="333333"/>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DBD87A" w14:textId="77777777" w:rsidR="00FF0954" w:rsidRDefault="00000000">
            <w:r>
              <w:rPr>
                <w:color w:val="333333"/>
              </w:rPr>
              <w:t>1.20</w:t>
            </w:r>
          </w:p>
        </w:tc>
      </w:tr>
      <w:tr w:rsidR="00FF0954" w14:paraId="70DE3AE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DDD03" w14:textId="77777777" w:rsidR="00FF0954" w:rsidRDefault="00000000">
            <w:r>
              <w:rPr>
                <w:color w:val="333333"/>
              </w:rPr>
              <w:t xml:space="preserve">D2: Data </w:t>
            </w:r>
            <w:proofErr w:type="gramStart"/>
            <w:r>
              <w:rPr>
                <w:color w:val="333333"/>
              </w:rPr>
              <w:t>Non-Replicability</w:t>
            </w:r>
            <w:proofErr w:type="gram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4C177" w14:textId="77777777" w:rsidR="00FF0954" w:rsidRDefault="00000000">
            <w:r>
              <w:rPr>
                <w:color w:val="333333"/>
              </w:rPr>
              <w:t>30%</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EBFC8" w14:textId="77777777" w:rsidR="00FF0954" w:rsidRDefault="00000000">
            <w:r>
              <w:rPr>
                <w:color w:val="333333"/>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0356D" w14:textId="77777777" w:rsidR="00FF0954" w:rsidRDefault="00000000">
            <w:r>
              <w:rPr>
                <w:color w:val="333333"/>
              </w:rPr>
              <w:t>2.10</w:t>
            </w:r>
          </w:p>
        </w:tc>
      </w:tr>
      <w:tr w:rsidR="00FF0954" w14:paraId="24C5B17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887E6B3" w14:textId="77777777" w:rsidR="00FF0954" w:rsidRDefault="00000000">
            <w:r>
              <w:rPr>
                <w:color w:val="333333"/>
              </w:rPr>
              <w:t>D3: Business Model &amp; AI Adaptability</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AA2EE1" w14:textId="77777777" w:rsidR="00FF0954" w:rsidRDefault="00000000">
            <w:r>
              <w:rPr>
                <w:color w:val="333333"/>
              </w:rPr>
              <w:t>20%</w:t>
            </w:r>
          </w:p>
        </w:tc>
        <w:tc>
          <w:tcPr>
            <w:tcW w:w="1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BD53D04" w14:textId="77777777" w:rsidR="00FF0954" w:rsidRDefault="00000000">
            <w:r>
              <w:rPr>
                <w:color w:val="333333"/>
              </w:rPr>
              <w:t>9</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E927CAD" w14:textId="77777777" w:rsidR="00FF0954" w:rsidRDefault="00000000">
            <w:r>
              <w:rPr>
                <w:color w:val="333333"/>
              </w:rPr>
              <w:t>1.80</w:t>
            </w:r>
          </w:p>
        </w:tc>
      </w:tr>
      <w:tr w:rsidR="00FF0954" w14:paraId="49E37A6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714E6" w14:textId="77777777" w:rsidR="00FF0954" w:rsidRDefault="00000000">
            <w:r>
              <w:rPr>
                <w:color w:val="333333"/>
              </w:rPr>
              <w:t>D4: Market Structure &amp; Competitive Position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9AB80" w14:textId="77777777" w:rsidR="00FF0954" w:rsidRDefault="00000000">
            <w:r>
              <w:rPr>
                <w:color w:val="333333"/>
              </w:rPr>
              <w:t>20%</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50F36" w14:textId="77777777" w:rsidR="00FF0954" w:rsidRDefault="00000000">
            <w:r>
              <w:rPr>
                <w:color w:val="333333"/>
              </w:rPr>
              <w:t>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56FEB" w14:textId="77777777" w:rsidR="00FF0954" w:rsidRDefault="00000000">
            <w:r>
              <w:rPr>
                <w:color w:val="333333"/>
              </w:rPr>
              <w:t>1.80</w:t>
            </w:r>
          </w:p>
        </w:tc>
      </w:tr>
      <w:tr w:rsidR="00FF0954" w14:paraId="520996A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DB1716" w14:textId="77777777" w:rsidR="00FF0954" w:rsidRDefault="00000000">
            <w:r>
              <w:rPr>
                <w:color w:val="333333"/>
              </w:rPr>
              <w:t>Raw Composite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1168C8" w14:textId="77777777" w:rsidR="00FF0954" w:rsidRDefault="00000000">
            <w:r>
              <w:rPr>
                <w:color w:val="333333"/>
              </w:rPr>
              <w:t>100%</w:t>
            </w:r>
          </w:p>
        </w:tc>
        <w:tc>
          <w:tcPr>
            <w:tcW w:w="1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ED8690" w14:textId="77777777" w:rsidR="00FF0954" w:rsidRDefault="00FF0954"/>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502E35" w14:textId="77777777" w:rsidR="00FF0954" w:rsidRDefault="00000000">
            <w:r>
              <w:rPr>
                <w:b/>
                <w:bCs/>
                <w:color w:val="333333"/>
              </w:rPr>
              <w:t>6.90</w:t>
            </w:r>
          </w:p>
        </w:tc>
      </w:tr>
    </w:tbl>
    <w:p w14:paraId="54E62225" w14:textId="77777777" w:rsidR="00FF0954" w:rsidRDefault="00000000">
      <w:pPr>
        <w:spacing w:before="60" w:after="60"/>
      </w:pPr>
      <w:r>
        <w:rPr>
          <w:color w:val="333333"/>
        </w:rPr>
        <w:t>Raw Classification: ROBUST (6.00–7.49) — durable moats in core segments with strong AI tailwind, but absence of formal regulatory designation caps the score.</w:t>
      </w:r>
    </w:p>
    <w:p w14:paraId="1BB8C13B" w14:textId="77777777" w:rsidR="00FF0954" w:rsidRDefault="00000000">
      <w:pPr>
        <w:spacing w:before="60" w:after="60"/>
      </w:pPr>
      <w:r>
        <w:rPr>
          <w:color w:val="333333"/>
        </w:rPr>
        <w:t>Pre-Screen Consistency Check: Pre-screen returned HIGH confidence; raw composite is Robust (not Antifragile). This is consistent — the pre-screen noted that Cadence’s moat is computational/market-structural rather than legal/regulatory. The 30% weight on D1 (Legal &amp; Regulatory Fortress) penalizes Cadence for lacking the classic data infrastructure moat type (regulatory designation), even though its actual moat is arguably stronger through market structure. This is a framework limitation when applied to EDA companies rather than financial data companies.</w:t>
      </w:r>
    </w:p>
    <w:p w14:paraId="19D9BB78" w14:textId="77777777" w:rsidR="00FF0954" w:rsidRDefault="00000000">
      <w:r>
        <w:br w:type="page"/>
      </w:r>
    </w:p>
    <w:p w14:paraId="50F9A590" w14:textId="77777777" w:rsidR="00FF0954" w:rsidRDefault="00000000">
      <w:pPr>
        <w:pStyle w:val="Heading2"/>
      </w:pPr>
      <w:r>
        <w:lastRenderedPageBreak/>
        <w:t>Step 4: Regulatory Designation Premium (RDP)</w:t>
      </w:r>
    </w:p>
    <w:p w14:paraId="14515D48" w14:textId="77777777" w:rsidR="00FF0954" w:rsidRDefault="00000000">
      <w:pPr>
        <w:spacing w:before="60" w:after="60"/>
      </w:pPr>
      <w:r>
        <w:rPr>
          <w:color w:val="333333"/>
        </w:rPr>
        <w:t>Regulatory Designation Level from Stage 1: Level 1 (Industry standard, no legal force)</w:t>
      </w:r>
    </w:p>
    <w:p w14:paraId="10745014" w14:textId="77777777" w:rsidR="00FF0954" w:rsidRDefault="00000000">
      <w:pPr>
        <w:spacing w:before="60" w:after="60"/>
      </w:pPr>
      <w:r>
        <w:rPr>
          <w:b/>
          <w:bCs/>
          <w:color w:val="1B3A5C"/>
        </w:rPr>
        <w:t xml:space="preserve">RDP Modifier: </w:t>
      </w:r>
      <w:r>
        <w:rPr>
          <w:color w:val="333333"/>
        </w:rPr>
        <w:t>+0.0 (Level 0–1 = no modifier)</w:t>
      </w:r>
    </w:p>
    <w:p w14:paraId="5930B63A" w14:textId="77777777" w:rsidR="00FF0954" w:rsidRDefault="00000000">
      <w:pPr>
        <w:spacing w:before="60" w:after="60"/>
      </w:pPr>
      <w:r>
        <w:rPr>
          <w:color w:val="333333"/>
        </w:rPr>
        <w:t>Cadence’s foundry certification creates a de facto closed market but is not recognized by this framework’s RDP criteria, which specifically requires legal mandate or contractual boilerplate referencing. This is the framework’s primary limitation when applied to computational infrastructure companies vs. financial data companies.</w:t>
      </w:r>
    </w:p>
    <w:p w14:paraId="3CCBBA4B" w14:textId="77777777" w:rsidR="00FF0954" w:rsidRDefault="00000000">
      <w:pPr>
        <w:spacing w:before="60" w:after="60"/>
      </w:pPr>
      <w:r>
        <w:rPr>
          <w:b/>
          <w:bCs/>
          <w:color w:val="1B3A5C"/>
        </w:rPr>
        <w:t xml:space="preserve">RDP Expiration: </w:t>
      </w:r>
      <w:r>
        <w:rPr>
          <w:color w:val="333333"/>
        </w:rPr>
        <w:t>N/A — no regulatory designation to expire. The market-structural moat has persisted for 35+ years and shows no signs of weakening.</w:t>
      </w:r>
    </w:p>
    <w:p w14:paraId="6EB6A64F" w14:textId="77777777" w:rsidR="00FF0954" w:rsidRDefault="00000000">
      <w:pPr>
        <w:spacing w:before="60" w:after="60"/>
      </w:pPr>
      <w:r>
        <w:rPr>
          <w:b/>
          <w:bCs/>
          <w:color w:val="1B3A5C"/>
        </w:rPr>
        <w:t xml:space="preserve">Legislative risk: </w:t>
      </w:r>
      <w:r>
        <w:rPr>
          <w:color w:val="333333"/>
        </w:rPr>
        <w:t>None domestic. China export control risk is geopolitical, not legislative threat to the moat itself.</w:t>
      </w:r>
    </w:p>
    <w:p w14:paraId="70172772" w14:textId="77777777" w:rsidR="00FF0954" w:rsidRDefault="00000000">
      <w:pPr>
        <w:pStyle w:val="Heading2"/>
      </w:pPr>
      <w:r>
        <w:t>Step 5: Counter-Positioning Potential (CPP)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060"/>
        <w:gridCol w:w="3800"/>
      </w:tblGrid>
      <w:tr w:rsidR="00FF0954" w14:paraId="7E61B4EC"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3513F45" w14:textId="77777777" w:rsidR="00FF0954" w:rsidRDefault="00000000">
            <w:r>
              <w:rPr>
                <w:b/>
                <w:bCs/>
                <w:color w:val="FFFFFF"/>
              </w:rPr>
              <w:t>Criterion</w:t>
            </w:r>
          </w:p>
        </w:tc>
        <w:tc>
          <w:tcPr>
            <w:tcW w:w="10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EF5017A" w14:textId="77777777" w:rsidR="00FF0954" w:rsidRDefault="00000000">
            <w:r>
              <w:rPr>
                <w:b/>
                <w:bCs/>
                <w:color w:val="FFFFFF"/>
              </w:rPr>
              <w:t>Score</w:t>
            </w:r>
          </w:p>
        </w:tc>
        <w:tc>
          <w:tcPr>
            <w:tcW w:w="3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8465CC5" w14:textId="77777777" w:rsidR="00FF0954" w:rsidRDefault="00000000">
            <w:r>
              <w:rPr>
                <w:b/>
                <w:bCs/>
                <w:color w:val="FFFFFF"/>
              </w:rPr>
              <w:t>Evidence</w:t>
            </w:r>
          </w:p>
        </w:tc>
      </w:tr>
      <w:tr w:rsidR="00FF0954" w14:paraId="2012A7B0"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566CD41" w14:textId="77777777" w:rsidR="00FF0954" w:rsidRDefault="00000000">
            <w:r>
              <w:rPr>
                <w:color w:val="333333"/>
              </w:rPr>
              <w:t>1. AI-native product with consumption pricing</w:t>
            </w:r>
          </w:p>
        </w:tc>
        <w:tc>
          <w:tcPr>
            <w:tcW w:w="10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3DCF27B" w14:textId="77777777" w:rsidR="00FF0954" w:rsidRDefault="00000000">
            <w:r>
              <w:rPr>
                <w:color w:val="333333"/>
              </w:rPr>
              <w:t>2/2</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E4F378B" w14:textId="77777777" w:rsidR="00FF0954" w:rsidRDefault="00000000">
            <w:r>
              <w:rPr>
                <w:color w:val="333333"/>
              </w:rPr>
              <w:t xml:space="preserve">ChipStack AI </w:t>
            </w:r>
            <w:proofErr w:type="spellStart"/>
            <w:r>
              <w:rPr>
                <w:color w:val="333333"/>
              </w:rPr>
              <w:t>Super Agent</w:t>
            </w:r>
            <w:proofErr w:type="spellEnd"/>
            <w:r>
              <w:rPr>
                <w:color w:val="333333"/>
              </w:rPr>
              <w:t xml:space="preserve"> (Feb 2026), </w:t>
            </w:r>
            <w:proofErr w:type="spellStart"/>
            <w:r>
              <w:rPr>
                <w:color w:val="333333"/>
              </w:rPr>
              <w:t>Cerebrus</w:t>
            </w:r>
            <w:proofErr w:type="spellEnd"/>
            <w:r>
              <w:rPr>
                <w:color w:val="333333"/>
              </w:rPr>
              <w:t xml:space="preserve"> AI, </w:t>
            </w:r>
            <w:proofErr w:type="spellStart"/>
            <w:r>
              <w:rPr>
                <w:color w:val="333333"/>
              </w:rPr>
              <w:t>Verisium</w:t>
            </w:r>
            <w:proofErr w:type="spellEnd"/>
            <w:r>
              <w:rPr>
                <w:color w:val="333333"/>
              </w:rPr>
              <w:t xml:space="preserve"> AI — all drive incremental consumption</w:t>
            </w:r>
          </w:p>
        </w:tc>
      </w:tr>
      <w:tr w:rsidR="00FF0954" w14:paraId="259FA5CB"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7DCC3" w14:textId="77777777" w:rsidR="00FF0954" w:rsidRDefault="00000000">
            <w:r>
              <w:rPr>
                <w:color w:val="333333"/>
              </w:rPr>
              <w:t>2. Management committed to delivery model evolution</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CE5CD" w14:textId="77777777" w:rsidR="00FF0954" w:rsidRDefault="00000000">
            <w:r>
              <w:rPr>
                <w:color w:val="333333"/>
              </w:rPr>
              <w:t>2/2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8D5D1" w14:textId="77777777" w:rsidR="00FF0954" w:rsidRDefault="00000000">
            <w:r>
              <w:rPr>
                <w:color w:val="333333"/>
              </w:rPr>
              <w:t>CEO Devgan Q4 2025: AI agents ‘increase workload faster than headcount, and Cadence monetizes workload through broad portfolio proliferation’</w:t>
            </w:r>
          </w:p>
        </w:tc>
      </w:tr>
      <w:tr w:rsidR="00FF0954" w14:paraId="0994F3D5"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8A821AD" w14:textId="77777777" w:rsidR="00FF0954" w:rsidRDefault="00000000">
            <w:r>
              <w:rPr>
                <w:color w:val="333333"/>
              </w:rPr>
              <w:t>3. AI revenue growing faster than legacy</w:t>
            </w:r>
          </w:p>
        </w:tc>
        <w:tc>
          <w:tcPr>
            <w:tcW w:w="10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520EE3E" w14:textId="77777777" w:rsidR="00FF0954" w:rsidRDefault="00000000">
            <w:r>
              <w:rPr>
                <w:color w:val="333333"/>
              </w:rPr>
              <w:t>1/2</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60BF3A" w14:textId="77777777" w:rsidR="00FF0954" w:rsidRDefault="00000000">
            <w:r>
              <w:rPr>
                <w:color w:val="333333"/>
              </w:rPr>
              <w:t xml:space="preserve">AI-driven tools adopted by Samsung, Altera, </w:t>
            </w:r>
            <w:proofErr w:type="spellStart"/>
            <w:r>
              <w:rPr>
                <w:color w:val="333333"/>
              </w:rPr>
              <w:t>Tenstorrent</w:t>
            </w:r>
            <w:proofErr w:type="spellEnd"/>
            <w:r>
              <w:rPr>
                <w:color w:val="333333"/>
              </w:rPr>
              <w:t xml:space="preserve"> with 4–10x productivity gains. Revenue attribution not separately disclosed.</w:t>
            </w:r>
          </w:p>
        </w:tc>
      </w:tr>
      <w:tr w:rsidR="00FF0954" w14:paraId="73E5BF11"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AEB1A" w14:textId="77777777" w:rsidR="00FF0954" w:rsidRDefault="00000000">
            <w:r>
              <w:rPr>
                <w:color w:val="333333"/>
              </w:rPr>
              <w:t>4. Data offered as API/feed for AI platforms</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A0B2D" w14:textId="77777777" w:rsidR="00FF0954" w:rsidRDefault="00000000">
            <w:r>
              <w:rPr>
                <w:color w:val="333333"/>
              </w:rPr>
              <w:t>1/2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BA92B" w14:textId="77777777" w:rsidR="00FF0954" w:rsidRDefault="00000000">
            <w:r>
              <w:rPr>
                <w:color w:val="333333"/>
              </w:rPr>
              <w:t>ChipStack works with frontier LLMs (OpenAI, etc.) and on-prem. Cloud EDA platform. Not yet commoditized data feed.</w:t>
            </w:r>
          </w:p>
        </w:tc>
      </w:tr>
      <w:tr w:rsidR="00FF0954" w14:paraId="7D634FE0"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FDFF752" w14:textId="77777777" w:rsidR="00FF0954" w:rsidRDefault="00000000">
            <w:r>
              <w:rPr>
                <w:color w:val="333333"/>
              </w:rPr>
              <w:t>5. R&amp;D allocated to AI vs. legacy</w:t>
            </w:r>
          </w:p>
        </w:tc>
        <w:tc>
          <w:tcPr>
            <w:tcW w:w="10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E1FE046" w14:textId="77777777" w:rsidR="00FF0954" w:rsidRDefault="00000000">
            <w:r>
              <w:rPr>
                <w:color w:val="333333"/>
              </w:rPr>
              <w:t>2/2</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7EBD552" w14:textId="77777777" w:rsidR="00FF0954" w:rsidRDefault="00000000">
            <w:proofErr w:type="spellStart"/>
            <w:r>
              <w:rPr>
                <w:color w:val="333333"/>
              </w:rPr>
              <w:t>JedAI</w:t>
            </w:r>
            <w:proofErr w:type="spellEnd"/>
            <w:r>
              <w:rPr>
                <w:color w:val="333333"/>
              </w:rPr>
              <w:t xml:space="preserve"> platform, ChipStack acquisition (Nov 2025), </w:t>
            </w:r>
            <w:proofErr w:type="spellStart"/>
            <w:r>
              <w:rPr>
                <w:color w:val="333333"/>
              </w:rPr>
              <w:t>Cerebrus</w:t>
            </w:r>
            <w:proofErr w:type="spellEnd"/>
            <w:r>
              <w:rPr>
                <w:color w:val="333333"/>
              </w:rPr>
              <w:t>, AI-augmented signoff tools. Major R&amp;D investment.</w:t>
            </w:r>
          </w:p>
        </w:tc>
      </w:tr>
      <w:tr w:rsidR="00FF0954" w14:paraId="27CCED2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4134" w14:textId="77777777" w:rsidR="00FF0954" w:rsidRDefault="00000000">
            <w:r>
              <w:rPr>
                <w:color w:val="333333"/>
              </w:rPr>
              <w:t>6. AI products using proprietary data as advantage</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E5969" w14:textId="77777777" w:rsidR="00FF0954" w:rsidRDefault="00000000">
            <w:r>
              <w:rPr>
                <w:color w:val="333333"/>
              </w:rPr>
              <w:t>2/2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8CBBD" w14:textId="77777777" w:rsidR="00FF0954" w:rsidRDefault="00000000">
            <w:r>
              <w:rPr>
                <w:color w:val="333333"/>
              </w:rPr>
              <w:t>ChipStack’s ‘Mental Model’ uses foundry-calibrated tools and customer design data. 30–40% accuracy boost vs vanilla LLMs.</w:t>
            </w:r>
          </w:p>
        </w:tc>
      </w:tr>
    </w:tbl>
    <w:p w14:paraId="7BB29C53" w14:textId="77777777" w:rsidR="00FF0954" w:rsidRDefault="00000000">
      <w:pPr>
        <w:spacing w:before="60" w:after="60"/>
      </w:pPr>
      <w:r>
        <w:rPr>
          <w:b/>
          <w:bCs/>
          <w:color w:val="1B3A5C"/>
        </w:rPr>
        <w:t xml:space="preserve">CPP Score: </w:t>
      </w:r>
      <w:r>
        <w:rPr>
          <w:color w:val="333333"/>
        </w:rPr>
        <w:t>10/12</w:t>
      </w:r>
    </w:p>
    <w:p w14:paraId="0E240DF9" w14:textId="77777777" w:rsidR="00FF0954" w:rsidRDefault="00000000">
      <w:pPr>
        <w:spacing w:before="60" w:after="60"/>
      </w:pPr>
      <w:r>
        <w:rPr>
          <w:b/>
          <w:bCs/>
          <w:color w:val="1B3A5C"/>
        </w:rPr>
        <w:t xml:space="preserve">CPP Modifier: </w:t>
      </w:r>
      <w:r>
        <w:rPr>
          <w:color w:val="333333"/>
        </w:rPr>
        <w:t>+1.0 (Strong counter-positioning)</w:t>
      </w:r>
    </w:p>
    <w:p w14:paraId="1838B9A4" w14:textId="77777777" w:rsidR="00FF0954" w:rsidRDefault="00000000">
      <w:pPr>
        <w:spacing w:before="60" w:after="60"/>
      </w:pPr>
      <w:r>
        <w:rPr>
          <w:color w:val="333333"/>
        </w:rPr>
        <w:t>Cadence is executing one of the strongest AI counter-positioning strategies in all of technology. It is not defending a legacy terminal; it is building AI-native products (ChipStack) that deepen customer dependency on Cadence’s proprietary computational engines and data. The ChipStack ‘Mental Model’ concept — grounding LLMs in Cadence’s silicon-validated design knowledge — is a textbook counter-positioning move.</w:t>
      </w:r>
    </w:p>
    <w:p w14:paraId="53367430" w14:textId="77777777" w:rsidR="00FF0954" w:rsidRDefault="00000000">
      <w:r>
        <w:br w:type="page"/>
      </w:r>
    </w:p>
    <w:p w14:paraId="6B142456" w14:textId="77777777" w:rsidR="00FF0954" w:rsidRDefault="00000000">
      <w:pPr>
        <w:pStyle w:val="Heading2"/>
      </w:pPr>
      <w:r>
        <w:lastRenderedPageBreak/>
        <w:t>Step 6: Final Composite</w:t>
      </w:r>
    </w:p>
    <w:p w14:paraId="7EC2DB58" w14:textId="77777777" w:rsidR="00FF0954" w:rsidRDefault="00000000">
      <w:pPr>
        <w:spacing w:before="60" w:after="60"/>
      </w:pPr>
      <w:r>
        <w:rPr>
          <w:b/>
          <w:bCs/>
          <w:color w:val="1B3A5C"/>
        </w:rPr>
        <w:t xml:space="preserve">Raw Composite: </w:t>
      </w:r>
      <w:r>
        <w:rPr>
          <w:color w:val="333333"/>
        </w:rPr>
        <w:t>6.90</w:t>
      </w:r>
    </w:p>
    <w:p w14:paraId="1465B296" w14:textId="77777777" w:rsidR="00FF0954" w:rsidRDefault="00000000">
      <w:pPr>
        <w:spacing w:before="60" w:after="60"/>
      </w:pPr>
      <w:r>
        <w:rPr>
          <w:b/>
          <w:bCs/>
          <w:color w:val="1B3A5C"/>
        </w:rPr>
        <w:t xml:space="preserve">RDP Modifier: </w:t>
      </w:r>
      <w:r>
        <w:rPr>
          <w:color w:val="333333"/>
        </w:rPr>
        <w:t>+0.00</w:t>
      </w:r>
    </w:p>
    <w:p w14:paraId="1C80E276" w14:textId="77777777" w:rsidR="00FF0954" w:rsidRDefault="00000000">
      <w:pPr>
        <w:spacing w:before="60" w:after="60"/>
      </w:pPr>
      <w:r>
        <w:rPr>
          <w:b/>
          <w:bCs/>
          <w:color w:val="1B3A5C"/>
        </w:rPr>
        <w:t xml:space="preserve">CPP Modifier: </w:t>
      </w:r>
      <w:r>
        <w:rPr>
          <w:color w:val="333333"/>
        </w:rPr>
        <w:t>+1.00</w:t>
      </w:r>
    </w:p>
    <w:p w14:paraId="177C84AA" w14:textId="77777777" w:rsidR="00FF0954" w:rsidRDefault="00000000">
      <w:pPr>
        <w:spacing w:before="60" w:after="60"/>
      </w:pPr>
      <w:r>
        <w:rPr>
          <w:b/>
          <w:bCs/>
          <w:color w:val="1B3A5C"/>
        </w:rPr>
        <w:t xml:space="preserve">Final Composite: </w:t>
      </w:r>
      <w:r>
        <w:rPr>
          <w:color w:val="333333"/>
        </w:rPr>
        <w:t>7.90 (capped at 10.0)</w:t>
      </w:r>
    </w:p>
    <w:p w14:paraId="1EFA1F4A" w14:textId="77777777" w:rsidR="00FF0954" w:rsidRDefault="00000000">
      <w:pPr>
        <w:pBdr>
          <w:bottom w:val="single" w:sz="8" w:space="1" w:color="1B3A5C"/>
        </w:pBdr>
        <w:spacing w:before="200" w:after="200"/>
      </w:pPr>
      <w:r>
        <w:rPr>
          <w:b/>
          <w:bCs/>
          <w:color w:val="1B3A5C"/>
          <w:sz w:val="28"/>
          <w:szCs w:val="28"/>
        </w:rPr>
        <w:t>FINAL CLASSIFICATION: ANTIFRAGILE (7.50–10.00)</w:t>
      </w:r>
    </w:p>
    <w:p w14:paraId="7C8F0FD4" w14:textId="77777777" w:rsidR="00FF0954" w:rsidRDefault="00000000">
      <w:pPr>
        <w:spacing w:before="60" w:after="60"/>
      </w:pPr>
      <w:r>
        <w:rPr>
          <w:color w:val="333333"/>
        </w:rPr>
        <w:t>The CPP modifier pushes Cadence from Robust to Antifragile. This is justified: AI genuinely makes Cadence’s products more valuable (not just defensible). The company is building AI-native products that leverage proprietary data, and AI-driven chip complexity is the single largest demand driver for the entire EDA industry. The classification change was driven by CPP, not RDP — meaning the investment thesis depends on continued AI execution, not regulatory protection.</w:t>
      </w:r>
    </w:p>
    <w:p w14:paraId="175F2FD4" w14:textId="77777777" w:rsidR="00FF0954" w:rsidRDefault="00000000">
      <w:pPr>
        <w:spacing w:before="60" w:after="60"/>
      </w:pPr>
      <w:r>
        <w:rPr>
          <w:b/>
          <w:bCs/>
          <w:color w:val="1B3A5C"/>
        </w:rPr>
        <w:t xml:space="preserve">RDP/CPP Profile: </w:t>
      </w:r>
      <w:r>
        <w:rPr>
          <w:color w:val="333333"/>
        </w:rPr>
        <w:t>Low RDP + High CPP — Aggressive AI transition without regulatory safety net. Higher transition risk, higher ceiling if execution works.</w:t>
      </w:r>
    </w:p>
    <w:p w14:paraId="39BA9C93" w14:textId="77777777" w:rsidR="00FF0954" w:rsidRDefault="00000000">
      <w:pPr>
        <w:spacing w:before="60" w:after="60"/>
      </w:pPr>
      <w:r>
        <w:rPr>
          <w:color w:val="333333"/>
        </w:rPr>
        <w:t>Note: While the framework classifies this as ‘without regulatory safety net,’ Cadence’s market-structural moat (duopoly, switching costs, foundry certification) provides a safety net that is arguably stronger than many regulatory designations — it has persisted for 35+ years without legal mandate. The framework underweights this moat type.</w:t>
      </w:r>
    </w:p>
    <w:p w14:paraId="471594F5" w14:textId="77777777" w:rsidR="00FF0954" w:rsidRDefault="00000000">
      <w:r>
        <w:br w:type="page"/>
      </w:r>
    </w:p>
    <w:p w14:paraId="220067E0" w14:textId="77777777" w:rsidR="00FF0954" w:rsidRDefault="00000000">
      <w:pPr>
        <w:pStyle w:val="Heading2"/>
      </w:pPr>
      <w:r>
        <w:lastRenderedPageBreak/>
        <w:t>Step 7: Valuation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F0954" w14:paraId="1637375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49DD34C" w14:textId="77777777" w:rsidR="00FF0954" w:rsidRDefault="00000000">
            <w:r>
              <w:rPr>
                <w:b/>
                <w:bCs/>
                <w:color w:val="FFFFFF"/>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5BFB2B2" w14:textId="77777777" w:rsidR="00FF0954" w:rsidRDefault="00000000">
            <w:r>
              <w:rPr>
                <w:b/>
                <w:bCs/>
                <w:color w:val="FFFFFF"/>
              </w:rPr>
              <w:t>Value</w:t>
            </w:r>
          </w:p>
        </w:tc>
      </w:tr>
      <w:tr w:rsidR="00FF0954" w14:paraId="1599789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F522AC4" w14:textId="77777777" w:rsidR="00FF0954" w:rsidRDefault="00000000">
            <w:r>
              <w:rPr>
                <w:color w:val="333333"/>
              </w:rPr>
              <w:t>Current Price</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E3F8335" w14:textId="77777777" w:rsidR="00FF0954" w:rsidRDefault="00000000">
            <w:r>
              <w:rPr>
                <w:color w:val="333333"/>
              </w:rPr>
              <w:t>~$283 (Mar 3, 2026)</w:t>
            </w:r>
          </w:p>
        </w:tc>
      </w:tr>
      <w:tr w:rsidR="00FF0954" w14:paraId="5C4B4CC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35DAB" w14:textId="77777777" w:rsidR="00FF0954" w:rsidRDefault="00000000">
            <w:r>
              <w:rPr>
                <w:color w:val="333333"/>
              </w:rPr>
              <w:t>Market Cap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40C9" w14:textId="77777777" w:rsidR="00FF0954" w:rsidRDefault="00000000">
            <w:r>
              <w:rPr>
                <w:color w:val="333333"/>
              </w:rPr>
              <w:t>~$77.3B</w:t>
            </w:r>
          </w:p>
        </w:tc>
      </w:tr>
      <w:tr w:rsidR="00FF0954" w14:paraId="70F6F7B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FCDBF44" w14:textId="77777777" w:rsidR="00FF0954" w:rsidRDefault="00000000">
            <w:r>
              <w:rPr>
                <w:color w:val="333333"/>
              </w:rPr>
              <w:t>EV/Revenue (LTM)</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32F8466" w14:textId="77777777" w:rsidR="00FF0954" w:rsidRDefault="00000000">
            <w:r>
              <w:rPr>
                <w:color w:val="333333"/>
              </w:rPr>
              <w:t>~14.5x ($5.3B)</w:t>
            </w:r>
          </w:p>
        </w:tc>
      </w:tr>
      <w:tr w:rsidR="00FF0954" w14:paraId="53A6017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A56AA" w14:textId="77777777" w:rsidR="00FF0954" w:rsidRDefault="00000000">
            <w:r>
              <w:rPr>
                <w:color w:val="333333"/>
              </w:rPr>
              <w:t>EV/NTM Revenue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B854F" w14:textId="77777777" w:rsidR="00FF0954" w:rsidRDefault="00000000">
            <w:r>
              <w:rPr>
                <w:color w:val="333333"/>
              </w:rPr>
              <w:t>~12.7x (~$6.1B incl. Hexagon)</w:t>
            </w:r>
          </w:p>
        </w:tc>
      </w:tr>
      <w:tr w:rsidR="00FF0954" w14:paraId="6310C31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292FCF0" w14:textId="77777777" w:rsidR="00FF0954" w:rsidRDefault="00000000">
            <w:r>
              <w:rPr>
                <w:color w:val="333333"/>
              </w:rPr>
              <w:t>Forward P/E</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BFE3A55" w14:textId="77777777" w:rsidR="00FF0954" w:rsidRDefault="00000000">
            <w:r>
              <w:rPr>
                <w:color w:val="333333"/>
              </w:rPr>
              <w:t>~34x (NTM $8.10 EPS)</w:t>
            </w:r>
          </w:p>
        </w:tc>
      </w:tr>
      <w:tr w:rsidR="00FF0954" w14:paraId="702CF87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93F12" w14:textId="77777777" w:rsidR="00FF0954" w:rsidRDefault="00000000">
            <w:r>
              <w:rPr>
                <w:color w:val="333333"/>
              </w:rPr>
              <w:t>Trailing P/E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556BB" w14:textId="77777777" w:rsidR="00FF0954" w:rsidRDefault="00000000">
            <w:r>
              <w:rPr>
                <w:color w:val="333333"/>
              </w:rPr>
              <w:t>~68–73x</w:t>
            </w:r>
          </w:p>
        </w:tc>
      </w:tr>
      <w:tr w:rsidR="00FF0954" w14:paraId="2E0F7B7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8448702" w14:textId="77777777" w:rsidR="00FF0954" w:rsidRDefault="00000000">
            <w:r>
              <w:rPr>
                <w:color w:val="333333"/>
              </w:rPr>
              <w:t>EV/EBITDA</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7FC1DC9" w14:textId="77777777" w:rsidR="00FF0954" w:rsidRDefault="00000000">
            <w:r>
              <w:rPr>
                <w:color w:val="333333"/>
              </w:rPr>
              <w:t>~41.6x</w:t>
            </w:r>
          </w:p>
        </w:tc>
      </w:tr>
      <w:tr w:rsidR="00FF0954" w14:paraId="19EC03A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15197" w14:textId="77777777" w:rsidR="00FF0954" w:rsidRDefault="00000000">
            <w:r>
              <w:rPr>
                <w:color w:val="333333"/>
              </w:rPr>
              <w:t>Non-GAAP Operating Margin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3C5E8" w14:textId="77777777" w:rsidR="00FF0954" w:rsidRDefault="00000000">
            <w:r>
              <w:rPr>
                <w:color w:val="333333"/>
              </w:rPr>
              <w:t>44.6% FY2025; 44.75–45.75% guided FY2026</w:t>
            </w:r>
          </w:p>
        </w:tc>
      </w:tr>
      <w:tr w:rsidR="00FF0954" w14:paraId="2E41A99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E5554F2" w14:textId="77777777" w:rsidR="00FF0954" w:rsidRDefault="00000000">
            <w:r>
              <w:rPr>
                <w:color w:val="333333"/>
              </w:rPr>
              <w:t>Gross Margin</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A886A0" w14:textId="77777777" w:rsidR="00FF0954" w:rsidRDefault="00000000">
            <w:r>
              <w:rPr>
                <w:color w:val="333333"/>
              </w:rPr>
              <w:t>~86%</w:t>
            </w:r>
          </w:p>
        </w:tc>
      </w:tr>
      <w:tr w:rsidR="00FF0954" w14:paraId="6E4478A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44DFE" w14:textId="77777777" w:rsidR="00FF0954" w:rsidRDefault="00000000">
            <w:r>
              <w:rPr>
                <w:color w:val="333333"/>
              </w:rPr>
              <w:t>Revenue Growth (LTM)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0C2F8" w14:textId="77777777" w:rsidR="00FF0954" w:rsidRDefault="00000000">
            <w:r>
              <w:rPr>
                <w:color w:val="333333"/>
              </w:rPr>
              <w:t>+14% FY2025</w:t>
            </w:r>
          </w:p>
        </w:tc>
      </w:tr>
      <w:tr w:rsidR="00FF0954" w14:paraId="19057B1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3D6D48C" w14:textId="77777777" w:rsidR="00FF0954" w:rsidRDefault="00000000">
            <w:r>
              <w:rPr>
                <w:color w:val="333333"/>
              </w:rPr>
              <w:t>Operating Cash Flow (FY2026E)</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3A4EC2D" w14:textId="77777777" w:rsidR="00FF0954" w:rsidRDefault="00000000">
            <w:r>
              <w:rPr>
                <w:color w:val="333333"/>
              </w:rPr>
              <w:t>~$2.0B</w:t>
            </w:r>
          </w:p>
        </w:tc>
      </w:tr>
      <w:tr w:rsidR="00FF0954" w14:paraId="2CE0CD8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F6425" w14:textId="77777777" w:rsidR="00FF0954" w:rsidRDefault="00000000">
            <w:r>
              <w:rPr>
                <w:color w:val="333333"/>
              </w:rPr>
              <w:t>ROIC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1838F" w14:textId="77777777" w:rsidR="00FF0954" w:rsidRDefault="00000000">
            <w:r>
              <w:rPr>
                <w:color w:val="333333"/>
              </w:rPr>
              <w:t>26.1%</w:t>
            </w:r>
          </w:p>
        </w:tc>
      </w:tr>
      <w:tr w:rsidR="00FF0954" w14:paraId="44FE535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73AB1CD" w14:textId="77777777" w:rsidR="00FF0954" w:rsidRDefault="00000000">
            <w:r>
              <w:rPr>
                <w:color w:val="333333"/>
              </w:rPr>
              <w:t>Debt/Equity</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C3F0EC" w14:textId="77777777" w:rsidR="00FF0954" w:rsidRDefault="00000000">
            <w:r>
              <w:rPr>
                <w:color w:val="333333"/>
              </w:rPr>
              <w:t>0.48x</w:t>
            </w:r>
          </w:p>
        </w:tc>
      </w:tr>
      <w:tr w:rsidR="00FF0954" w14:paraId="37BC82C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026FD" w14:textId="77777777" w:rsidR="00FF0954" w:rsidRDefault="00000000">
            <w:r>
              <w:rPr>
                <w:color w:val="333333"/>
              </w:rPr>
              <w:t>Altman Z-Score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4B7D0" w14:textId="77777777" w:rsidR="00FF0954" w:rsidRDefault="00000000">
            <w:r>
              <w:rPr>
                <w:color w:val="333333"/>
              </w:rPr>
              <w:t>13.54 (strong financial health)</w:t>
            </w:r>
          </w:p>
        </w:tc>
      </w:tr>
      <w:tr w:rsidR="00FF0954" w14:paraId="439B3C1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5F2BCF3" w14:textId="77777777" w:rsidR="00FF0954" w:rsidRDefault="00000000">
            <w:r>
              <w:rPr>
                <w:color w:val="333333"/>
              </w:rPr>
              <w:t>Analyst Consensus PT</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C47A53F" w14:textId="77777777" w:rsidR="00FF0954" w:rsidRDefault="00000000">
            <w:r>
              <w:rPr>
                <w:color w:val="333333"/>
              </w:rPr>
              <w:t>$390 median (range $275–$418)</w:t>
            </w:r>
          </w:p>
        </w:tc>
      </w:tr>
      <w:tr w:rsidR="00FF0954" w14:paraId="71AA473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D7F99" w14:textId="77777777" w:rsidR="00FF0954" w:rsidRDefault="00000000">
            <w:r>
              <w:rPr>
                <w:color w:val="333333"/>
              </w:rPr>
              <w:t>Backlog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4D55D" w14:textId="77777777" w:rsidR="00FF0954" w:rsidRDefault="00000000">
            <w:r>
              <w:rPr>
                <w:color w:val="333333"/>
              </w:rPr>
              <w:t>$7.8B record (67% of 2026 covered)</w:t>
            </w:r>
          </w:p>
        </w:tc>
      </w:tr>
    </w:tbl>
    <w:p w14:paraId="2C7C1C65" w14:textId="77777777" w:rsidR="00FF0954" w:rsidRDefault="00000000">
      <w:pPr>
        <w:spacing w:before="60" w:after="60"/>
      </w:pPr>
      <w:r>
        <w:rPr>
          <w:color w:val="333333"/>
        </w:rPr>
        <w:t>Valuation Gate Rule for Antifragile: Maximum EV/NTM Revenue &lt;20x</w:t>
      </w:r>
    </w:p>
    <w:p w14:paraId="305A26BC" w14:textId="77777777" w:rsidR="00FF0954" w:rsidRDefault="00000000">
      <w:pPr>
        <w:spacing w:before="60" w:after="60"/>
      </w:pPr>
      <w:r>
        <w:rPr>
          <w:color w:val="333333"/>
        </w:rPr>
        <w:t>Current EV/NTM Revenue: ~12.7x — PASS</w:t>
      </w:r>
    </w:p>
    <w:p w14:paraId="0D8CBE2F" w14:textId="77777777" w:rsidR="00FF0954" w:rsidRDefault="00000000">
      <w:pPr>
        <w:spacing w:before="60" w:after="60"/>
      </w:pPr>
      <w:r>
        <w:rPr>
          <w:color w:val="333333"/>
        </w:rPr>
        <w:t>While 12.7x NTM revenue is not cheap for an industrial software company, it is well below the 20x threshold for Antifragile classification. The forward P/E of ~34x implies mid-teens EPS growth, which is achievable given 11–13% organic revenue growth plus margin expansion plus buybacks. The 52-week range of $221–$376 shows the stock has pulled back ~25% from highs, creating a more attractive entry vs. mid-2025.</w:t>
      </w:r>
    </w:p>
    <w:p w14:paraId="6B68DA47" w14:textId="77777777" w:rsidR="00FF0954" w:rsidRDefault="00000000">
      <w:pPr>
        <w:spacing w:before="60" w:after="60"/>
      </w:pPr>
      <w:r>
        <w:rPr>
          <w:b/>
          <w:bCs/>
          <w:color w:val="1B3A5C"/>
        </w:rPr>
        <w:t xml:space="preserve">Valuation Gate: </w:t>
      </w:r>
      <w:r>
        <w:rPr>
          <w:color w:val="333333"/>
        </w:rPr>
        <w:t>PASS</w:t>
      </w:r>
    </w:p>
    <w:p w14:paraId="308AC164" w14:textId="77777777" w:rsidR="00FF0954" w:rsidRDefault="00000000">
      <w:r>
        <w:br w:type="page"/>
      </w:r>
    </w:p>
    <w:p w14:paraId="5629ECDF" w14:textId="77777777" w:rsidR="00FF0954" w:rsidRDefault="00000000">
      <w:pPr>
        <w:pStyle w:val="Heading2"/>
      </w:pPr>
      <w:r>
        <w:lastRenderedPageBreak/>
        <w:t>Step 8: Scenario Modeling</w:t>
      </w:r>
    </w:p>
    <w:p w14:paraId="21711529" w14:textId="77777777" w:rsidR="00FF0954" w:rsidRDefault="00000000">
      <w:pPr>
        <w:spacing w:before="200" w:after="120"/>
      </w:pPr>
      <w:r>
        <w:rPr>
          <w:b/>
          <w:bCs/>
          <w:color w:val="1B3A5C"/>
          <w:sz w:val="22"/>
          <w:szCs w:val="22"/>
        </w:rPr>
        <w:t xml:space="preserve">Bull Case (AI Supercycle </w:t>
      </w:r>
      <w:proofErr w:type="gramStart"/>
      <w:r>
        <w:rPr>
          <w:b/>
          <w:bCs/>
          <w:color w:val="1B3A5C"/>
          <w:sz w:val="22"/>
          <w:szCs w:val="22"/>
        </w:rPr>
        <w:t>Acceleration) —</w:t>
      </w:r>
      <w:proofErr w:type="gramEnd"/>
      <w:r>
        <w:rPr>
          <w:b/>
          <w:bCs/>
          <w:color w:val="1B3A5C"/>
          <w:sz w:val="22"/>
          <w:szCs w:val="22"/>
        </w:rPr>
        <w:t xml:space="preserve"> 30% probability</w:t>
      </w:r>
    </w:p>
    <w:p w14:paraId="0A4579D3" w14:textId="77777777" w:rsidR="00FF0954" w:rsidRDefault="00000000">
      <w:pPr>
        <w:spacing w:before="60" w:after="60"/>
      </w:pPr>
      <w:r>
        <w:rPr>
          <w:color w:val="333333"/>
        </w:rPr>
        <w:t xml:space="preserve">Mechanism: AI chip design complexity accelerates beyond current projections. </w:t>
      </w:r>
      <w:proofErr w:type="spellStart"/>
      <w:r>
        <w:rPr>
          <w:color w:val="333333"/>
        </w:rPr>
        <w:t>Hyperscalers</w:t>
      </w:r>
      <w:proofErr w:type="spellEnd"/>
      <w:r>
        <w:rPr>
          <w:color w:val="333333"/>
        </w:rPr>
        <w:t xml:space="preserve">, sovereign AI initiatives, and automotive OEMs dramatically increase custom silicon design starts. Cadence’s ChipStack AI tools command premium pricing and drive revenue per customer higher. IP licensing scales with </w:t>
      </w:r>
      <w:proofErr w:type="spellStart"/>
      <w:r>
        <w:rPr>
          <w:color w:val="333333"/>
        </w:rPr>
        <w:t>chiplet</w:t>
      </w:r>
      <w:proofErr w:type="spellEnd"/>
      <w:r>
        <w:rPr>
          <w:color w:val="333333"/>
        </w:rPr>
        <w:t xml:space="preserve"> </w:t>
      </w:r>
      <w:proofErr w:type="gramStart"/>
      <w:r>
        <w:rPr>
          <w:color w:val="333333"/>
        </w:rPr>
        <w:t>architectures</w:t>
      </w:r>
      <w:proofErr w:type="gramEnd"/>
      <w:r>
        <w:rPr>
          <w:color w:val="333333"/>
        </w:rPr>
        <w:t>. Hexagon D&amp;E creates new system-level digital twin revenue. China export controls stabilize, preserving 13% revenue.</w:t>
      </w:r>
    </w:p>
    <w:p w14:paraId="265F4269" w14:textId="77777777" w:rsidR="00FF0954" w:rsidRDefault="00000000">
      <w:pPr>
        <w:spacing w:before="60" w:after="60"/>
      </w:pPr>
      <w:r>
        <w:rPr>
          <w:color w:val="333333"/>
        </w:rPr>
        <w:t>FY2028 revenue: ~$8.5B (18% CAGR from 2025). Operating margin: 47%+. EPS: ~$12.50. At 35x P/E = ~$440 per share.</w:t>
      </w:r>
    </w:p>
    <w:p w14:paraId="2F8376CF" w14:textId="77777777" w:rsidR="00FF0954" w:rsidRDefault="00000000">
      <w:pPr>
        <w:spacing w:before="200" w:after="120"/>
      </w:pPr>
      <w:r>
        <w:rPr>
          <w:b/>
          <w:bCs/>
          <w:color w:val="1B3A5C"/>
          <w:sz w:val="22"/>
          <w:szCs w:val="22"/>
        </w:rPr>
        <w:t xml:space="preserve">Base Case (Managed </w:t>
      </w:r>
      <w:proofErr w:type="gramStart"/>
      <w:r>
        <w:rPr>
          <w:b/>
          <w:bCs/>
          <w:color w:val="1B3A5C"/>
          <w:sz w:val="22"/>
          <w:szCs w:val="22"/>
        </w:rPr>
        <w:t>Growth) —</w:t>
      </w:r>
      <w:proofErr w:type="gramEnd"/>
      <w:r>
        <w:rPr>
          <w:b/>
          <w:bCs/>
          <w:color w:val="1B3A5C"/>
          <w:sz w:val="22"/>
          <w:szCs w:val="22"/>
        </w:rPr>
        <w:t xml:space="preserve"> 50% probability</w:t>
      </w:r>
    </w:p>
    <w:p w14:paraId="6171B3AC" w14:textId="77777777" w:rsidR="00FF0954" w:rsidRDefault="00000000">
      <w:pPr>
        <w:spacing w:before="60" w:after="60"/>
      </w:pPr>
      <w:r>
        <w:rPr>
          <w:color w:val="333333"/>
        </w:rPr>
        <w:t xml:space="preserve">Mechanism: EDA industry grows at historical 10–15% rate. Cadence maintains 30% market share. AI tools gain traction but don’t transform pricing </w:t>
      </w:r>
      <w:proofErr w:type="gramStart"/>
      <w:r>
        <w:rPr>
          <w:color w:val="333333"/>
        </w:rPr>
        <w:t>model</w:t>
      </w:r>
      <w:proofErr w:type="gramEnd"/>
      <w:r>
        <w:rPr>
          <w:color w:val="333333"/>
        </w:rPr>
        <w:t>. Hexagon integrates successfully at modest growth. China revenue stable at 12–13%. Margins expand modestly.</w:t>
      </w:r>
    </w:p>
    <w:p w14:paraId="6206AA78" w14:textId="77777777" w:rsidR="00FF0954" w:rsidRDefault="00000000">
      <w:pPr>
        <w:spacing w:before="60" w:after="60"/>
      </w:pPr>
      <w:r>
        <w:rPr>
          <w:color w:val="333333"/>
        </w:rPr>
        <w:t>FY2028 revenue: ~$7.5B (14% CAGR from 2025). Operating margin: 45–46%. EPS: ~$10.50. At 32x P/E = ~$336 per share.</w:t>
      </w:r>
    </w:p>
    <w:p w14:paraId="34C6A765" w14:textId="77777777" w:rsidR="00FF0954" w:rsidRDefault="00000000">
      <w:pPr>
        <w:spacing w:before="200" w:after="120"/>
      </w:pPr>
      <w:r>
        <w:rPr>
          <w:b/>
          <w:bCs/>
          <w:color w:val="1B3A5C"/>
          <w:sz w:val="22"/>
          <w:szCs w:val="22"/>
        </w:rPr>
        <w:t xml:space="preserve">Bear Case (Geopolitical </w:t>
      </w:r>
      <w:proofErr w:type="gramStart"/>
      <w:r>
        <w:rPr>
          <w:b/>
          <w:bCs/>
          <w:color w:val="1B3A5C"/>
          <w:sz w:val="22"/>
          <w:szCs w:val="22"/>
        </w:rPr>
        <w:t>Disruption) —</w:t>
      </w:r>
      <w:proofErr w:type="gramEnd"/>
      <w:r>
        <w:rPr>
          <w:b/>
          <w:bCs/>
          <w:color w:val="1B3A5C"/>
          <w:sz w:val="22"/>
          <w:szCs w:val="22"/>
        </w:rPr>
        <w:t xml:space="preserve"> 20% probability</w:t>
      </w:r>
    </w:p>
    <w:p w14:paraId="44109373" w14:textId="77777777" w:rsidR="00FF0954" w:rsidRDefault="00000000">
      <w:pPr>
        <w:spacing w:before="60" w:after="60"/>
      </w:pPr>
      <w:r>
        <w:rPr>
          <w:color w:val="333333"/>
        </w:rPr>
        <w:t xml:space="preserve">Mechanism: US–China export controls tighten permanently, reducing China revenue to ~5% (from 13%). Semiconductor capex cycle slows. AI chip design demand decelerates as </w:t>
      </w:r>
      <w:proofErr w:type="spellStart"/>
      <w:r>
        <w:rPr>
          <w:color w:val="333333"/>
        </w:rPr>
        <w:t>hyperscaler</w:t>
      </w:r>
      <w:proofErr w:type="spellEnd"/>
      <w:r>
        <w:rPr>
          <w:color w:val="333333"/>
        </w:rPr>
        <w:t xml:space="preserve"> spending normalizes. Hexagon integration stumbles. Revenue growth slows to </w:t>
      </w:r>
      <w:proofErr w:type="gramStart"/>
      <w:r>
        <w:rPr>
          <w:color w:val="333333"/>
        </w:rPr>
        <w:t>high-single</w:t>
      </w:r>
      <w:proofErr w:type="gramEnd"/>
      <w:r>
        <w:rPr>
          <w:color w:val="333333"/>
        </w:rPr>
        <w:t>-digits.</w:t>
      </w:r>
    </w:p>
    <w:p w14:paraId="4AF580BD" w14:textId="77777777" w:rsidR="00FF0954" w:rsidRDefault="00000000">
      <w:pPr>
        <w:spacing w:before="60" w:after="60"/>
      </w:pPr>
      <w:r>
        <w:rPr>
          <w:color w:val="333333"/>
        </w:rPr>
        <w:t>FY2028 revenue: ~$6.5B (7% CAGR from 2025). Operating margin: 43%. EPS: ~$8.50. At 28x P/E = ~$238 per share.</w:t>
      </w:r>
    </w:p>
    <w:p w14:paraId="4758A3F5" w14:textId="77777777" w:rsidR="00FF0954" w:rsidRDefault="00000000">
      <w:pPr>
        <w:spacing w:before="200" w:after="120"/>
      </w:pPr>
      <w:r>
        <w:rPr>
          <w:b/>
          <w:bCs/>
          <w:color w:val="1B3A5C"/>
          <w:sz w:val="22"/>
          <w:szCs w:val="22"/>
        </w:rPr>
        <w:t>Probability-Weighted Expected Value</w:t>
      </w:r>
    </w:p>
    <w:p w14:paraId="2E96CAEB" w14:textId="77777777" w:rsidR="00FF0954" w:rsidRDefault="00000000">
      <w:pPr>
        <w:spacing w:before="60" w:after="60"/>
      </w:pPr>
      <w:r>
        <w:rPr>
          <w:color w:val="333333"/>
        </w:rPr>
        <w:t>(30% × $440) + (50% × $336) + (20% × $238) = $132 + $168 + $47.60 = ~$348</w:t>
      </w:r>
    </w:p>
    <w:p w14:paraId="69F355D6" w14:textId="77777777" w:rsidR="00FF0954" w:rsidRDefault="00000000">
      <w:pPr>
        <w:spacing w:before="60" w:after="60"/>
      </w:pPr>
      <w:r>
        <w:rPr>
          <w:b/>
          <w:bCs/>
          <w:color w:val="1B3A5C"/>
        </w:rPr>
        <w:t xml:space="preserve">Implied upside from current ~$283: </w:t>
      </w:r>
      <w:r>
        <w:rPr>
          <w:color w:val="333333"/>
        </w:rPr>
        <w:t>+23%</w:t>
      </w:r>
    </w:p>
    <w:p w14:paraId="3730E2FC" w14:textId="77777777" w:rsidR="00FF0954" w:rsidRDefault="00000000">
      <w:r>
        <w:br w:type="page"/>
      </w:r>
    </w:p>
    <w:p w14:paraId="6980BB21" w14:textId="77777777" w:rsidR="00FF0954" w:rsidRDefault="00000000">
      <w:pPr>
        <w:pStyle w:val="Heading2"/>
      </w:pPr>
      <w:r>
        <w:lastRenderedPageBreak/>
        <w:t>Step 9: Final Verdict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F0954" w14:paraId="6476D2A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A97DC2D" w14:textId="77777777" w:rsidR="00FF0954" w:rsidRDefault="00000000">
            <w:r>
              <w:rPr>
                <w:b/>
                <w:bCs/>
                <w:color w:val="FFFFFF"/>
                <w:sz w:val="22"/>
                <w:szCs w:val="22"/>
              </w:rPr>
              <w:t>Final Composite Score</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EE64F22" w14:textId="77777777" w:rsidR="00FF0954" w:rsidRDefault="00000000">
            <w:r>
              <w:rPr>
                <w:b/>
                <w:bCs/>
                <w:color w:val="FFFFFF"/>
                <w:sz w:val="22"/>
                <w:szCs w:val="22"/>
              </w:rPr>
              <w:t>7.90 — ANTIFRAGILE</w:t>
            </w:r>
          </w:p>
        </w:tc>
      </w:tr>
      <w:tr w:rsidR="00FF0954" w14:paraId="1F6EBC6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D7CEC1F" w14:textId="77777777" w:rsidR="00FF0954" w:rsidRDefault="00000000">
            <w:r>
              <w:rPr>
                <w:color w:val="333333"/>
              </w:rPr>
              <w:t>Valuation Gate</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C7B40B8" w14:textId="77777777" w:rsidR="00FF0954" w:rsidRDefault="00000000">
            <w:r>
              <w:rPr>
                <w:color w:val="333333"/>
              </w:rPr>
              <w:t>PASS (12.7x NTM &lt; 20x threshold)</w:t>
            </w:r>
          </w:p>
        </w:tc>
      </w:tr>
      <w:tr w:rsidR="00FF0954" w14:paraId="155C877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F2C29" w14:textId="77777777" w:rsidR="00FF0954" w:rsidRDefault="00000000">
            <w:r>
              <w:rPr>
                <w:color w:val="333333"/>
              </w:rPr>
              <w:t>Probability-Weighted Upside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E122F" w14:textId="77777777" w:rsidR="00FF0954" w:rsidRDefault="00000000">
            <w:r>
              <w:rPr>
                <w:color w:val="333333"/>
              </w:rPr>
              <w:t>+23% to ~$348 expected value</w:t>
            </w:r>
          </w:p>
        </w:tc>
      </w:tr>
      <w:tr w:rsidR="00FF0954" w14:paraId="028D629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9C6AE57" w14:textId="77777777" w:rsidR="00FF0954" w:rsidRDefault="00000000">
            <w:r>
              <w:rPr>
                <w:color w:val="333333"/>
              </w:rPr>
              <w:t>RDP/CPP Profile</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61AF09B" w14:textId="77777777" w:rsidR="00FF0954" w:rsidRDefault="00000000">
            <w:r>
              <w:rPr>
                <w:color w:val="333333"/>
              </w:rPr>
              <w:t>Low RDP + High CPP (AI transition without regulatory floor)</w:t>
            </w:r>
          </w:p>
        </w:tc>
      </w:tr>
    </w:tbl>
    <w:p w14:paraId="050B430D" w14:textId="77777777" w:rsidR="00FF0954" w:rsidRDefault="00000000">
      <w:pPr>
        <w:spacing w:before="200" w:after="120"/>
      </w:pPr>
      <w:r>
        <w:rPr>
          <w:b/>
          <w:bCs/>
          <w:color w:val="1B3A5C"/>
          <w:sz w:val="22"/>
          <w:szCs w:val="22"/>
        </w:rPr>
        <w:t>What the Framework Reveals</w:t>
      </w:r>
    </w:p>
    <w:p w14:paraId="1C17EC32" w14:textId="77777777" w:rsidR="00FF0954" w:rsidRDefault="00000000">
      <w:pPr>
        <w:spacing w:before="60" w:after="60"/>
      </w:pPr>
      <w:r>
        <w:rPr>
          <w:color w:val="333333"/>
        </w:rPr>
        <w:t>Cadence is an unusual case for the Data Infrastructure framework: it lacks the classic regulatory designation and benchmark authority moats that drive most Antifragile classifications in financial data companies. Instead, its Antifragile classification is driven entirely by AI counter-positioning (CPP +1.0), layered on top of strong data non-replicability and exceptional market structure. The market correctly identifies Cadence as a durable compounder (analyst consensus Buy, $390 PT) but may underappreciate the degree to which AI is a net positive for EDA specifically vs. the broader software sector where AI disruption concerns have compressed multiples.</w:t>
      </w:r>
    </w:p>
    <w:p w14:paraId="5CCCF38C" w14:textId="77777777" w:rsidR="00FF0954" w:rsidRDefault="00000000">
      <w:pPr>
        <w:spacing w:before="200" w:after="120"/>
      </w:pPr>
      <w:r>
        <w:rPr>
          <w:b/>
          <w:bCs/>
          <w:color w:val="1B3A5C"/>
          <w:sz w:val="22"/>
          <w:szCs w:val="22"/>
        </w:rPr>
        <w:t>Key Risk the Framework Cannot Resolve</w:t>
      </w:r>
    </w:p>
    <w:p w14:paraId="3DA8380F" w14:textId="77777777" w:rsidR="00FF0954" w:rsidRDefault="00000000">
      <w:pPr>
        <w:spacing w:before="60" w:after="60"/>
      </w:pPr>
      <w:r>
        <w:rPr>
          <w:color w:val="333333"/>
        </w:rPr>
        <w:t>US–China geopolitical trajectory. Cadence’s 13% China revenue exposure is manageable today, but a permanent export ban or Entity List expansion could eliminate it overnight. The DOJ/BIS guilty plea and three-year probation create additional compliance friction. The framework cannot model the probability of geopolitical escalation — this remains the single largest exogenous risk.</w:t>
      </w:r>
    </w:p>
    <w:p w14:paraId="797B72B5" w14:textId="77777777" w:rsidR="00FF0954" w:rsidRDefault="00000000">
      <w:pPr>
        <w:spacing w:before="200" w:after="120"/>
      </w:pPr>
      <w:r>
        <w:rPr>
          <w:b/>
          <w:bCs/>
          <w:color w:val="1B3A5C"/>
          <w:sz w:val="22"/>
          <w:szCs w:val="22"/>
        </w:rPr>
        <w:t>Position Sizing Guidance</w:t>
      </w:r>
    </w:p>
    <w:p w14:paraId="0FEC931A" w14:textId="77777777" w:rsidR="00FF0954" w:rsidRDefault="00000000">
      <w:pPr>
        <w:spacing w:before="60" w:after="60"/>
      </w:pPr>
      <w:r>
        <w:rPr>
          <w:color w:val="333333"/>
        </w:rPr>
        <w:t>Low RDP + High CPP profile suggests 2–4% position sizing. The absence of regulatory safety net (no legal mandate protecting revenue) means the position depends on continued execution and market-structural moat durability. The 35+ year track record of the duopoly supports the higher end of the range, but premium valuation (34x forward P/E) limits margin of safety. At current ~$283, the risk/reward is favorable vs. the $348 probability-weighted expected value. A pullback to ~$250 (28x forward) would be particularly attractive.</w:t>
      </w:r>
    </w:p>
    <w:p w14:paraId="01D3FDFA" w14:textId="77777777" w:rsidR="00FF0954" w:rsidRDefault="00000000">
      <w:pPr>
        <w:spacing w:before="200" w:after="120"/>
      </w:pPr>
      <w:r>
        <w:rPr>
          <w:b/>
          <w:bCs/>
          <w:color w:val="1B3A5C"/>
          <w:sz w:val="22"/>
          <w:szCs w:val="22"/>
        </w:rPr>
        <w:t>Kill Switch — Exit If:</w:t>
      </w:r>
    </w:p>
    <w:p w14:paraId="3CC315C5" w14:textId="77777777" w:rsidR="00FF0954" w:rsidRDefault="00000000">
      <w:pPr>
        <w:spacing w:before="60" w:after="60"/>
      </w:pPr>
      <w:r>
        <w:rPr>
          <w:color w:val="333333"/>
        </w:rPr>
        <w:t>1. US permanently bans EDA exports to China, reducing China revenue to zero (eliminating ~$700M annual revenue).</w:t>
      </w:r>
    </w:p>
    <w:p w14:paraId="2326F805" w14:textId="77777777" w:rsidR="00FF0954" w:rsidRDefault="00000000">
      <w:pPr>
        <w:spacing w:before="60" w:after="60"/>
      </w:pPr>
      <w:r>
        <w:rPr>
          <w:color w:val="333333"/>
        </w:rPr>
        <w:t xml:space="preserve">2. A credible open-source or AI-native EDA platform achieves foundry certification for production </w:t>
      </w:r>
      <w:proofErr w:type="spellStart"/>
      <w:r>
        <w:rPr>
          <w:color w:val="333333"/>
        </w:rPr>
        <w:t>tapeouts</w:t>
      </w:r>
      <w:proofErr w:type="spellEnd"/>
      <w:r>
        <w:rPr>
          <w:color w:val="333333"/>
        </w:rPr>
        <w:t xml:space="preserve"> at 3nm or below, breaking the duopoly structure.</w:t>
      </w:r>
    </w:p>
    <w:p w14:paraId="29058CF1" w14:textId="77777777" w:rsidR="00FF0954" w:rsidRDefault="00000000">
      <w:pPr>
        <w:spacing w:before="60" w:after="60"/>
      </w:pPr>
      <w:r>
        <w:rPr>
          <w:color w:val="333333"/>
        </w:rPr>
        <w:t>3. Customer retention drops below 95% for two consecutive years, signaling structural switching cost erosion.</w:t>
      </w:r>
    </w:p>
    <w:p w14:paraId="54FCCB12" w14:textId="77777777" w:rsidR="00FF0954" w:rsidRDefault="00000000">
      <w:pPr>
        <w:spacing w:before="200" w:after="120"/>
      </w:pPr>
      <w:r>
        <w:rPr>
          <w:b/>
          <w:bCs/>
          <w:color w:val="1B3A5C"/>
          <w:sz w:val="22"/>
          <w:szCs w:val="22"/>
        </w:rPr>
        <w:t>Catalysts to Watch</w:t>
      </w:r>
    </w:p>
    <w:p w14:paraId="0107635C" w14:textId="77777777" w:rsidR="00FF0954" w:rsidRDefault="00000000">
      <w:pPr>
        <w:spacing w:before="60" w:after="60"/>
      </w:pPr>
      <w:r>
        <w:rPr>
          <w:color w:val="333333"/>
        </w:rPr>
        <w:t xml:space="preserve">1. ChipStack AI </w:t>
      </w:r>
      <w:proofErr w:type="spellStart"/>
      <w:r>
        <w:rPr>
          <w:color w:val="333333"/>
        </w:rPr>
        <w:t>Super Agent</w:t>
      </w:r>
      <w:proofErr w:type="spellEnd"/>
      <w:r>
        <w:rPr>
          <w:color w:val="333333"/>
        </w:rPr>
        <w:t xml:space="preserve"> customer adoption metrics — watch for revenue contribution disclosure in Q2–Q3 2026.</w:t>
      </w:r>
    </w:p>
    <w:p w14:paraId="137B7087" w14:textId="77777777" w:rsidR="00FF0954" w:rsidRDefault="00000000">
      <w:pPr>
        <w:spacing w:before="60" w:after="60"/>
      </w:pPr>
      <w:r>
        <w:rPr>
          <w:color w:val="333333"/>
        </w:rPr>
        <w:t xml:space="preserve">2. Hexagon D&amp;E integration </w:t>
      </w:r>
      <w:proofErr w:type="gramStart"/>
      <w:r>
        <w:rPr>
          <w:color w:val="333333"/>
        </w:rPr>
        <w:t>progress —</w:t>
      </w:r>
      <w:proofErr w:type="gramEnd"/>
      <w:r>
        <w:rPr>
          <w:color w:val="333333"/>
        </w:rPr>
        <w:t xml:space="preserve"> system-level digital twin revenue traction in automotive/aerospace.</w:t>
      </w:r>
    </w:p>
    <w:p w14:paraId="0198B60D" w14:textId="77777777" w:rsidR="00FF0954" w:rsidRDefault="00000000">
      <w:pPr>
        <w:spacing w:before="60" w:after="60"/>
      </w:pPr>
      <w:r>
        <w:rPr>
          <w:color w:val="333333"/>
        </w:rPr>
        <w:t>3. US–China export control policy developments — any tightening or relaxation directly impacts 13% of revenue.</w:t>
      </w:r>
    </w:p>
    <w:p w14:paraId="5A8CC8E1" w14:textId="77777777" w:rsidR="00FF0954" w:rsidRDefault="00000000">
      <w:pPr>
        <w:spacing w:before="60" w:after="60"/>
      </w:pPr>
      <w:r>
        <w:rPr>
          <w:color w:val="333333"/>
        </w:rPr>
        <w:t>4. Synopsys-Ansys integration execution — competitive dynamics as merged SNPS+ANSS entity matures.</w:t>
      </w:r>
    </w:p>
    <w:p w14:paraId="6603521E" w14:textId="77777777" w:rsidR="00FF0954" w:rsidRDefault="00000000">
      <w:pPr>
        <w:spacing w:before="60" w:after="60"/>
      </w:pPr>
      <w:r>
        <w:rPr>
          <w:color w:val="333333"/>
        </w:rPr>
        <w:t>5. 2nm/GAA node EDA tool cycle — next major design complexity inflection driving tool demand.</w:t>
      </w:r>
    </w:p>
    <w:p w14:paraId="28722596" w14:textId="77777777" w:rsidR="00FF0954" w:rsidRDefault="00000000">
      <w:r>
        <w:lastRenderedPageBreak/>
        <w:br w:type="page"/>
      </w:r>
    </w:p>
    <w:p w14:paraId="3E18B96B" w14:textId="77777777" w:rsidR="00FF0954" w:rsidRDefault="00000000">
      <w:pPr>
        <w:pStyle w:val="Heading1"/>
      </w:pPr>
      <w:r>
        <w:lastRenderedPageBreak/>
        <w:t>VERIFICATION PASS</w:t>
      </w:r>
    </w:p>
    <w:p w14:paraId="558E141D" w14:textId="77777777" w:rsidR="00FF0954" w:rsidRDefault="00FF0954">
      <w:pPr>
        <w:pBdr>
          <w:bottom w:val="single" w:sz="6" w:space="1" w:color="2E75B6"/>
        </w:pBdr>
        <w:spacing w:before="200" w:after="200"/>
      </w:pPr>
    </w:p>
    <w:p w14:paraId="46A678FF" w14:textId="77777777" w:rsidR="00FF0954" w:rsidRDefault="00000000">
      <w:pPr>
        <w:pStyle w:val="Heading2"/>
      </w:pPr>
      <w:r>
        <w:t>Section 1: Critical Issues (Verified Errors)</w:t>
      </w:r>
    </w:p>
    <w:p w14:paraId="7B7CAE04" w14:textId="77777777" w:rsidR="00FF0954" w:rsidRDefault="00000000">
      <w:pPr>
        <w:spacing w:before="60" w:after="60"/>
      </w:pPr>
      <w:r>
        <w:rPr>
          <w:color w:val="333333"/>
        </w:rPr>
        <w:t>None identified. All financial metrics verified against Q4 2025 earnings release (Feb 17, 2026), 10-K filing, and primary sources.</w:t>
      </w:r>
    </w:p>
    <w:p w14:paraId="792CD86B" w14:textId="77777777" w:rsidR="00FF0954" w:rsidRDefault="00000000">
      <w:pPr>
        <w:pStyle w:val="Heading2"/>
      </w:pPr>
      <w:r>
        <w:t>Section 2: Unverifiable Claims (Medium Risk)</w:t>
      </w:r>
    </w:p>
    <w:p w14:paraId="48778292" w14:textId="77777777" w:rsidR="00FF0954" w:rsidRDefault="00000000">
      <w:pPr>
        <w:spacing w:before="60" w:after="60"/>
      </w:pPr>
      <w:r>
        <w:rPr>
          <w:color w:val="333333"/>
        </w:rPr>
        <w:t xml:space="preserve">1. ChipStack ‘10x productivity improvement’: Claimed by Cadence based on early access deployments. Samsung 4x and </w:t>
      </w:r>
      <w:proofErr w:type="spellStart"/>
      <w:r>
        <w:rPr>
          <w:color w:val="333333"/>
        </w:rPr>
        <w:t>Tenstorrent</w:t>
      </w:r>
      <w:proofErr w:type="spellEnd"/>
      <w:r>
        <w:rPr>
          <w:color w:val="333333"/>
        </w:rPr>
        <w:t xml:space="preserve"> 4x are </w:t>
      </w:r>
      <w:proofErr w:type="gramStart"/>
      <w:r>
        <w:rPr>
          <w:color w:val="333333"/>
        </w:rPr>
        <w:t>customer-attributed</w:t>
      </w:r>
      <w:proofErr w:type="gramEnd"/>
      <w:r>
        <w:rPr>
          <w:color w:val="333333"/>
        </w:rPr>
        <w:t>. No independent verification of 10x claim. Source to resolve: Independent customer surveys or analyst channel checks in Q2 2026.</w:t>
      </w:r>
    </w:p>
    <w:p w14:paraId="2BD90510" w14:textId="77777777" w:rsidR="00FF0954" w:rsidRDefault="00000000">
      <w:pPr>
        <w:spacing w:before="60" w:after="60"/>
      </w:pPr>
      <w:r>
        <w:rPr>
          <w:color w:val="333333"/>
        </w:rPr>
        <w:t>2. ‘Near-100% retention rates’: Widely cited industry claim but no public disclosure of specific retention metrics from Cadence. Source to resolve: Annual churn/retention data in 10-K or investor presentations.</w:t>
      </w:r>
    </w:p>
    <w:p w14:paraId="3FA4117A" w14:textId="77777777" w:rsidR="00FF0954" w:rsidRDefault="00000000">
      <w:pPr>
        <w:spacing w:before="60" w:after="60"/>
      </w:pPr>
      <w:r>
        <w:rPr>
          <w:color w:val="333333"/>
        </w:rPr>
        <w:t xml:space="preserve">3. Market share figures: Synopsys ~31%, Cadence ~30%, Siemens ~13% are industry estimates (Griffin Securities, market reports) not </w:t>
      </w:r>
      <w:proofErr w:type="gramStart"/>
      <w:r>
        <w:rPr>
          <w:color w:val="333333"/>
        </w:rPr>
        <w:t>company-disclosed</w:t>
      </w:r>
      <w:proofErr w:type="gramEnd"/>
      <w:r>
        <w:rPr>
          <w:color w:val="333333"/>
        </w:rPr>
        <w:t>. Precise figures vary by source. Source to resolve: EDA market share reports from recognized industry analysts.</w:t>
      </w:r>
    </w:p>
    <w:p w14:paraId="143F46EC" w14:textId="77777777" w:rsidR="00FF0954" w:rsidRDefault="00000000">
      <w:pPr>
        <w:pStyle w:val="Heading2"/>
      </w:pPr>
      <w:r>
        <w:t>Section 3: Verified Accurate (Spot-Check)</w:t>
      </w:r>
    </w:p>
    <w:p w14:paraId="5A9077CA" w14:textId="77777777" w:rsidR="00FF0954" w:rsidRDefault="00000000">
      <w:pPr>
        <w:spacing w:before="60" w:after="60"/>
      </w:pPr>
      <w:r>
        <w:rPr>
          <w:color w:val="333333"/>
        </w:rPr>
        <w:t xml:space="preserve">1. FY2025 revenue $5,297M (+14% </w:t>
      </w:r>
      <w:proofErr w:type="gramStart"/>
      <w:r>
        <w:rPr>
          <w:color w:val="333333"/>
        </w:rPr>
        <w:t>YoY) —</w:t>
      </w:r>
      <w:proofErr w:type="gramEnd"/>
      <w:r>
        <w:rPr>
          <w:color w:val="333333"/>
        </w:rPr>
        <w:t xml:space="preserve"> Verified via 10-K filing and Q4 earnings release.</w:t>
      </w:r>
    </w:p>
    <w:p w14:paraId="73507917" w14:textId="77777777" w:rsidR="00FF0954" w:rsidRDefault="00000000">
      <w:pPr>
        <w:spacing w:before="60" w:after="60"/>
      </w:pPr>
      <w:r>
        <w:rPr>
          <w:color w:val="333333"/>
        </w:rPr>
        <w:t>2. FY2026 guidance $5.9B–$6.0B, non-GAAP EPS $8.05–$8.15 — Verified via Q4 2025 earnings call transcript.</w:t>
      </w:r>
    </w:p>
    <w:p w14:paraId="71425918" w14:textId="77777777" w:rsidR="00FF0954" w:rsidRDefault="00000000">
      <w:pPr>
        <w:spacing w:before="60" w:after="60"/>
      </w:pPr>
      <w:r>
        <w:rPr>
          <w:color w:val="333333"/>
        </w:rPr>
        <w:t>3. Backlog $7.8B record — Verified via Q4 earnings release and 10-K.</w:t>
      </w:r>
    </w:p>
    <w:p w14:paraId="1960E3BC" w14:textId="77777777" w:rsidR="00FF0954" w:rsidRDefault="00000000">
      <w:pPr>
        <w:spacing w:before="60" w:after="60"/>
      </w:pPr>
      <w:r>
        <w:rPr>
          <w:color w:val="333333"/>
        </w:rPr>
        <w:t>4. Hexagon D&amp;E acquisition €2.7B, completed Feb 23, 2026, 70% cash / 30% stock, $160M incremental 2026 revenue — Verified via Cadence press release Feb 23, 2026.</w:t>
      </w:r>
    </w:p>
    <w:p w14:paraId="350D5A12" w14:textId="77777777" w:rsidR="00FF0954" w:rsidRDefault="00000000">
      <w:pPr>
        <w:spacing w:before="60" w:after="60"/>
      </w:pPr>
      <w:r>
        <w:rPr>
          <w:color w:val="333333"/>
        </w:rPr>
        <w:t>5. DOJ/BIS settlement $140.6M, guilty plea, three-year probation — Verified via BIS press release, DOJ filing, Cadence 8-K (July 28, 2025), and multiple law firm analyses.</w:t>
      </w:r>
    </w:p>
    <w:p w14:paraId="5C4535E9" w14:textId="77777777" w:rsidR="00FF0954" w:rsidRDefault="00000000">
      <w:pPr>
        <w:spacing w:before="60" w:after="60"/>
      </w:pPr>
      <w:r>
        <w:rPr>
          <w:color w:val="333333"/>
        </w:rPr>
        <w:t>6. China 13% of FY2025 revenue, guided 12–13% for 2026 — Verified via Q4 earnings call transcript.</w:t>
      </w:r>
    </w:p>
    <w:p w14:paraId="66320F86" w14:textId="77777777" w:rsidR="00FF0954" w:rsidRDefault="00000000">
      <w:pPr>
        <w:spacing w:before="60" w:after="60"/>
      </w:pPr>
      <w:r>
        <w:rPr>
          <w:color w:val="333333"/>
        </w:rPr>
        <w:t>7. Non-GAAP operating margin 44.6% FY2025 — Verified via earnings release.</w:t>
      </w:r>
    </w:p>
    <w:p w14:paraId="298A6664" w14:textId="77777777" w:rsidR="00FF0954" w:rsidRDefault="00000000">
      <w:pPr>
        <w:spacing w:before="60" w:after="60"/>
      </w:pPr>
      <w:r>
        <w:rPr>
          <w:color w:val="333333"/>
        </w:rPr>
        <w:t xml:space="preserve">8. Revenue segments: Core EDA 70%, IP 14%, SDA </w:t>
      </w:r>
      <w:proofErr w:type="gramStart"/>
      <w:r>
        <w:rPr>
          <w:color w:val="333333"/>
        </w:rPr>
        <w:t>16% —</w:t>
      </w:r>
      <w:proofErr w:type="gramEnd"/>
      <w:r>
        <w:rPr>
          <w:color w:val="333333"/>
        </w:rPr>
        <w:t xml:space="preserve"> Verified via 10-K.</w:t>
      </w:r>
    </w:p>
    <w:p w14:paraId="3D86D495" w14:textId="77777777" w:rsidR="00FF0954" w:rsidRDefault="00000000">
      <w:pPr>
        <w:spacing w:before="60" w:after="60"/>
      </w:pPr>
      <w:r>
        <w:rPr>
          <w:color w:val="333333"/>
        </w:rPr>
        <w:t>9. Recurring revenue ~80% — Verified via Q4 earnings call guidance.</w:t>
      </w:r>
    </w:p>
    <w:p w14:paraId="78963231" w14:textId="77777777" w:rsidR="00FF0954" w:rsidRDefault="00000000">
      <w:pPr>
        <w:spacing w:before="60" w:after="60"/>
      </w:pPr>
      <w:r>
        <w:rPr>
          <w:color w:val="333333"/>
        </w:rPr>
        <w:t xml:space="preserve">10. BIS EDA export </w:t>
      </w:r>
      <w:proofErr w:type="gramStart"/>
      <w:r>
        <w:rPr>
          <w:color w:val="333333"/>
        </w:rPr>
        <w:t>restrictions imposed</w:t>
      </w:r>
      <w:proofErr w:type="gramEnd"/>
      <w:r>
        <w:rPr>
          <w:color w:val="333333"/>
        </w:rPr>
        <w:t xml:space="preserve"> May 23, 2025, rescinded July 2, 2025 — Verified via BIS records and 10-Q.</w:t>
      </w:r>
    </w:p>
    <w:p w14:paraId="35106861" w14:textId="77777777" w:rsidR="00FF0954" w:rsidRDefault="00000000">
      <w:pPr>
        <w:pStyle w:val="Heading2"/>
      </w:pPr>
      <w:r>
        <w:t>Section 4: Overall Assessment</w:t>
      </w:r>
    </w:p>
    <w:p w14:paraId="51811E57" w14:textId="77777777" w:rsidR="00FF0954" w:rsidRDefault="00000000">
      <w:pPr>
        <w:spacing w:before="60" w:after="60"/>
      </w:pPr>
      <w:r>
        <w:rPr>
          <w:b/>
          <w:bCs/>
          <w:color w:val="1B3A5C"/>
        </w:rPr>
        <w:t xml:space="preserve">Critical errors found: </w:t>
      </w:r>
      <w:r>
        <w:rPr>
          <w:color w:val="333333"/>
        </w:rPr>
        <w:t>0</w:t>
      </w:r>
    </w:p>
    <w:p w14:paraId="6175C5EC" w14:textId="77777777" w:rsidR="00FF0954" w:rsidRDefault="00000000">
      <w:pPr>
        <w:spacing w:before="60" w:after="60"/>
      </w:pPr>
      <w:r>
        <w:rPr>
          <w:b/>
          <w:bCs/>
          <w:color w:val="1B3A5C"/>
        </w:rPr>
        <w:t xml:space="preserve">Most material gap: </w:t>
      </w:r>
      <w:r>
        <w:rPr>
          <w:color w:val="333333"/>
        </w:rPr>
        <w:t>ChipStack productivity claims are company-sourced and unverified by independent parties. Not material to framework scoring but relevant for AI bull case probability weighting.</w:t>
      </w:r>
    </w:p>
    <w:p w14:paraId="7E36D229" w14:textId="77777777" w:rsidR="00FF0954" w:rsidRDefault="00000000">
      <w:pPr>
        <w:spacing w:before="60" w:after="60"/>
      </w:pPr>
      <w:r>
        <w:rPr>
          <w:b/>
          <w:bCs/>
          <w:color w:val="1B3A5C"/>
        </w:rPr>
        <w:t xml:space="preserve">Confidence in analysis: </w:t>
      </w:r>
      <w:r>
        <w:rPr>
          <w:color w:val="333333"/>
        </w:rPr>
        <w:t>HIGH — All financial metrics, acquisition details, competitive positioning, and regulatory history verified against primary sources.</w:t>
      </w:r>
    </w:p>
    <w:p w14:paraId="18297086" w14:textId="77777777" w:rsidR="00FF0954" w:rsidRDefault="00000000">
      <w:r>
        <w:br w:type="page"/>
      </w:r>
    </w:p>
    <w:p w14:paraId="08CE8173" w14:textId="77777777" w:rsidR="00FF0954" w:rsidRDefault="00000000">
      <w:pPr>
        <w:pStyle w:val="Heading1"/>
      </w:pPr>
      <w:r>
        <w:lastRenderedPageBreak/>
        <w:t>FRAMEWORK FIT ASSESSMENT</w:t>
      </w:r>
    </w:p>
    <w:p w14:paraId="7548D82A" w14:textId="77777777" w:rsidR="00FF0954" w:rsidRDefault="00FF0954">
      <w:pPr>
        <w:pBdr>
          <w:bottom w:val="single" w:sz="6" w:space="1" w:color="2E75B6"/>
        </w:pBdr>
        <w:spacing w:before="200" w:after="200"/>
      </w:pPr>
    </w:p>
    <w:p w14:paraId="0699B6BA" w14:textId="77777777" w:rsidR="00FF0954" w:rsidRDefault="00000000">
      <w:pPr>
        <w:spacing w:before="60" w:after="60"/>
      </w:pPr>
      <w:r>
        <w:rPr>
          <w:color w:val="333333"/>
        </w:rPr>
        <w:t>The Data Infrastructure Antifragility Framework v1.0 was designed for financial data companies (S&amp;P Global, MSCI, FICO, ICE, Bloomberg) where moats derive from regulatory designation, benchmark authority, contributed financial data, and index licensing. Cadence tests the framework’s boundaries because EDA companies have fundamentally different moat structures:</w:t>
      </w:r>
    </w:p>
    <w:p w14:paraId="5203AD99" w14:textId="77777777" w:rsidR="00FF0954" w:rsidRDefault="00000000">
      <w:pPr>
        <w:spacing w:before="60" w:after="60"/>
      </w:pPr>
      <w:r>
        <w:rPr>
          <w:color w:val="333333"/>
        </w:rPr>
        <w:t xml:space="preserve">What the framework captures well: AI disruption vector analysis (correctly identifies AI as tailwind), business model adaptability scoring (correctly rewards counter-positioning), and market structure analysis (correctly </w:t>
      </w:r>
      <w:proofErr w:type="gramStart"/>
      <w:r>
        <w:rPr>
          <w:color w:val="333333"/>
        </w:rPr>
        <w:t>identifies</w:t>
      </w:r>
      <w:proofErr w:type="gramEnd"/>
      <w:r>
        <w:rPr>
          <w:color w:val="333333"/>
        </w:rPr>
        <w:t xml:space="preserve"> duopoly durability).</w:t>
      </w:r>
    </w:p>
    <w:p w14:paraId="7227B0FA" w14:textId="77777777" w:rsidR="00FF0954" w:rsidRDefault="00000000">
      <w:pPr>
        <w:spacing w:before="60" w:after="60"/>
      </w:pPr>
      <w:r>
        <w:rPr>
          <w:color w:val="333333"/>
        </w:rPr>
        <w:t>What the framework underweights: Computational infrastructure moats (physics-engine differentiation, foundry certification lock-in, silicon validation data) that don’t fit neatly into ‘Regulatory Designation’ or ‘Benchmark Authority’ categories. Cadence’s D1 score (4/10) mechanically undervalues the duopoly’s market-structural protection because no statute names EDA tools — even though the functional protection is stronger than many Level 2–3 regulatory designations.</w:t>
      </w:r>
    </w:p>
    <w:p w14:paraId="77BD6452" w14:textId="77777777" w:rsidR="00FF0954" w:rsidRDefault="00000000">
      <w:pPr>
        <w:spacing w:before="60" w:after="60"/>
      </w:pPr>
      <w:r>
        <w:rPr>
          <w:color w:val="333333"/>
        </w:rPr>
        <w:t>Recommendation: The framework is applicable to Cadence but with the caveat that the D1 dimension systematically underscores companies with market-structural rather than legal-regulatory moats. A future ‘Computational Infrastructure’ framework variant could add a ‘De Facto Standard / Foundry Certification’ moat type alongside the existing 5-moat taxonomy to better capture EDA, simulation software, and other physics-engine businesses.</w:t>
      </w:r>
    </w:p>
    <w:sectPr w:rsidR="00FF095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73A7A" w14:textId="77777777" w:rsidR="00180F6B" w:rsidRDefault="00180F6B">
      <w:r>
        <w:separator/>
      </w:r>
    </w:p>
  </w:endnote>
  <w:endnote w:type="continuationSeparator" w:id="0">
    <w:p w14:paraId="0B8DBCC6" w14:textId="77777777" w:rsidR="00180F6B" w:rsidRDefault="00180F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C849F" w14:textId="77777777" w:rsidR="00FF0954"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560988">
      <w:rPr>
        <w:noProof/>
        <w:color w:val="999999"/>
        <w:sz w:val="16"/>
        <w:szCs w:val="16"/>
      </w:rPr>
      <w:t>1</w:t>
    </w:r>
    <w:r>
      <w:rPr>
        <w:color w:val="999999"/>
        <w:sz w:val="16"/>
        <w:szCs w:val="16"/>
      </w:rPr>
      <w:fldChar w:fldCharType="end"/>
    </w:r>
    <w:r>
      <w:rPr>
        <w:color w:val="999999"/>
        <w:sz w:val="16"/>
        <w:szCs w:val="16"/>
      </w:rPr>
      <w:t xml:space="preserve"> | Data Infrastructure Framework v1.0 | March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E6562" w14:textId="77777777" w:rsidR="00180F6B" w:rsidRDefault="00180F6B">
      <w:r>
        <w:separator/>
      </w:r>
    </w:p>
  </w:footnote>
  <w:footnote w:type="continuationSeparator" w:id="0">
    <w:p w14:paraId="046E5C9D" w14:textId="77777777" w:rsidR="00180F6B" w:rsidRDefault="00180F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D6C59" w14:textId="77777777" w:rsidR="00FF0954" w:rsidRDefault="00000000">
    <w:pPr>
      <w:jc w:val="right"/>
    </w:pPr>
    <w:r>
      <w:rPr>
        <w:i/>
        <w:iCs/>
        <w:color w:val="999999"/>
        <w:sz w:val="16"/>
        <w:szCs w:val="16"/>
      </w:rPr>
      <w:t>CDNS — Data Infrastructure Antifragility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B3790"/>
    <w:multiLevelType w:val="hybridMultilevel"/>
    <w:tmpl w:val="D88AE376"/>
    <w:lvl w:ilvl="0" w:tplc="A61E6812">
      <w:start w:val="1"/>
      <w:numFmt w:val="bullet"/>
      <w:lvlText w:val="●"/>
      <w:lvlJc w:val="left"/>
      <w:pPr>
        <w:ind w:left="720" w:hanging="360"/>
      </w:pPr>
    </w:lvl>
    <w:lvl w:ilvl="1" w:tplc="D0B2F46E">
      <w:start w:val="1"/>
      <w:numFmt w:val="bullet"/>
      <w:lvlText w:val="○"/>
      <w:lvlJc w:val="left"/>
      <w:pPr>
        <w:ind w:left="1440" w:hanging="360"/>
      </w:pPr>
    </w:lvl>
    <w:lvl w:ilvl="2" w:tplc="CDE68C22">
      <w:start w:val="1"/>
      <w:numFmt w:val="bullet"/>
      <w:lvlText w:val="■"/>
      <w:lvlJc w:val="left"/>
      <w:pPr>
        <w:ind w:left="2160" w:hanging="360"/>
      </w:pPr>
    </w:lvl>
    <w:lvl w:ilvl="3" w:tplc="5D4EFD5A">
      <w:start w:val="1"/>
      <w:numFmt w:val="bullet"/>
      <w:lvlText w:val="●"/>
      <w:lvlJc w:val="left"/>
      <w:pPr>
        <w:ind w:left="2880" w:hanging="360"/>
      </w:pPr>
    </w:lvl>
    <w:lvl w:ilvl="4" w:tplc="0D749A7C">
      <w:start w:val="1"/>
      <w:numFmt w:val="bullet"/>
      <w:lvlText w:val="○"/>
      <w:lvlJc w:val="left"/>
      <w:pPr>
        <w:ind w:left="3600" w:hanging="360"/>
      </w:pPr>
    </w:lvl>
    <w:lvl w:ilvl="5" w:tplc="0E7E5A20">
      <w:start w:val="1"/>
      <w:numFmt w:val="bullet"/>
      <w:lvlText w:val="■"/>
      <w:lvlJc w:val="left"/>
      <w:pPr>
        <w:ind w:left="4320" w:hanging="360"/>
      </w:pPr>
    </w:lvl>
    <w:lvl w:ilvl="6" w:tplc="0E3093D0">
      <w:start w:val="1"/>
      <w:numFmt w:val="bullet"/>
      <w:lvlText w:val="●"/>
      <w:lvlJc w:val="left"/>
      <w:pPr>
        <w:ind w:left="5040" w:hanging="360"/>
      </w:pPr>
    </w:lvl>
    <w:lvl w:ilvl="7" w:tplc="23BADFFA">
      <w:start w:val="1"/>
      <w:numFmt w:val="bullet"/>
      <w:lvlText w:val="●"/>
      <w:lvlJc w:val="left"/>
      <w:pPr>
        <w:ind w:left="5760" w:hanging="360"/>
      </w:pPr>
    </w:lvl>
    <w:lvl w:ilvl="8" w:tplc="047AF470">
      <w:start w:val="1"/>
      <w:numFmt w:val="bullet"/>
      <w:lvlText w:val="●"/>
      <w:lvlJc w:val="left"/>
      <w:pPr>
        <w:ind w:left="6480" w:hanging="360"/>
      </w:pPr>
    </w:lvl>
  </w:abstractNum>
  <w:num w:numId="1" w16cid:durableId="4088183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954"/>
    <w:rsid w:val="00180F6B"/>
    <w:rsid w:val="00490A5C"/>
    <w:rsid w:val="00560988"/>
    <w:rsid w:val="00FF09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FCF0"/>
  <w15:docId w15:val="{F12E4CC1-6FEF-42DA-A9A8-FDAD6C43A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5355</Words>
  <Characters>33056</Characters>
  <Application>Microsoft Office Word</Application>
  <DocSecurity>0</DocSecurity>
  <Lines>730</Lines>
  <Paragraphs>406</Paragraphs>
  <ScaleCrop>false</ScaleCrop>
  <Company/>
  <LinksUpToDate>false</LinksUpToDate>
  <CharactersWithSpaces>38022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ampsson ampsson</cp:lastModifiedBy>
  <cp:revision>2</cp:revision>
  <dcterms:created xsi:type="dcterms:W3CDTF">2026-03-03T22:53:00Z</dcterms:created>
  <dcterms:modified xsi:type="dcterms:W3CDTF">2026-03-03T22:53:00Z</dcterms:modified>
</cp:coreProperties>
</file>