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00"/>
        <w:jc w:val="center"/>
      </w:pPr>
      <w:r>
        <w:rPr>
          <w:rFonts w:ascii="Arial" w:cs="Arial" w:eastAsia="Arial" w:hAnsi="Arial"/>
          <w:b/>
          <w:bCs/>
          <w:color w:val="2E75B6"/>
          <w:sz w:val="28"/>
          <w:szCs w:val="28"/>
        </w:rPr>
        <w:t xml:space="preserve">SaaS ANTIFRAGILITY ASSESSMENT</w:t>
      </w:r>
    </w:p>
    <w:p>
      <w:pPr>
        <w:spacing w:after="60"/>
        <w:jc w:val="center"/>
      </w:pPr>
      <w:r>
        <w:rPr>
          <w:rFonts w:ascii="Arial" w:cs="Arial" w:eastAsia="Arial" w:hAnsi="Arial"/>
          <w:color w:val="1B3A5C"/>
          <w:sz w:val="22"/>
          <w:szCs w:val="22"/>
        </w:rPr>
        <w:t xml:space="preserve">Stoffel-Feroldi × Bustamante Integration — Stage 1 + Stage 2</w:t>
      </w:r>
    </w:p>
    <w:p>
      <w:pPr>
        <w:spacing w:after="400"/>
        <w:jc w:val="center"/>
      </w:pPr>
      <w:r>
        <w:rPr>
          <w:rFonts w:ascii="Arial" w:cs="Arial" w:eastAsia="Arial" w:hAnsi="Arial"/>
          <w:color w:val="666666"/>
          <w:sz w:val="20"/>
          <w:szCs w:val="20"/>
        </w:rPr>
        <w:t xml:space="preserve">Framework v2.0 — February 2026</w:t>
      </w:r>
    </w:p>
    <w:p>
      <w:pPr>
        <w:spacing w:after="60"/>
        <w:jc w:val="center"/>
      </w:pPr>
      <w:r>
        <w:rPr>
          <w:rFonts w:ascii="Arial" w:cs="Arial" w:eastAsia="Arial" w:hAnsi="Arial"/>
          <w:b/>
          <w:bCs/>
          <w:color w:val="1B3A5C"/>
          <w:sz w:val="48"/>
          <w:szCs w:val="48"/>
        </w:rPr>
        <w:t xml:space="preserve">CROWDSTRIKE HOLDINGS, INC.</w:t>
      </w:r>
    </w:p>
    <w:p>
      <w:pPr>
        <w:spacing w:after="200"/>
        <w:jc w:val="center"/>
      </w:pPr>
      <w:r>
        <w:rPr>
          <w:rFonts w:ascii="Arial" w:cs="Arial" w:eastAsia="Arial" w:hAnsi="Arial"/>
          <w:color w:val="2E75B6"/>
          <w:sz w:val="28"/>
          <w:szCs w:val="28"/>
        </w:rPr>
        <w:t xml:space="preserve">NASDAQ: CRWD</w:t>
      </w:r>
    </w:p>
    <w:p>
      <w:pPr>
        <w:spacing w:after="600"/>
        <w:jc w:val="center"/>
      </w:pPr>
      <w:r>
        <w:rPr>
          <w:rFonts w:ascii="Arial" w:cs="Arial" w:eastAsia="Arial" w:hAnsi="Arial"/>
          <w:color w:val="666666"/>
          <w:sz w:val="22"/>
          <w:szCs w:val="22"/>
        </w:rPr>
        <w:t xml:space="preserve">March 19, 2026</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548235" w:sz="3"/>
              <w:left w:val="single" w:color="548235" w:sz="3"/>
              <w:bottom w:val="single" w:color="548235" w:sz="3"/>
              <w:right w:val="single" w:color="548235" w:sz="3"/>
            </w:tcBorders>
            <w:shd w:fill="E8F5E9" w:val="clear"/>
            <w:tcMar>
              <w:top w:type="dxa" w:w="200"/>
              <w:left w:type="dxa" w:w="300"/>
              <w:bottom w:type="dxa" w:w="200"/>
              <w:right w:type="dxa" w:w="300"/>
            </w:tcMar>
          </w:tcPr>
          <w:p>
            <w:pPr>
              <w:spacing w:after="60"/>
              <w:jc w:val="center"/>
            </w:pPr>
            <w:r>
              <w:rPr>
                <w:rFonts w:ascii="Arial" w:cs="Arial" w:eastAsia="Arial" w:hAnsi="Arial"/>
                <w:color w:val="548235"/>
                <w:sz w:val="20"/>
                <w:szCs w:val="20"/>
              </w:rPr>
              <w:t xml:space="preserve">FINAL CLASSIFICATION</w:t>
            </w:r>
          </w:p>
          <w:p>
            <w:pPr>
              <w:spacing w:after="60"/>
              <w:jc w:val="center"/>
            </w:pPr>
            <w:r>
              <w:rPr>
                <w:rFonts w:ascii="Arial" w:cs="Arial" w:eastAsia="Arial" w:hAnsi="Arial"/>
                <w:b/>
                <w:bCs/>
                <w:color w:val="548235"/>
                <w:sz w:val="40"/>
                <w:szCs w:val="40"/>
              </w:rPr>
              <w:t xml:space="preserve">ANTIFRAGILE</w:t>
            </w:r>
          </w:p>
          <w:p>
            <w:pPr>
              <w:jc w:val="center"/>
            </w:pPr>
            <w:r>
              <w:rPr>
                <w:rFonts w:ascii="Arial" w:cs="Arial" w:eastAsia="Arial" w:hAnsi="Arial"/>
                <w:color w:val="1B3A5C"/>
                <w:sz w:val="20"/>
                <w:szCs w:val="20"/>
              </w:rPr>
              <w:t xml:space="preserve">Final Composite: 10.0 / 10.0 (capped)  |  MDI Pre-Screen: 5/5 Intact (HIGH Confidence)</w:t>
            </w:r>
          </w:p>
        </w:tc>
      </w:tr>
    </w:tbl>
    <w:p>
      <w:pPr>
        <w:spacing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Market Cap</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Revenue (FY2026)</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Ending ARR</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FCF / Gross Margin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~$107B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$4.81B (+22%)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$5.25B (+24%)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$1.24B / 81% non-GAAP</w:t>
            </w:r>
          </w:p>
        </w:tc>
      </w:tr>
    </w:tbl>
    <w:p>
      <w:r>
        <w:br w:type="page"/>
      </w:r>
    </w:p>
    <w:p>
      <w:pPr>
        <w:pStyle w:val="Heading1"/>
        <w:spacing w:after="150" w:before="300"/>
      </w:pPr>
      <w:r>
        <w:rPr>
          <w:rFonts w:ascii="Arial" w:cs="Arial" w:eastAsia="Arial" w:hAnsi="Arial"/>
        </w:rPr>
        <w:t xml:space="preserve">STAGE 1: MDI PRE-SCREEN</w:t>
      </w:r>
    </w:p>
    <w:p>
      <w:pPr>
        <w:spacing w:after="120"/>
      </w:pPr>
      <w:r>
        <w:rPr>
          <w:rFonts w:ascii="Arial" w:cs="Arial" w:eastAsia="Arial" w:hAnsi="Arial"/>
          <w:b w:val="false"/>
          <w:bCs w:val="false"/>
          <w:i w:val="false"/>
          <w:iCs w:val="false"/>
          <w:color w:val="000000"/>
          <w:sz w:val="22"/>
          <w:szCs w:val="22"/>
        </w:rPr>
        <w:t xml:space="preserve">The Bustamante 10-Moat Taxonomy applied to CrowdStrike’s competitive position in the cybersecurity platform market. CrowdStrike is unusual in this framework because it is the AI-native disruptor, not the disrupted. The Falcon platform was built on machine learning from its 2011 founding — Charlotte AI and AgentWorks represent an extension of the core architecture, not a defensive pivot.</w:t>
      </w:r>
    </w:p>
    <w:p>
      <w:pPr>
        <w:pStyle w:val="Heading2"/>
        <w:spacing w:after="150" w:before="300"/>
      </w:pPr>
      <w:r>
        <w:rPr>
          <w:rFonts w:ascii="Arial" w:cs="Arial" w:eastAsia="Arial" w:hAnsi="Arial"/>
        </w:rPr>
        <w:t xml:space="preserve">10-Moat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Moat</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c>
          <w:tcPr>
            <w:tcW w:type="dxa" w:w="5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Evidence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1. Workflow Embedding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548235"/>
                <w:sz w:val="20"/>
                <w:szCs w:val="20"/>
              </w:rPr>
              <w:t xml:space="preserve">Intact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SOC analysts live in Falcon console for detection, investigation, response, and compliance. Charlotte AI becoming primary analyst interface. Alert triage, incident workflows, and threat hunting designed around Falcon.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2. Data Model Complexity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548235"/>
                <w:sz w:val="20"/>
                <w:szCs w:val="20"/>
              </w:rPr>
              <w:t xml:space="preserve">Intact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Threat Graph: proprietary graph database processing 2T+ security events/week. Unified data model across endpoint, cloud, identity, and log data. Correlating billions of events across millions of endpoints is extraordinarily complex.</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3. Integration Depth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548235"/>
                <w:sz w:val="20"/>
                <w:szCs w:val="20"/>
              </w:rPr>
              <w:t xml:space="preserve">Intact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Falcon integrates with every major cloud provider, SIEM, SOAR, identity provider, and IT management tool. 28+ modules spanning endpoint, cloud, identity, LogScale, IT automation. 50% of customers use 6+ modules.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4. Brand / Trust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548235"/>
                <w:sz w:val="20"/>
                <w:szCs w:val="20"/>
              </w:rPr>
              <w:t xml:space="preserve">Intact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 brand in endpoint security. Gartner MQ leader. 97% gross retention. However, July 2024 global outage damaged trust temporarily. Recovery has been remarkably strong (net new ARR accelerating).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5. Scale Economics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548235"/>
                <w:sz w:val="20"/>
                <w:szCs w:val="20"/>
              </w:rPr>
              <w:t xml:space="preserve">Intact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$5.25B ARR, 81% gross margins, $1.24B FCF. Threat Graph becomes more powerful with more endpoints. R&amp;D ($1.2B+) amortized over largest pure-play cybersecurity base. Only Microsoft has comparable endpoint scale.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6. Proprietary Data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548235"/>
                <w:sz w:val="20"/>
                <w:szCs w:val="20"/>
              </w:rPr>
              <w:t xml:space="preserve">Intact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Crown jewel moat. Threat Graph ingests data from millions of endpoints globally. This threat telemetry is exclusive, proprietary, and cannot be scraped/licensed/synthesized. Classic data flywheel: more endpoints → more signals → better detection.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7. Regulatory Lock-in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BF8F00"/>
                <w:sz w:val="20"/>
                <w:szCs w:val="20"/>
              </w:rPr>
              <w:t xml:space="preserve">Partial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SEC cyber disclosure rules (2023), NIST CSF, CMMC for defense. FedRAMP High authorized. But regulations mandate security capabilities, not CrowdStrike specifically. Any compliant solution could satisfy requirements.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8. Network Effects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548235"/>
                <w:sz w:val="20"/>
                <w:szCs w:val="20"/>
              </w:rPr>
              <w:t xml:space="preserve">Intact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Genuine cross-participant effects via Threat Graph. When one customer’s endpoint detects a novel threat, protection extends to all customers automatically. Measurable: more participants = better protection for everyone.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9. Transaction Embedding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C00000"/>
                <w:sz w:val="20"/>
                <w:szCs w:val="20"/>
              </w:rPr>
              <w:t xml:space="preserve">Absent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CrowdStrike does not process financial transactions. Security monitoring platform, not a transaction layer.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10. Community / Ecosystem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BF8F00"/>
                <w:sz w:val="20"/>
                <w:szCs w:val="20"/>
              </w:rPr>
              <w:t xml:space="preserve">Partial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CrowdStrike Marketplace (third-party apps), MSSP partner ecosystem, Fal.Con conference community. Growing but not a dominant community-driven moat.</w:t>
            </w:r>
          </w:p>
        </w:tc>
      </w:tr>
    </w:tbl>
    <w:p>
      <w:pPr>
        <w:spacing w:after="120"/>
      </w:pPr>
      <w:r>
        <w:rPr>
          <w:rFonts w:ascii="Arial" w:cs="Arial" w:eastAsia="Arial" w:hAnsi="Arial"/>
          <w:b w:val="false"/>
          <w:bCs w:val="false"/>
          <w:i w:val="false"/>
          <w:iCs w:val="false"/>
          <w:color w:val="000000"/>
          <w:sz w:val="22"/>
          <w:szCs w:val="22"/>
        </w:rPr>
        <w:t xml:space="preserve"/>
      </w:r>
    </w:p>
    <w:p>
      <w:pPr>
        <w:pStyle w:val="Heading2"/>
        <w:spacing w:after="150" w:before="300"/>
      </w:pPr>
      <w:r>
        <w:rPr>
          <w:rFonts w:ascii="Arial" w:cs="Arial" w:eastAsia="Arial" w:hAnsi="Arial"/>
        </w:rPr>
        <w:t xml:space="preserve">Pre-Screen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MDI Score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5 / 5 Intact Moats (Workflow, Data Model, Integration, Scale, Proprietary Data, Network Effects, Brand all holding)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Three-Question Score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2.5 / 3 → HIGH Confidence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Disruption Stage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Pre-disruption — CrowdStrike IS the AI-native disruptor, not the disrupted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Horizontal Platform Threat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Medium — Microsoft Defender bundled with E5 creates “good enough” pressure at low end. But 97% gross retention shows limited switching.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Critical Finding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CrowdStrike’s Threat Graph data flywheel is the strongest network effect in SaaS cybersecurity. AI makes this moat STRONGER: more sophisticated attacks require more sophisticated detection, which requires more data, which CrowdStrike has exclusively.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Red Flags for Stage 2</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July 2024 outage trust residue. Microsoft bundling at low end. GAAP operating loss (-$293M) from SBC. NRR of 115% is strong but below 120% historical peaks. Stock trades at premium (~17x NTM EV/Rev).</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Pre-Screen Verdict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548235"/>
                <w:sz w:val="20"/>
                <w:szCs w:val="20"/>
              </w:rPr>
              <w:t xml:space="preserve">HIGH Confidence — CrowdStrike is one of very few SaaS companies where AI disruption is a tailwind by design. The Threat Graph data flywheel and Charlotte AI product suite create genuine antifragility.</w:t>
            </w:r>
          </w:p>
        </w:tc>
      </w:tr>
    </w:tbl>
    <w:p>
      <w:pPr>
        <w:spacing w:after="120"/>
      </w:pPr>
      <w:r>
        <w:rPr>
          <w:rFonts w:ascii="Arial" w:cs="Arial" w:eastAsia="Arial" w:hAnsi="Arial"/>
          <w:b w:val="false"/>
          <w:bCs w:val="false"/>
          <w:i w:val="false"/>
          <w:iCs w:val="false"/>
          <w:color w:val="000000"/>
          <w:sz w:val="22"/>
          <w:szCs w:val="22"/>
        </w:rPr>
        <w:t xml:space="preserve"/>
      </w:r>
    </w:p>
    <w:p>
      <w:pPr>
        <w:pStyle w:val="Heading2"/>
        <w:spacing w:after="150" w:before="300"/>
      </w:pPr>
      <w:r>
        <w:rPr>
          <w:rFonts w:ascii="Arial" w:cs="Arial" w:eastAsia="Arial" w:hAnsi="Arial"/>
        </w:rPr>
        <w:t xml:space="preserve">Three-Question Detail</w:t>
      </w:r>
    </w:p>
    <w:p>
      <w:pPr>
        <w:pStyle w:val="Heading3"/>
        <w:spacing w:after="150" w:before="300"/>
      </w:pPr>
      <w:r>
        <w:rPr>
          <w:rFonts w:ascii="Arial" w:cs="Arial" w:eastAsia="Arial" w:hAnsi="Arial"/>
        </w:rPr>
        <w:t xml:space="preserve">Q1: Can an AI/LLM replicate the core value proposition? — NO (1/1)</w:t>
      </w:r>
    </w:p>
    <w:p>
      <w:pPr>
        <w:spacing w:after="120"/>
      </w:pPr>
      <w:r>
        <w:rPr>
          <w:rFonts w:ascii="Arial" w:cs="Arial" w:eastAsia="Arial" w:hAnsi="Arial"/>
          <w:b w:val="false"/>
          <w:bCs w:val="false"/>
          <w:i w:val="false"/>
          <w:iCs w:val="false"/>
          <w:color w:val="000000"/>
          <w:sz w:val="22"/>
          <w:szCs w:val="22"/>
        </w:rPr>
        <w:t xml:space="preserve">CrowdStrike IS an AI company. The Falcon platform was AI-native from its 2011 founding, built on machine learning models trained on proprietary endpoint telemetry. An LLM cannot detect a zero-day exploit without the underlying threat data from millions of endpoints. The Threat Graph — processing 2+ trillion events per week — is the moat. Charlotte AI sits on top of this proprietary data layer as the interface. An LLM can improve the analyst interface (and Charlotte AI does exactly that), but it cannot replace the telemetry collection, correlation, and response engine. The AI IS the product, and it’s trained on data no one else has.</w:t>
      </w:r>
    </w:p>
    <w:p>
      <w:pPr>
        <w:pStyle w:val="Heading3"/>
        <w:spacing w:after="150" w:before="300"/>
      </w:pPr>
      <w:r>
        <w:rPr>
          <w:rFonts w:ascii="Arial" w:cs="Arial" w:eastAsia="Arial" w:hAnsi="Arial"/>
        </w:rPr>
        <w:t xml:space="preserve">Q2: Can a startup with $10M and frontier AI replicate 80% of the product? — NO (1/1)</w:t>
      </w:r>
    </w:p>
    <w:p>
      <w:pPr>
        <w:spacing w:after="120"/>
      </w:pPr>
      <w:r>
        <w:rPr>
          <w:rFonts w:ascii="Arial" w:cs="Arial" w:eastAsia="Arial" w:hAnsi="Arial"/>
          <w:b w:val="false"/>
          <w:bCs w:val="false"/>
          <w:i w:val="false"/>
          <w:iCs w:val="false"/>
          <w:color w:val="000000"/>
          <w:sz w:val="22"/>
          <w:szCs w:val="22"/>
        </w:rPr>
        <w:t xml:space="preserve">The data flywheel is the insurmountable barrier. You cannot build threat intelligence without endpoint telemetry, and you cannot collect endpoint telemetry without deployed agents on millions of endpoints. SentinelOne spent $1B+ in funding and 10+ years and is still significantly smaller ($1B ARR vs. $5.25B). Even Microsoft, with its enormous distribution advantage, has not displaced CrowdStrike from its enterprise base. A startup with $10M and frontier AI could build a clever interface but would have zero proprietary threat data to power it.</w:t>
      </w:r>
    </w:p>
    <w:p>
      <w:pPr>
        <w:pStyle w:val="Heading3"/>
        <w:spacing w:after="150" w:before="300"/>
      </w:pPr>
      <w:r>
        <w:rPr>
          <w:rFonts w:ascii="Arial" w:cs="Arial" w:eastAsia="Arial" w:hAnsi="Arial"/>
        </w:rPr>
        <w:t xml:space="preserve">Q3: Has the competitive landscape materially changed in 24 months? — PARTIALLY (0.5/1)</w:t>
      </w:r>
    </w:p>
    <w:p>
      <w:pPr>
        <w:spacing w:after="120"/>
      </w:pPr>
      <w:r>
        <w:rPr>
          <w:rFonts w:ascii="Arial" w:cs="Arial" w:eastAsia="Arial" w:hAnsi="Arial"/>
          <w:b w:val="false"/>
          <w:bCs w:val="false"/>
          <w:i w:val="false"/>
          <w:iCs w:val="false"/>
          <w:color w:val="000000"/>
          <w:sz w:val="22"/>
          <w:szCs w:val="22"/>
        </w:rPr>
        <w:t xml:space="preserve">Two material developments: (1) Microsoft continues to bundle Defender with E5 enterprise licenses, creating “good enough” pressure at the low end and mid-market. This is the most credible long-term threat. (2) The July 2024 global outage (content update caused worldwide BSOD on 8.5 million devices) was the most significant trust event in CrowdStrike’s history. However, the competitive response has been remarkably strong: 97% gross retention held, net new ARR accelerated to $1.01B (+25% YoY), and Falcon Flex (flexible module licensing) exceeded $1B in deal value. AI-native security startups have not emerged as a meaningful threat — the data moat is too deep.</w:t>
      </w:r>
    </w:p>
    <w:p>
      <w:r>
        <w:br w:type="page"/>
      </w:r>
    </w:p>
    <w:p>
      <w:pPr>
        <w:pStyle w:val="Heading1"/>
        <w:spacing w:after="150" w:before="300"/>
      </w:pPr>
      <w:r>
        <w:rPr>
          <w:rFonts w:ascii="Arial" w:cs="Arial" w:eastAsia="Arial" w:hAnsi="Arial"/>
        </w:rPr>
        <w:t xml:space="preserve">STAGE 2: FOUR-DIMENSION SCORING</w:t>
      </w:r>
    </w:p>
    <w:p>
      <w:pPr>
        <w:spacing w:after="120"/>
      </w:pPr>
      <w:r>
        <w:rPr>
          <w:rFonts w:ascii="Arial" w:cs="Arial" w:eastAsia="Arial" w:hAnsi="Arial"/>
          <w:b/>
          <w:bCs/>
          <w:sz w:val="22"/>
          <w:szCs w:val="22"/>
        </w:rPr>
        <w:t xml:space="preserve">Stage 2 Starting Posture: </w:t>
      </w:r>
      <w:r>
        <w:rPr>
          <w:rFonts w:ascii="Arial" w:cs="Arial" w:eastAsia="Arial" w:hAnsi="Arial"/>
          <w:sz w:val="22"/>
          <w:szCs w:val="22"/>
        </w:rPr>
        <w:t xml:space="preserve">HIGH confidence from pre-screen. Approach scoring openly; look for genuine antifragility signals. CrowdStrike is one of the rare SaaS companies where AI is structurally accretive to the business model.</w:t>
      </w:r>
    </w:p>
    <w:p>
      <w:pPr>
        <w:pStyle w:val="Heading2"/>
        <w:spacing w:after="150" w:before="300"/>
      </w:pPr>
      <w:r>
        <w:rPr>
          <w:rFonts w:ascii="Arial" w:cs="Arial" w:eastAsia="Arial" w:hAnsi="Arial"/>
        </w:rPr>
        <w:t xml:space="preserve">DIMENSION 1: LIABILITY SHIELD (15% Weight) — Score: 8/10</w:t>
      </w:r>
    </w:p>
    <w:p>
      <w:pPr>
        <w:spacing w:after="120"/>
      </w:pPr>
      <w:r>
        <w:rPr>
          <w:rFonts w:ascii="Arial" w:cs="Arial" w:eastAsia="Arial" w:hAnsi="Arial"/>
          <w:b w:val="false"/>
          <w:bCs w:val="false"/>
          <w:i w:val="false"/>
          <w:iCs w:val="false"/>
          <w:color w:val="000000"/>
          <w:sz w:val="22"/>
          <w:szCs w:val="22"/>
        </w:rPr>
        <w:t xml:space="preserve">Failure of CrowdStrike’s Falcon platform means: (a) undetected cyberattacks on critical infrastructure, financial institutions, and government agencies; (b) regulatory violations under SEC cyber disclosure rules (2023), NIST CSF, and CMMC for defense contractors; (c) potential national security compromises for FedRAMP-authorized government deployments; (d) class-action lawsuits and insurance claims from breach-related losses (average cost of a data breach: $4.88M per IBM 2024 report).</w:t>
      </w:r>
    </w:p>
    <w:p>
      <w:pPr>
        <w:spacing w:after="120"/>
      </w:pPr>
      <w:r>
        <w:rPr>
          <w:rFonts w:ascii="Arial" w:cs="Arial" w:eastAsia="Arial" w:hAnsi="Arial"/>
          <w:b w:val="false"/>
          <w:bCs w:val="false"/>
          <w:i w:val="false"/>
          <w:iCs w:val="false"/>
          <w:color w:val="000000"/>
          <w:sz w:val="22"/>
          <w:szCs w:val="22"/>
        </w:rPr>
        <w:t xml:space="preserve">The July 2024 outage demonstrated the inverse of the liability shield: CrowdStrike is so deeply embedded in critical systems that a faulty content update caused a global outage affecting 8.5 million devices across airlines, hospitals, and financial institutions. This cuts both ways — it shows how catastrophic failure IS, but also how catastrophic it is to be WITHOUT the software.</w:t>
      </w:r>
    </w:p>
    <w:p>
      <w:pPr>
        <w:spacing w:after="120"/>
      </w:pPr>
      <w:r>
        <w:rPr>
          <w:rFonts w:ascii="Arial" w:cs="Arial" w:eastAsia="Arial" w:hAnsi="Arial"/>
          <w:b w:val="false"/>
          <w:bCs w:val="false"/>
          <w:i w:val="false"/>
          <w:iCs w:val="false"/>
          <w:color w:val="000000"/>
          <w:sz w:val="22"/>
          <w:szCs w:val="22"/>
        </w:rPr>
        <w:t xml:space="preserve">CrowdStrike holds FedRAMP High authorization for government cloud, which takes 12–18 months to achieve and creates a meaningful certification barrier. SEC cyber disclosure rules mandate timely reporting of material breaches, creating demand for automated, auditable detection and response — which is precisely what Falcon provides. However, the regulations mandate security capabilities, not CrowdStrike specifically, preventing a 9–10 score.</w:t>
      </w:r>
    </w:p>
    <w:p>
      <w:pPr>
        <w:spacing w:after="120"/>
      </w:pPr>
      <w:r>
        <w:rPr>
          <w:rFonts w:ascii="Arial" w:cs="Arial" w:eastAsia="Arial" w:hAnsi="Arial"/>
          <w:b/>
          <w:bCs/>
          <w:sz w:val="22"/>
          <w:szCs w:val="22"/>
        </w:rPr>
        <w:t xml:space="preserve">D1 Score: </w:t>
      </w:r>
      <w:r>
        <w:rPr>
          <w:rFonts w:ascii="Arial" w:cs="Arial" w:eastAsia="Arial" w:hAnsi="Arial"/>
          <w:sz w:val="22"/>
          <w:szCs w:val="22"/>
        </w:rPr>
        <w:t xml:space="preserve">8 / 10</w:t>
      </w:r>
    </w:p>
    <w:p>
      <w:pPr>
        <w:pStyle w:val="Heading2"/>
        <w:spacing w:after="150" w:before="300"/>
      </w:pPr>
      <w:r>
        <w:rPr>
          <w:rFonts w:ascii="Arial" w:cs="Arial" w:eastAsia="Arial" w:hAnsi="Arial"/>
        </w:rPr>
        <w:t xml:space="preserve">DIMENSION 2: BUSINESS MODEL STRUCTURE (30% Weight) — Score: 8/10</w:t>
      </w:r>
    </w:p>
    <w:p>
      <w:pPr>
        <w:spacing w:after="120"/>
      </w:pPr>
      <w:r>
        <w:rPr>
          <w:rFonts w:ascii="Arial" w:cs="Arial" w:eastAsia="Arial" w:hAnsi="Arial"/>
          <w:b w:val="false"/>
          <w:bCs w:val="false"/>
          <w:i w:val="false"/>
          <w:iCs w:val="false"/>
          <w:color w:val="000000"/>
          <w:sz w:val="22"/>
          <w:szCs w:val="22"/>
        </w:rPr>
        <w:t xml:space="preserve">CrowdStrike’s pricing model is structurally positioned to GROW as AI proliferates. The mechanism is direct: more AI agents operating in enterprise environments = more endpoints to protect = more data to monitor = more subscription and consumption revenue. AI doesn’t reduce headcount requirements for cybersecurity — it increases the attack surface (AI-generated phishing, deepfake attacks, autonomous vulnerability scanning) and creates new categories of threat that require more sophisticated detection.</w:t>
      </w:r>
    </w:p>
    <w:p>
      <w:pPr>
        <w:spacing w:after="120"/>
      </w:pPr>
      <w:r>
        <w:rPr>
          <w:rFonts w:ascii="Arial" w:cs="Arial" w:eastAsia="Arial" w:hAnsi="Arial"/>
          <w:b w:val="false"/>
          <w:bCs w:val="false"/>
          <w:i w:val="false"/>
          <w:iCs w:val="false"/>
          <w:color w:val="000000"/>
          <w:sz w:val="22"/>
          <w:szCs w:val="22"/>
        </w:rPr>
        <w:t xml:space="preserve">Key business model signals: (1) Charlotte AI usage grew 6x YoY with ARR tripling — this is AI-driven consumption layered ON TOP of existing subscriptions; (2) AI-DR (Detection &amp; Response) grew 5x quarter-over-quarter despite launching weeks before quarter end; (3) Falcon Flex allows customers to dynamically allocate spend across 28+ modules, encouraging platform consolidation rather than point solution competition; (4) 50% of customers now use 6+ modules (up from lower adoption), 24% use 8+ modules; (5) Net new ARR of $1.01B (+25% YoY) — the first pure-play cybersecurity company to exceed $1B of net new ARR in a single year.</w:t>
      </w:r>
    </w:p>
    <w:p>
      <w:pPr>
        <w:spacing w:after="120"/>
      </w:pPr>
      <w:r>
        <w:rPr>
          <w:rFonts w:ascii="Arial" w:cs="Arial" w:eastAsia="Arial" w:hAnsi="Arial"/>
          <w:b w:val="false"/>
          <w:bCs w:val="false"/>
          <w:i w:val="false"/>
          <w:iCs w:val="false"/>
          <w:color w:val="000000"/>
          <w:sz w:val="22"/>
          <w:szCs w:val="22"/>
        </w:rPr>
        <w:t xml:space="preserve">NRR of 115% is strong but below historical peaks (was 120%+ pre-outage). Gross retention of 97% is exceptional and demonstrates that the July 2024 outage did not structurally impair customer loyalty. The score is 8 rather than 9–10 because NRR has not yet recovered above 120%, and the Falcon Flex transition temporarily compresses net expansion as customers reallocate rather than add modules.</w:t>
      </w:r>
    </w:p>
    <w:p>
      <w:pPr>
        <w:spacing w:after="120"/>
      </w:pPr>
      <w:r>
        <w:rPr>
          <w:rFonts w:ascii="Arial" w:cs="Arial" w:eastAsia="Arial" w:hAnsi="Arial"/>
          <w:b/>
          <w:bCs/>
          <w:sz w:val="22"/>
          <w:szCs w:val="22"/>
        </w:rPr>
        <w:t xml:space="preserve">NRR: </w:t>
      </w:r>
      <w:r>
        <w:rPr>
          <w:rFonts w:ascii="Arial" w:cs="Arial" w:eastAsia="Arial" w:hAnsi="Arial"/>
          <w:sz w:val="22"/>
          <w:szCs w:val="22"/>
        </w:rPr>
        <w:t xml:space="preserve">115% (Q4 FY2026, source: CrowdStrike Q4 FY2026 earnings release, March 3, 2026)</w:t>
      </w:r>
    </w:p>
    <w:p>
      <w:pPr>
        <w:spacing w:after="120"/>
      </w:pPr>
      <w:r>
        <w:rPr>
          <w:rFonts w:ascii="Arial" w:cs="Arial" w:eastAsia="Arial" w:hAnsi="Arial"/>
          <w:b/>
          <w:bCs/>
          <w:sz w:val="22"/>
          <w:szCs w:val="22"/>
        </w:rPr>
        <w:t xml:space="preserve">Charlotte AI ARR: </w:t>
      </w:r>
      <w:r>
        <w:rPr>
          <w:rFonts w:ascii="Arial" w:cs="Arial" w:eastAsia="Arial" w:hAnsi="Arial"/>
          <w:sz w:val="22"/>
          <w:szCs w:val="22"/>
        </w:rPr>
        <w:t xml:space="preserve">Tripled YoY; usage up 6x. Specific ARR not disclosed separately.</w:t>
      </w:r>
    </w:p>
    <w:p>
      <w:pPr>
        <w:spacing w:after="120"/>
      </w:pPr>
      <w:r>
        <w:rPr>
          <w:rFonts w:ascii="Arial" w:cs="Arial" w:eastAsia="Arial" w:hAnsi="Arial"/>
          <w:b/>
          <w:bCs/>
          <w:sz w:val="22"/>
          <w:szCs w:val="22"/>
        </w:rPr>
        <w:t xml:space="preserve">D2 Score: </w:t>
      </w:r>
      <w:r>
        <w:rPr>
          <w:rFonts w:ascii="Arial" w:cs="Arial" w:eastAsia="Arial" w:hAnsi="Arial"/>
          <w:sz w:val="22"/>
          <w:szCs w:val="22"/>
        </w:rPr>
        <w:t xml:space="preserve">8 / 10</w:t>
      </w:r>
    </w:p>
    <w:p>
      <w:pPr>
        <w:pStyle w:val="Heading2"/>
        <w:spacing w:after="150" w:before="300"/>
      </w:pPr>
      <w:r>
        <w:rPr>
          <w:rFonts w:ascii="Arial" w:cs="Arial" w:eastAsia="Arial" w:hAnsi="Arial"/>
        </w:rPr>
        <w:t xml:space="preserve">DIMENSION 3: PHYSICAL WORLD INTEGRATION (15% Weight) — Score: 6/10</w:t>
      </w:r>
    </w:p>
    <w:p>
      <w:pPr>
        <w:spacing w:after="120"/>
      </w:pPr>
      <w:r>
        <w:rPr>
          <w:rFonts w:ascii="Arial" w:cs="Arial" w:eastAsia="Arial" w:hAnsi="Arial"/>
          <w:b w:val="false"/>
          <w:bCs w:val="false"/>
          <w:i w:val="false"/>
          <w:iCs w:val="false"/>
          <w:color w:val="000000"/>
          <w:sz w:val="22"/>
          <w:szCs w:val="22"/>
        </w:rPr>
        <w:t xml:space="preserve">The Falcon agent runs on physical and virtual endpoints — servers, laptops, mobile devices, cloud instances. It monitors physical file systems, memory, network traffic, and process execution in real time. For operational technology (OT) environments (manufacturing, energy, critical infrastructure), Falcon for XDR extends into industrial control systems. Turning off Falcon leaves every protected endpoint and cloud workload immediately vulnerable to undetected attacks.</w:t>
      </w:r>
    </w:p>
    <w:p>
      <w:pPr>
        <w:spacing w:after="120"/>
      </w:pPr>
      <w:r>
        <w:rPr>
          <w:rFonts w:ascii="Arial" w:cs="Arial" w:eastAsia="Arial" w:hAnsi="Arial"/>
          <w:b w:val="false"/>
          <w:bCs w:val="false"/>
          <w:i w:val="false"/>
          <w:iCs w:val="false"/>
          <w:color w:val="000000"/>
          <w:sz w:val="22"/>
          <w:szCs w:val="22"/>
        </w:rPr>
        <w:t xml:space="preserve">However, CrowdStrike does not process financial transactions, control physical machinery, or sit in money flows. It monitors and protects but is not the transaction itself. An enterprise could operate (insecurely) without Falcon in a way it could not operate without its ERP or payment processor. This places CrowdStrike in the 5–7 range: “software coordinates physical operations but isn’t the transaction itself.” The OT/IoT expansion moves it toward the upper end of this range.</w:t>
      </w:r>
    </w:p>
    <w:p>
      <w:pPr>
        <w:spacing w:after="120"/>
      </w:pPr>
      <w:r>
        <w:rPr>
          <w:rFonts w:ascii="Arial" w:cs="Arial" w:eastAsia="Arial" w:hAnsi="Arial"/>
          <w:b/>
          <w:bCs/>
          <w:sz w:val="22"/>
          <w:szCs w:val="22"/>
        </w:rPr>
        <w:t xml:space="preserve">D3 Score: </w:t>
      </w:r>
      <w:r>
        <w:rPr>
          <w:rFonts w:ascii="Arial" w:cs="Arial" w:eastAsia="Arial" w:hAnsi="Arial"/>
          <w:sz w:val="22"/>
          <w:szCs w:val="22"/>
        </w:rPr>
        <w:t xml:space="preserve">6 / 10</w:t>
      </w:r>
    </w:p>
    <w:p>
      <w:pPr>
        <w:pStyle w:val="Heading2"/>
        <w:spacing w:after="150" w:before="300"/>
      </w:pPr>
      <w:r>
        <w:rPr>
          <w:rFonts w:ascii="Arial" w:cs="Arial" w:eastAsia="Arial" w:hAnsi="Arial"/>
        </w:rPr>
        <w:t xml:space="preserve">DIMENSION 4: NETWORK EFFECTS &amp; DATA GRAVITY (40% Weight) — Score: 8/10</w:t>
      </w:r>
    </w:p>
    <w:p>
      <w:pPr>
        <w:spacing w:after="120"/>
      </w:pPr>
      <w:r>
        <w:rPr>
          <w:rFonts w:ascii="Arial" w:cs="Arial" w:eastAsia="Arial" w:hAnsi="Arial"/>
          <w:b w:val="false"/>
          <w:bCs w:val="false"/>
          <w:i w:val="false"/>
          <w:iCs w:val="false"/>
          <w:color w:val="000000"/>
          <w:sz w:val="22"/>
          <w:szCs w:val="22"/>
        </w:rPr>
        <w:t xml:space="preserve">This is CrowdStrike’s crown jewel and the dimension that drives the Antifragile classification. The Threat Graph creates genuine, measurable cross-participant network effects that satisfy both Bustamante’s Proprietary Data (Moat 6) and Network Effects (Moat 8) criteria simultaneously.</w:t>
      </w:r>
    </w:p>
    <w:p>
      <w:pPr>
        <w:spacing w:after="120"/>
      </w:pPr>
      <w:r>
        <w:rPr>
          <w:rFonts w:ascii="Arial" w:cs="Arial" w:eastAsia="Arial" w:hAnsi="Arial"/>
          <w:b w:val="false"/>
          <w:bCs w:val="false"/>
          <w:i w:val="false"/>
          <w:iCs w:val="false"/>
          <w:color w:val="000000"/>
          <w:sz w:val="22"/>
          <w:szCs w:val="22"/>
        </w:rPr>
        <w:t xml:space="preserve">The mechanism: CrowdStrike’s Threat Graph processes over 2 trillion security events per week from millions of endpoints across thousands of organizations globally. When one customer’s endpoint detects a novel malware variant, behavioral anomaly, or zero-day exploit, the detection signature and behavioral indicators are automatically propagated to protect ALL other customers. This is a direct, measurable cross-participant network effect: each new endpoint on the platform makes every other endpoint safer.</w:t>
      </w:r>
    </w:p>
    <w:p>
      <w:pPr>
        <w:spacing w:after="120"/>
      </w:pPr>
      <w:r>
        <w:rPr>
          <w:rFonts w:ascii="Arial" w:cs="Arial" w:eastAsia="Arial" w:hAnsi="Arial"/>
          <w:b w:val="false"/>
          <w:bCs w:val="false"/>
          <w:i w:val="false"/>
          <w:iCs w:val="false"/>
          <w:color w:val="000000"/>
          <w:sz w:val="22"/>
          <w:szCs w:val="22"/>
        </w:rPr>
        <w:t xml:space="preserve">The data is genuinely proprietary. You cannot scrape endpoint telemetry from the internet. You cannot license it from a data broker. You cannot synthesize it with an LLM. The only way to generate this data is to have agents deployed on millions of real endpoints processing real security events. Only Microsoft (Defender) has partially comparable scale, but Microsoft’s threat data is fragmented across multiple products rather than unified in a single graph database.</w:t>
      </w:r>
    </w:p>
    <w:p>
      <w:pPr>
        <w:spacing w:after="120"/>
      </w:pPr>
      <w:r>
        <w:rPr>
          <w:rFonts w:ascii="Arial" w:cs="Arial" w:eastAsia="Arial" w:hAnsi="Arial"/>
          <w:b/>
          <w:bCs/>
          <w:sz w:val="22"/>
          <w:szCs w:val="22"/>
        </w:rPr>
        <w:t xml:space="preserve">Bustamante Data Test: </w:t>
      </w:r>
      <w:r>
        <w:rPr>
          <w:rFonts w:ascii="Arial" w:cs="Arial" w:eastAsia="Arial" w:hAnsi="Arial"/>
          <w:sz w:val="22"/>
          <w:szCs w:val="22"/>
        </w:rPr>
        <w:t xml:space="preserve">Can this data be obtained, licensed, or synthesized? NO. Endpoint telemetry from millions of production endpoints is exclusively generated through deployment. This passes the strictest version of the test. Data moat HOLDS and STRENGTHENS in the LLM era (better AI = better detection from the same proprietary data).</w:t>
      </w:r>
    </w:p>
    <w:p>
      <w:pPr>
        <w:spacing w:after="120"/>
      </w:pPr>
      <w:r>
        <w:rPr>
          <w:rFonts w:ascii="Arial" w:cs="Arial" w:eastAsia="Arial" w:hAnsi="Arial"/>
          <w:b/>
          <w:bCs/>
          <w:sz w:val="22"/>
          <w:szCs w:val="22"/>
        </w:rPr>
        <w:t xml:space="preserve">Aggregation Theory Risk: </w:t>
      </w:r>
      <w:r>
        <w:rPr>
          <w:rFonts w:ascii="Arial" w:cs="Arial" w:eastAsia="Arial" w:hAnsi="Arial"/>
          <w:sz w:val="22"/>
          <w:szCs w:val="22"/>
        </w:rPr>
        <w:t xml:space="preserve">LOW. CrowdStrike IS the platform. AI agents don’t disintermediate threat intelligence; they make it more valuable. There is no risk of CrowdStrike becoming a commodity data supplier to an aggregator.</w:t>
      </w:r>
    </w:p>
    <w:p>
      <w:pPr>
        <w:spacing w:after="120"/>
      </w:pPr>
      <w:r>
        <w:rPr>
          <w:rFonts w:ascii="Arial" w:cs="Arial" w:eastAsia="Arial" w:hAnsi="Arial"/>
          <w:b w:val="false"/>
          <w:bCs w:val="false"/>
          <w:i w:val="false"/>
          <w:iCs w:val="false"/>
          <w:color w:val="000000"/>
          <w:sz w:val="22"/>
          <w:szCs w:val="22"/>
        </w:rPr>
        <w:t xml:space="preserve">The score is 8 rather than 9–10 because Microsoft’s Defender does have partially comparable endpoint scale (via Windows market share), creating a theoretical replication path for the largest tech company on earth. No other competitor can approach this.</w:t>
      </w:r>
    </w:p>
    <w:p>
      <w:pPr>
        <w:spacing w:after="120"/>
      </w:pPr>
      <w:r>
        <w:rPr>
          <w:rFonts w:ascii="Arial" w:cs="Arial" w:eastAsia="Arial" w:hAnsi="Arial"/>
          <w:b/>
          <w:bCs/>
          <w:sz w:val="22"/>
          <w:szCs w:val="22"/>
        </w:rPr>
        <w:t xml:space="preserve">D4 Score: </w:t>
      </w:r>
      <w:r>
        <w:rPr>
          <w:rFonts w:ascii="Arial" w:cs="Arial" w:eastAsia="Arial" w:hAnsi="Arial"/>
          <w:sz w:val="22"/>
          <w:szCs w:val="22"/>
        </w:rPr>
        <w:t xml:space="preserve">8 / 10</w:t>
      </w:r>
    </w:p>
    <w:p>
      <w:r>
        <w:br w:type="page"/>
      </w:r>
    </w:p>
    <w:p>
      <w:pPr>
        <w:pStyle w:val="Heading1"/>
        <w:spacing w:after="150" w:before="300"/>
      </w:pPr>
      <w:r>
        <w:rPr>
          <w:rFonts w:ascii="Arial" w:cs="Arial" w:eastAsia="Arial" w:hAnsi="Arial"/>
        </w:rPr>
        <w:t xml:space="preserve">STEP 3: RAW COMPOSITE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200"/>
        <w:gridCol w:w="1200"/>
        <w:gridCol w:w="25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Dimension</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Weight</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Score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Weighted</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Driver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D1: Liability Shield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548235"/>
                <w:sz w:val="20"/>
                <w:szCs w:val="20"/>
              </w:rPr>
              <w:t xml:space="preserve">8/10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1.20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Breach = regulatory + financial ruin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D2: Business Model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30%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548235"/>
                <w:sz w:val="20"/>
                <w:szCs w:val="20"/>
              </w:rPr>
              <w:t xml:space="preserve">8/10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2.40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AI-accretive: more threats = more revenue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D3: Physical Integration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BF8F00"/>
                <w:sz w:val="20"/>
                <w:szCs w:val="20"/>
              </w:rPr>
              <w:t xml:space="preserve">6/10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0.90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Monitors endpoints, not transactions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D4: Network Effects &amp; Data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40%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548235"/>
                <w:sz w:val="20"/>
                <w:szCs w:val="20"/>
              </w:rPr>
              <w:t xml:space="preserve">8/10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3.20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Threat Graph: proprietary data flywheel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RAW COMPOSITE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548235"/>
                <w:sz w:val="20"/>
                <w:szCs w:val="20"/>
              </w:rPr>
              <w:t xml:space="preserve">7.70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548235"/>
                <w:sz w:val="20"/>
                <w:szCs w:val="20"/>
              </w:rPr>
              <w:t xml:space="preserve">ANTIFRAGILE (7.5–10)</w:t>
            </w:r>
          </w:p>
        </w:tc>
      </w:tr>
    </w:tbl>
    <w:p>
      <w:pPr>
        <w:spacing w:after="120"/>
      </w:pPr>
      <w:r>
        <w:rPr>
          <w:rFonts w:ascii="Arial" w:cs="Arial" w:eastAsia="Arial" w:hAnsi="Arial"/>
          <w:b w:val="false"/>
          <w:bCs w:val="false"/>
          <w:i w:val="false"/>
          <w:iCs w:val="false"/>
          <w:color w:val="000000"/>
          <w:sz w:val="22"/>
          <w:szCs w:val="22"/>
        </w:rPr>
        <w:t xml:space="preserve"/>
      </w:r>
    </w:p>
    <w:p>
      <w:pPr>
        <w:spacing w:after="120"/>
      </w:pPr>
      <w:r>
        <w:rPr>
          <w:rFonts w:ascii="Arial" w:cs="Arial" w:eastAsia="Arial" w:hAnsi="Arial"/>
          <w:b/>
          <w:bCs/>
          <w:sz w:val="22"/>
          <w:szCs w:val="22"/>
        </w:rPr>
        <w:t xml:space="preserve">Pre-Screen Consistency Check: </w:t>
      </w:r>
      <w:r>
        <w:rPr>
          <w:rFonts w:ascii="Arial" w:cs="Arial" w:eastAsia="Arial" w:hAnsi="Arial"/>
          <w:sz w:val="22"/>
          <w:szCs w:val="22"/>
        </w:rPr>
        <w:t xml:space="preserve">Pre-screen returned HIGH confidence (5/5 MDI). Raw composite is 7.70 (Antifragile). These are fully consistent. A company with 7 intact moats, the strongest proprietary data flywheel in SaaS cybersecurity, and AI-native architecture from founding is expected to score at the top of the framework.</w:t>
      </w:r>
    </w:p>
    <w:p>
      <w:r>
        <w:br w:type="page"/>
      </w:r>
    </w:p>
    <w:p>
      <w:pPr>
        <w:pStyle w:val="Heading1"/>
        <w:spacing w:after="150" w:before="300"/>
      </w:pPr>
      <w:r>
        <w:rPr>
          <w:rFonts w:ascii="Arial" w:cs="Arial" w:eastAsia="Arial" w:hAnsi="Arial"/>
        </w:rPr>
        <w:t xml:space="preserve">STEP 4: DATA INTEGRITY PREMIUM (DIP) MODIFIER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800"/>
        <w:gridCol w:w="3060"/>
      </w:tblGrid>
      <w:tr>
        <w:tc>
          <w:tcPr>
            <w:tcW w:type="dxa" w:w="5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Criterion</w:t>
            </w:r>
          </w:p>
        </w:tc>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Score</w:t>
            </w:r>
          </w:p>
        </w:tc>
        <w:tc>
          <w:tcPr>
            <w:tcW w:type="dxa" w:w="3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Evidence</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 Regulation mandates output format/accuracy/audit trail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548235"/>
                <w:sz w:val="20"/>
                <w:szCs w:val="20"/>
              </w:rPr>
              <w:t xml:space="preserve">1</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SEC cyber disclosure rules (2023) mandate timely, accurate breach reporting. NIST CSF and CMMC mandate specific security monitoring capabilities. PCI DSS for payment card data.</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 Outputs used in legally binding documents/regulatory submissions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548235"/>
                <w:sz w:val="20"/>
                <w:szCs w:val="20"/>
              </w:rPr>
              <w:t xml:space="preserve">1</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Falcon incident reports used in SEC material breach filings, insurance claims, legal proceedings, and regulatory compliance audits. Direct evidence in litigation.</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 Software has regulatory certification new entrant needs years to get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548235"/>
                <w:sz w:val="20"/>
                <w:szCs w:val="20"/>
              </w:rPr>
              <w:t xml:space="preserve">1</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FedRAMP High authorization (12-18 months to achieve). SOC 2 Type II. CMMC compliance. DoD IL-5 authorization. Each is a meaningful barrier for new entrants.</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4. Customer compliance requires immutable audit trail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548235"/>
                <w:sz w:val="20"/>
                <w:szCs w:val="20"/>
              </w:rPr>
              <w:t xml:space="preserve">1</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SOX Section 404, HIPAA Security Rule, SEC cyber rules, and PCI DSS all require auditable, immutable security event logs. Falcon provides these natively.</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5. Switching to unvalidated alternative = compliance violation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548235"/>
                <w:sz w:val="20"/>
                <w:szCs w:val="20"/>
              </w:rPr>
              <w:t xml:space="preserve">1</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For FedRAMP/CMMC government customers, switching to non-authorized platform requires complete re-authorization (12-18 months). For PCI/HIPAA, switching triggers re-validation of security controls.</w:t>
            </w:r>
          </w:p>
        </w:tc>
      </w:tr>
    </w:tbl>
    <w:p>
      <w:pPr>
        <w:spacing w:after="120"/>
      </w:pPr>
      <w:r>
        <w:rPr>
          <w:rFonts w:ascii="Arial" w:cs="Arial" w:eastAsia="Arial" w:hAnsi="Arial"/>
          <w:b w:val="false"/>
          <w:bCs w:val="false"/>
          <w:i w:val="false"/>
          <w:iCs w:val="false"/>
          <w:color w:val="000000"/>
          <w:sz w:val="22"/>
          <w:szCs w:val="22"/>
        </w:rPr>
        <w:t xml:space="preserve"/>
      </w:r>
    </w:p>
    <w:p>
      <w:pPr>
        <w:spacing w:after="120"/>
      </w:pPr>
      <w:r>
        <w:rPr>
          <w:rFonts w:ascii="Arial" w:cs="Arial" w:eastAsia="Arial" w:hAnsi="Arial"/>
          <w:b/>
          <w:bCs/>
          <w:sz w:val="22"/>
          <w:szCs w:val="22"/>
        </w:rPr>
        <w:t xml:space="preserve">DIP Score: </w:t>
      </w:r>
      <w:r>
        <w:rPr>
          <w:rFonts w:ascii="Arial" w:cs="Arial" w:eastAsia="Arial" w:hAnsi="Arial"/>
          <w:sz w:val="22"/>
          <w:szCs w:val="22"/>
        </w:rPr>
        <w:t xml:space="preserve">5 / 5 → +1.5 modifier</w:t>
      </w:r>
    </w:p>
    <w:p>
      <w:pPr>
        <w:spacing w:after="120"/>
      </w:pPr>
      <w:r>
        <w:rPr>
          <w:rFonts w:ascii="Arial" w:cs="Arial" w:eastAsia="Arial" w:hAnsi="Arial"/>
          <w:b/>
          <w:bCs/>
          <w:sz w:val="22"/>
          <w:szCs w:val="22"/>
        </w:rPr>
        <w:t xml:space="preserve">DIP Expiration Estimate: </w:t>
      </w:r>
      <w:r>
        <w:rPr>
          <w:rFonts w:ascii="Arial" w:cs="Arial" w:eastAsia="Arial" w:hAnsi="Arial"/>
          <w:sz w:val="22"/>
          <w:szCs w:val="22"/>
        </w:rPr>
        <w:t xml:space="preserve">10+ years. Cybersecurity regulations are expanding globally (EU NIS2, SEC rules, DORA for financial services). The compliance burden is increasing, not decreasing. FedRAMP re-authorization timelines are lengthening. The DIP is durable.</w:t>
      </w:r>
    </w:p>
    <w:p>
      <w:pPr>
        <w:spacing w:after="120"/>
      </w:pPr>
      <w:r>
        <w:rPr>
          <w:rFonts w:ascii="Arial" w:cs="Arial" w:eastAsia="Arial" w:hAnsi="Arial"/>
          <w:b/>
          <w:bCs/>
          <w:sz w:val="22"/>
          <w:szCs w:val="22"/>
        </w:rPr>
        <w:t xml:space="preserve">DIP Guardrail: </w:t>
      </w:r>
      <w:r>
        <w:rPr>
          <w:rFonts w:ascii="Arial" w:cs="Arial" w:eastAsia="Arial" w:hAnsi="Arial"/>
          <w:sz w:val="22"/>
          <w:szCs w:val="22"/>
        </w:rPr>
        <w:t xml:space="preserve">DIP modifier changes classification from Antifragile (7.70) to Antifragile+ (9.20). Not modifier-dependent — company is Antifragile on raw score alone. New logo growth healthy (net new ARR $1.01B, +25% YoY). DIP is based on both industry regulation AND product-specific certifications (FedRAMP, CMMC, IL-5).</w:t>
      </w:r>
    </w:p>
    <w:p>
      <w:r>
        <w:br w:type="page"/>
      </w:r>
    </w:p>
    <w:p>
      <w:pPr>
        <w:pStyle w:val="Heading1"/>
        <w:spacing w:after="150" w:before="300"/>
      </w:pPr>
      <w:r>
        <w:rPr>
          <w:rFonts w:ascii="Arial" w:cs="Arial" w:eastAsia="Arial" w:hAnsi="Arial"/>
        </w:rPr>
        <w:t xml:space="preserve">STEP 5: COUNTER-POSITIONING POTENTIAL (CPP) MODIFIER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800"/>
        <w:gridCol w:w="4060"/>
      </w:tblGrid>
      <w:tr>
        <w:tc>
          <w:tcPr>
            <w:tcW w:type="dxa" w:w="4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Criterion</w:t>
            </w:r>
          </w:p>
        </w:tc>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Score</w:t>
            </w:r>
          </w:p>
        </w:tc>
        <w:tc>
          <w:tcPr>
            <w:tcW w:type="dxa" w:w="4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Evidence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 Standalone AI-native product with consumption pricing</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548235"/>
                <w:sz w:val="20"/>
                <w:szCs w:val="20"/>
              </w:rPr>
              <w:t xml:space="preserve">2/2</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Charlotte AI is standalone, consumption-based (usage up 6x YoY). AI-DR launched as distinct product, grew 5x QoQ. Charlotte AI AgentWorks operates autonomously.</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 Management committed to cannibalizing existing revenue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548235"/>
                <w:sz w:val="20"/>
                <w:szCs w:val="20"/>
              </w:rPr>
              <w:t xml:space="preserve">2/2</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Kurtz Q4: “Generational shift” from detect-and-respond to autonomous agentic workflows. AgentWorks explicitly replaces human SOC analyst workflows with AI agents.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 AI revenue growing materially faster than core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548235"/>
                <w:sz w:val="20"/>
                <w:szCs w:val="20"/>
              </w:rPr>
              <w:t xml:space="preserve">2/2</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Charlotte AI ARR tripled YoY. AI-DR grew 5x QoQ. Core subscription grew 21%. AI products growing 3-5x faster than core.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4. Lower-priced AI entry point for SMBs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548235"/>
                <w:sz w:val="20"/>
                <w:szCs w:val="20"/>
              </w:rPr>
              <w:t xml:space="preserve">1/2</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Falcon Go for small business exists. Charlotte AI provides lower-barrier entry for security operations without full SOC staffing.</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5. Sales comp aligned to consumption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C00000"/>
                <w:sz w:val="20"/>
                <w:szCs w:val="20"/>
              </w:rPr>
              <w:t xml:space="preserve">0/2</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Not explicitly verified in proxy statement or earnings commentary. Cannot score without evidence per CPP guardrail.</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6. Company deploying AI internally with documented leverage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548235"/>
                <w:sz w:val="20"/>
                <w:szCs w:val="20"/>
              </w:rPr>
              <w:t xml:space="preserve">1/2</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CrowdStrike uses Charlotte AI internally for its own SOC operations. Documented efficiency gains in threat response times.</w:t>
            </w:r>
          </w:p>
        </w:tc>
      </w:tr>
    </w:tbl>
    <w:p>
      <w:pPr>
        <w:spacing w:after="120"/>
      </w:pPr>
      <w:r>
        <w:rPr>
          <w:rFonts w:ascii="Arial" w:cs="Arial" w:eastAsia="Arial" w:hAnsi="Arial"/>
          <w:b w:val="false"/>
          <w:bCs w:val="false"/>
          <w:i w:val="false"/>
          <w:iCs w:val="false"/>
          <w:color w:val="000000"/>
          <w:sz w:val="22"/>
          <w:szCs w:val="22"/>
        </w:rPr>
        <w:t xml:space="preserve"/>
      </w:r>
    </w:p>
    <w:p>
      <w:pPr>
        <w:spacing w:after="120"/>
      </w:pPr>
      <w:r>
        <w:rPr>
          <w:rFonts w:ascii="Arial" w:cs="Arial" w:eastAsia="Arial" w:hAnsi="Arial"/>
          <w:b/>
          <w:bCs/>
          <w:sz w:val="22"/>
          <w:szCs w:val="22"/>
        </w:rPr>
        <w:t xml:space="preserve">CPP Score: </w:t>
      </w:r>
      <w:r>
        <w:rPr>
          <w:rFonts w:ascii="Arial" w:cs="Arial" w:eastAsia="Arial" w:hAnsi="Arial"/>
          <w:sz w:val="22"/>
          <w:szCs w:val="22"/>
        </w:rPr>
        <w:t xml:space="preserve">8 / 12 → +1.0 modifier</w:t>
      </w:r>
    </w:p>
    <w:p>
      <w:pPr>
        <w:spacing w:after="120"/>
      </w:pPr>
      <w:r>
        <w:rPr>
          <w:rFonts w:ascii="Arial" w:cs="Arial" w:eastAsia="Arial" w:hAnsi="Arial"/>
          <w:b/>
          <w:bCs/>
          <w:sz w:val="22"/>
          <w:szCs w:val="22"/>
        </w:rPr>
        <w:t xml:space="preserve">CPP Guardrail: </w:t>
      </w:r>
      <w:r>
        <w:rPr>
          <w:rFonts w:ascii="Arial" w:cs="Arial" w:eastAsia="Arial" w:hAnsi="Arial"/>
          <w:sz w:val="22"/>
          <w:szCs w:val="22"/>
        </w:rPr>
        <w:t xml:space="preserve">All scores above 0 are backed by specific, sourced data points (earnings call quotes, disclosed growth metrics, named products). No aspirational claims scored.</w:t>
      </w:r>
    </w:p>
    <w:p>
      <w:r>
        <w:br w:type="page"/>
      </w:r>
    </w:p>
    <w:p>
      <w:pPr>
        <w:pStyle w:val="Heading1"/>
        <w:spacing w:after="150" w:before="300"/>
      </w:pPr>
      <w:r>
        <w:rPr>
          <w:rFonts w:ascii="Arial" w:cs="Arial" w:eastAsia="Arial" w:hAnsi="Arial"/>
        </w:rPr>
        <w:t xml:space="preserve">STEP 6: FINAL COMPOSITE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Raw Composite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7.70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DIP Modifier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548235"/>
                <w:sz w:val="20"/>
                <w:szCs w:val="20"/>
              </w:rPr>
              <w:t xml:space="preserve">+1.50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CPP Modifier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548235"/>
                <w:sz w:val="20"/>
                <w:szCs w:val="20"/>
              </w:rPr>
              <w:t xml:space="preserve">+1.00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Uncapped Total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10.20</w:t>
            </w:r>
          </w:p>
        </w:tc>
      </w:tr>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FINAL COMPOSITE (capped at 10.0)</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548235"/>
                <w:sz w:val="22"/>
                <w:szCs w:val="22"/>
              </w:rPr>
              <w:t xml:space="preserve">10.0 — ANTIFRAGILE</w:t>
            </w:r>
          </w:p>
        </w:tc>
      </w:tr>
    </w:tbl>
    <w:p>
      <w:pPr>
        <w:spacing w:after="120"/>
      </w:pPr>
      <w:r>
        <w:rPr>
          <w:rFonts w:ascii="Arial" w:cs="Arial" w:eastAsia="Arial" w:hAnsi="Arial"/>
          <w:b w:val="false"/>
          <w:bCs w:val="false"/>
          <w:i w:val="false"/>
          <w:iCs w:val="false"/>
          <w:color w:val="000000"/>
          <w:sz w:val="22"/>
          <w:szCs w:val="22"/>
        </w:rPr>
        <w:t xml:space="preserve"/>
      </w:r>
    </w:p>
    <w:p>
      <w:pPr>
        <w:spacing w:after="120"/>
      </w:pPr>
      <w:r>
        <w:rPr>
          <w:rFonts w:ascii="Arial" w:cs="Arial" w:eastAsia="Arial" w:hAnsi="Arial"/>
          <w:b/>
          <w:bCs/>
          <w:sz w:val="22"/>
          <w:szCs w:val="22"/>
        </w:rPr>
        <w:t xml:space="preserve">DIP/CPP Profile: </w:t>
      </w:r>
      <w:r>
        <w:rPr>
          <w:rFonts w:ascii="Arial" w:cs="Arial" w:eastAsia="Arial" w:hAnsi="Arial"/>
          <w:sz w:val="22"/>
          <w:szCs w:val="22"/>
        </w:rPr>
        <w:t xml:space="preserve">High DIP (5/5) + High CPP (8/12) = “Best risk-adjusted setup. Size 4–5%.”</w:t>
      </w:r>
    </w:p>
    <w:p>
      <w:pPr>
        <w:spacing w:after="120"/>
      </w:pPr>
      <w:r>
        <w:rPr>
          <w:rFonts w:ascii="Arial" w:cs="Arial" w:eastAsia="Arial" w:hAnsi="Arial"/>
          <w:b w:val="false"/>
          <w:bCs w:val="false"/>
          <w:i w:val="false"/>
          <w:iCs w:val="false"/>
          <w:color w:val="000000"/>
          <w:sz w:val="22"/>
          <w:szCs w:val="22"/>
        </w:rPr>
        <w:t xml:space="preserve">This is the strongest possible DIP/CPP profile. CrowdStrike has both the regulatory/certification moat defending the existing base (DIP) AND the AI product roadmap building the future base (CPP). The company doesn’t need to choose between defense and offense — it’s doing both simultaneously.</w:t>
      </w:r>
    </w:p>
    <w:p>
      <w:r>
        <w:br w:type="page"/>
      </w:r>
    </w:p>
    <w:p>
      <w:pPr>
        <w:pStyle w:val="Heading1"/>
        <w:spacing w:after="150" w:before="300"/>
      </w:pPr>
      <w:r>
        <w:rPr>
          <w:rFonts w:ascii="Arial" w:cs="Arial" w:eastAsia="Arial" w:hAnsi="Arial"/>
        </w:rPr>
        <w:t xml:space="preserve">STEP 7: AI DISRUPTION SCENARIO MODELING</w:t>
      </w:r>
    </w:p>
    <w:p>
      <w:pPr>
        <w:pStyle w:val="Heading2"/>
        <w:spacing w:after="150" w:before="300"/>
      </w:pPr>
      <w:r>
        <w:rPr>
          <w:rFonts w:ascii="Arial" w:cs="Arial" w:eastAsia="Arial" w:hAnsi="Arial"/>
        </w:rPr>
        <w:t xml:space="preserve">Bull Case (AI Tailwind) — 35% probability</w:t>
      </w:r>
    </w:p>
    <w:p>
      <w:pPr>
        <w:spacing w:after="120"/>
      </w:pPr>
      <w:r>
        <w:rPr>
          <w:rFonts w:ascii="Arial" w:cs="Arial" w:eastAsia="Arial" w:hAnsi="Arial"/>
          <w:b w:val="false"/>
          <w:bCs w:val="false"/>
          <w:i w:val="false"/>
          <w:iCs w:val="false"/>
          <w:color w:val="000000"/>
          <w:sz w:val="22"/>
          <w:szCs w:val="22"/>
        </w:rPr>
        <w:t xml:space="preserve">Specific mechanism: AI proliferation creates an exponential increase in both attack surface (more AI agents = more endpoints = more vectors) and attack sophistication (AI-generated phishing, deepfake social engineering, autonomous vulnerability scanning). This drives security spending growth well above the 13.8% CAGR baseline. Charlotte AI AgentWorks becomes the defining SOC automation platform, replacing 40–60% of Tier 1 SOC analyst tasks with autonomous agents. CrowdStrike captures $10B+ ARR by FY2029. Non-GAAP operating margins expand to 30%+. Multiple re-rates to 20–25x NTM revenue as the market recognizes CrowdStrike as the platform winner.</w:t>
      </w:r>
    </w:p>
    <w:p>
      <w:pPr>
        <w:spacing w:after="120"/>
      </w:pPr>
      <w:r>
        <w:rPr>
          <w:rFonts w:ascii="Arial" w:cs="Arial" w:eastAsia="Arial" w:hAnsi="Arial"/>
          <w:b/>
          <w:bCs/>
          <w:sz w:val="22"/>
          <w:szCs w:val="22"/>
        </w:rPr>
        <w:t xml:space="preserve">What has to be true: </w:t>
      </w:r>
      <w:r>
        <w:rPr>
          <w:rFonts w:ascii="Arial" w:cs="Arial" w:eastAsia="Arial" w:hAnsi="Arial"/>
          <w:sz w:val="22"/>
          <w:szCs w:val="22"/>
        </w:rPr>
        <w:t xml:space="preserve">Charlotte AI ARR exceeds $500M within 2 years. AI-generated cyberattacks increase breach frequency by 30%+, driving security budget expansion. Microsoft Defender fails to close the gap on advanced threat detection.</w:t>
      </w:r>
    </w:p>
    <w:p>
      <w:pPr>
        <w:pStyle w:val="Heading2"/>
        <w:spacing w:after="150" w:before="300"/>
      </w:pPr>
      <w:r>
        <w:rPr>
          <w:rFonts w:ascii="Arial" w:cs="Arial" w:eastAsia="Arial" w:hAnsi="Arial"/>
        </w:rPr>
        <w:t xml:space="preserve">Base Case (Managed Transition) — 45% probability</w:t>
      </w:r>
    </w:p>
    <w:p>
      <w:pPr>
        <w:spacing w:after="120"/>
      </w:pPr>
      <w:r>
        <w:rPr>
          <w:rFonts w:ascii="Arial" w:cs="Arial" w:eastAsia="Arial" w:hAnsi="Arial"/>
          <w:b w:val="false"/>
          <w:bCs w:val="false"/>
          <w:i w:val="false"/>
          <w:iCs w:val="false"/>
          <w:color w:val="000000"/>
          <w:sz w:val="22"/>
          <w:szCs w:val="22"/>
        </w:rPr>
        <w:t xml:space="preserve">Revenue growth sustains 20–22% through FY2028 as guided. Charlotte AI and AgentWorks contribute meaningful but not transformative incremental revenue ($200–$300M ARR). NRR recovers to 118–120% as Falcon Flex matures and security module adoption deepens. Microsoft competition intensifies at mid-market but CrowdStrike holds enterprise and government accounts. Non-GAAP operating margins expand to 25–28%. FCF margins reach 28–30%. Multiple compresses gradually to 12–15x NTM revenue as growth decelerates.</w:t>
      </w:r>
    </w:p>
    <w:p>
      <w:pPr>
        <w:spacing w:after="120"/>
      </w:pPr>
      <w:r>
        <w:rPr>
          <w:rFonts w:ascii="Arial" w:cs="Arial" w:eastAsia="Arial" w:hAnsi="Arial"/>
          <w:b/>
          <w:bCs/>
          <w:sz w:val="22"/>
          <w:szCs w:val="22"/>
        </w:rPr>
        <w:t xml:space="preserve">Key milestones: </w:t>
      </w:r>
      <w:r>
        <w:rPr>
          <w:rFonts w:ascii="Arial" w:cs="Arial" w:eastAsia="Arial" w:hAnsi="Arial"/>
          <w:sz w:val="22"/>
          <w:szCs w:val="22"/>
        </w:rPr>
        <w:t xml:space="preserve">NRR recovers above 118%. Module adoption: 60%+ use 6+ modules. GAAP profitability achieved. International revenue exceeds 40% of total.</w:t>
      </w:r>
    </w:p>
    <w:p>
      <w:pPr>
        <w:pStyle w:val="Heading2"/>
        <w:spacing w:after="150" w:before="300"/>
      </w:pPr>
      <w:r>
        <w:rPr>
          <w:rFonts w:ascii="Arial" w:cs="Arial" w:eastAsia="Arial" w:hAnsi="Arial"/>
        </w:rPr>
        <w:t xml:space="preserve">Bear Case (Displacement) — 20% probability</w:t>
      </w:r>
    </w:p>
    <w:p>
      <w:pPr>
        <w:spacing w:after="120"/>
      </w:pPr>
      <w:r>
        <w:rPr>
          <w:rFonts w:ascii="Arial" w:cs="Arial" w:eastAsia="Arial" w:hAnsi="Arial"/>
          <w:b w:val="false"/>
          <w:bCs w:val="false"/>
          <w:i w:val="false"/>
          <w:iCs w:val="false"/>
          <w:color w:val="000000"/>
          <w:sz w:val="22"/>
          <w:szCs w:val="22"/>
        </w:rPr>
        <w:t xml:space="preserve">Microsoft bundles increasingly sophisticated Defender capabilities with E5 licenses, capturing 15–20% of CrowdStrike’s addressable market over 3–5 years. The July 2024 outage’s trust impact manifests with a lag: some large enterprises diversify security vendors, reducing module adoption density. NRR falls to 108–112%. Revenue growth decelerates to 12–15%. Multiple compresses to 8–10x NTM revenue. Stock price stalls at $250–$300.</w:t>
      </w:r>
    </w:p>
    <w:p>
      <w:pPr>
        <w:spacing w:after="120"/>
      </w:pPr>
      <w:r>
        <w:rPr>
          <w:rFonts w:ascii="Arial" w:cs="Arial" w:eastAsia="Arial" w:hAnsi="Arial"/>
          <w:b/>
          <w:bCs/>
          <w:sz w:val="22"/>
          <w:szCs w:val="22"/>
        </w:rPr>
        <w:t xml:space="preserve">Bear case mechanism: </w:t>
      </w:r>
      <w:r>
        <w:rPr>
          <w:rFonts w:ascii="Arial" w:cs="Arial" w:eastAsia="Arial" w:hAnsi="Arial"/>
          <w:sz w:val="22"/>
          <w:szCs w:val="22"/>
        </w:rPr>
        <w:t xml:space="preserve">Competitive erosion from Microsoft bundling (traditional displacement), not AI-native disruption. Year 1–2: primarily multiple compression. Year 3+: potential revenue deceleration if Microsoft closes the product gap.</w:t>
      </w:r>
    </w:p>
    <w:p>
      <w:r>
        <w:br w:type="page"/>
      </w:r>
    </w:p>
    <w:p>
      <w:pPr>
        <w:pStyle w:val="Heading1"/>
        <w:spacing w:after="150" w:before="300"/>
      </w:pPr>
      <w:r>
        <w:rPr>
          <w:rFonts w:ascii="Arial" w:cs="Arial" w:eastAsia="Arial" w:hAnsi="Arial"/>
        </w:rPr>
        <w:t xml:space="preserve">STEP 8: VALUATION GATE</w:t>
      </w:r>
    </w:p>
    <w:p>
      <w:pPr>
        <w:pStyle w:val="Heading2"/>
        <w:spacing w:after="150" w:before="300"/>
      </w:pPr>
      <w:r>
        <w:rPr>
          <w:rFonts w:ascii="Arial" w:cs="Arial" w:eastAsia="Arial" w:hAnsi="Arial"/>
        </w:rPr>
        <w:t xml:space="preserve">8A. Current Valuation</w:t>
      </w:r>
    </w:p>
    <w:p>
      <w:pPr>
        <w:spacing w:after="120"/>
      </w:pPr>
      <w:r>
        <w:rPr>
          <w:rFonts w:ascii="Arial" w:cs="Arial" w:eastAsia="Arial" w:hAnsi="Arial"/>
          <w:b/>
          <w:bCs/>
          <w:sz w:val="22"/>
          <w:szCs w:val="22"/>
        </w:rPr>
        <w:t xml:space="preserve">Enterprise Value: </w:t>
      </w:r>
      <w:r>
        <w:rPr>
          <w:rFonts w:ascii="Arial" w:cs="Arial" w:eastAsia="Arial" w:hAnsi="Arial"/>
          <w:sz w:val="22"/>
          <w:szCs w:val="22"/>
        </w:rPr>
        <w:t xml:space="preserve">~$102.5B (market cap ~$107B – $5.23B cash + $0.75B debt)</w:t>
      </w:r>
    </w:p>
    <w:p>
      <w:pPr>
        <w:spacing w:after="120"/>
      </w:pPr>
      <w:r>
        <w:rPr>
          <w:rFonts w:ascii="Arial" w:cs="Arial" w:eastAsia="Arial" w:hAnsi="Arial"/>
          <w:b/>
          <w:bCs/>
          <w:sz w:val="22"/>
          <w:szCs w:val="22"/>
        </w:rPr>
        <w:t xml:space="preserve">NTM Revenue (FY2027 guidance midpoint): </w:t>
      </w:r>
      <w:r>
        <w:rPr>
          <w:rFonts w:ascii="Arial" w:cs="Arial" w:eastAsia="Arial" w:hAnsi="Arial"/>
          <w:sz w:val="22"/>
          <w:szCs w:val="22"/>
        </w:rPr>
        <w:t xml:space="preserve">~$5.90B</w:t>
      </w:r>
    </w:p>
    <w:p>
      <w:pPr>
        <w:spacing w:after="120"/>
      </w:pPr>
      <w:r>
        <w:rPr>
          <w:rFonts w:ascii="Arial" w:cs="Arial" w:eastAsia="Arial" w:hAnsi="Arial"/>
          <w:b/>
          <w:bCs/>
          <w:sz w:val="22"/>
          <w:szCs w:val="22"/>
        </w:rPr>
        <w:t xml:space="preserve">Current NTM EV/Revenue: </w:t>
      </w:r>
      <w:r>
        <w:rPr>
          <w:rFonts w:ascii="Arial" w:cs="Arial" w:eastAsia="Arial" w:hAnsi="Arial"/>
          <w:sz w:val="22"/>
          <w:szCs w:val="22"/>
        </w:rPr>
        <w:t xml:space="preserve">~17.4x</w:t>
      </w:r>
    </w:p>
    <w:p>
      <w:pPr>
        <w:pStyle w:val="Heading2"/>
        <w:spacing w:after="150" w:before="300"/>
      </w:pPr>
      <w:r>
        <w:rPr>
          <w:rFonts w:ascii="Arial" w:cs="Arial" w:eastAsia="Arial" w:hAnsi="Arial"/>
        </w:rPr>
        <w:t xml:space="preserve">8B. Implied Growth Check</w:t>
      </w:r>
    </w:p>
    <w:p>
      <w:pPr>
        <w:spacing w:after="120"/>
      </w:pPr>
      <w:r>
        <w:rPr>
          <w:rFonts w:ascii="Arial" w:cs="Arial" w:eastAsia="Arial" w:hAnsi="Arial"/>
          <w:b w:val="false"/>
          <w:bCs w:val="false"/>
          <w:i w:val="false"/>
          <w:iCs w:val="false"/>
          <w:color w:val="000000"/>
          <w:sz w:val="22"/>
          <w:szCs w:val="22"/>
        </w:rPr>
        <w:t xml:space="preserve">At the current EV of $102.5B, assuming a 7x terminal EV/Revenue multiple in year 10 (premium for platform leader), the implied 10-year revenue CAGR required is approximately 16–18%.</w:t>
      </w:r>
    </w:p>
    <w:p>
      <w:pPr>
        <w:spacing w:after="120"/>
      </w:pPr>
      <w:r>
        <w:rPr>
          <w:rFonts w:ascii="Arial" w:cs="Arial" w:eastAsia="Arial" w:hAnsi="Arial"/>
          <w:b/>
          <w:bCs/>
          <w:sz w:val="22"/>
          <w:szCs w:val="22"/>
        </w:rPr>
        <w:t xml:space="preserve">Current growth rate: </w:t>
      </w:r>
      <w:r>
        <w:rPr>
          <w:rFonts w:ascii="Arial" w:cs="Arial" w:eastAsia="Arial" w:hAnsi="Arial"/>
          <w:sz w:val="22"/>
          <w:szCs w:val="22"/>
        </w:rPr>
        <w:t xml:space="preserve">22% (FY2027 guided)</w:t>
      </w:r>
    </w:p>
    <w:p>
      <w:pPr>
        <w:spacing w:after="120"/>
      </w:pPr>
      <w:r>
        <w:rPr>
          <w:rFonts w:ascii="Arial" w:cs="Arial" w:eastAsia="Arial" w:hAnsi="Arial"/>
          <w:b/>
          <w:bCs/>
          <w:sz w:val="22"/>
          <w:szCs w:val="22"/>
        </w:rPr>
        <w:t xml:space="preserve">Is implied CAGR achievable? </w:t>
      </w:r>
      <w:r>
        <w:rPr>
          <w:rFonts w:ascii="Arial" w:cs="Arial" w:eastAsia="Arial" w:hAnsi="Arial"/>
          <w:sz w:val="22"/>
          <w:szCs w:val="22"/>
        </w:rPr>
        <w:t xml:space="preserve">Yes, with moderate confidence. The cybersecurity market is growing ~14% CAGR, and CrowdStrike is gaining share. However, sustaining 16–18% growth for 10 years through inevitable deceleration requires continued share gains and TAM expansion via AI security products.</w:t>
      </w:r>
    </w:p>
    <w:p>
      <w:pPr>
        <w:pStyle w:val="Heading2"/>
        <w:spacing w:after="150" w:before="300"/>
      </w:pPr>
      <w:r>
        <w:rPr>
          <w:rFonts w:ascii="Arial" w:cs="Arial" w:eastAsia="Arial" w:hAnsi="Arial"/>
        </w:rPr>
        <w:t xml:space="preserve">8C. Margin-of-Safety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Classification</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Acceptable Entry</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Current Multiple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Verdict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548235"/>
                <w:sz w:val="20"/>
                <w:szCs w:val="20"/>
              </w:rPr>
              <w:t xml:space="preserve">ANTIFRAGILE (7.5+)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Up to 15x / 20x stretch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~17.4x NTM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BF8F00"/>
                <w:sz w:val="20"/>
                <w:szCs w:val="20"/>
              </w:rPr>
              <w:t xml:space="preserve">BORDERLINE</w:t>
            </w:r>
          </w:p>
        </w:tc>
      </w:tr>
    </w:tbl>
    <w:p>
      <w:pPr>
        <w:spacing w:after="120"/>
      </w:pPr>
      <w:r>
        <w:rPr>
          <w:rFonts w:ascii="Arial" w:cs="Arial" w:eastAsia="Arial" w:hAnsi="Arial"/>
          <w:b w:val="false"/>
          <w:bCs w:val="false"/>
          <w:i w:val="false"/>
          <w:iCs w:val="false"/>
          <w:color w:val="000000"/>
          <w:sz w:val="22"/>
          <w:szCs w:val="22"/>
        </w:rPr>
        <w:t xml:space="preserve"/>
      </w:r>
    </w:p>
    <w:p>
      <w:pPr>
        <w:spacing w:after="120"/>
      </w:pPr>
      <w:r>
        <w:rPr>
          <w:rFonts w:ascii="Arial" w:cs="Arial" w:eastAsia="Arial" w:hAnsi="Arial"/>
          <w:b/>
          <w:bCs/>
          <w:sz w:val="22"/>
          <w:szCs w:val="22"/>
        </w:rPr>
        <w:t xml:space="preserve">Valuation Gate: </w:t>
      </w:r>
      <w:r>
        <w:rPr>
          <w:rFonts w:ascii="Arial" w:cs="Arial" w:eastAsia="Arial" w:hAnsi="Arial"/>
          <w:sz w:val="22"/>
          <w:szCs w:val="22"/>
        </w:rPr>
        <w:t xml:space="preserve">BORDERLINE. At 17.4x NTM EV/Revenue, CrowdStrike exceeds the 15x acceptable entry threshold but falls within the 20x “maximum stretch with high conviction” range for Antifragile companies. The stock has retreated ~32% from its 52-week high of $567, creating a better entry than recent peaks. However, at these multiples, the margin of safety is thin — execution must be near-perfect to justify the valuation.</w:t>
      </w:r>
    </w:p>
    <w:p>
      <w:pPr>
        <w:pStyle w:val="Heading2"/>
        <w:spacing w:after="150" w:before="300"/>
      </w:pPr>
      <w:r>
        <w:rPr>
          <w:rFonts w:ascii="Arial" w:cs="Arial" w:eastAsia="Arial" w:hAnsi="Arial"/>
        </w:rPr>
        <w:t xml:space="preserve">8D. Historical Multiple Context</w:t>
      </w:r>
    </w:p>
    <w:p>
      <w:pPr>
        <w:spacing w:after="120"/>
      </w:pPr>
      <w:r>
        <w:rPr>
          <w:rFonts w:ascii="Arial" w:cs="Arial" w:eastAsia="Arial" w:hAnsi="Arial"/>
          <w:b/>
          <w:bCs/>
          <w:sz w:val="22"/>
          <w:szCs w:val="22"/>
        </w:rPr>
        <w:t xml:space="preserve">3-year average NTM EV/Revenue: </w:t>
      </w:r>
      <w:r>
        <w:rPr>
          <w:rFonts w:ascii="Arial" w:cs="Arial" w:eastAsia="Arial" w:hAnsi="Arial"/>
          <w:sz w:val="22"/>
          <w:szCs w:val="22"/>
        </w:rPr>
        <w:t xml:space="preserve">~20–22x</w:t>
      </w:r>
    </w:p>
    <w:p>
      <w:pPr>
        <w:spacing w:after="120"/>
      </w:pPr>
      <w:r>
        <w:rPr>
          <w:rFonts w:ascii="Arial" w:cs="Arial" w:eastAsia="Arial" w:hAnsi="Arial"/>
          <w:b/>
          <w:bCs/>
          <w:sz w:val="22"/>
          <w:szCs w:val="22"/>
        </w:rPr>
        <w:t xml:space="preserve">Current as % of historical average: </w:t>
      </w:r>
      <w:r>
        <w:rPr>
          <w:rFonts w:ascii="Arial" w:cs="Arial" w:eastAsia="Arial" w:hAnsi="Arial"/>
          <w:sz w:val="22"/>
          <w:szCs w:val="22"/>
        </w:rPr>
        <w:t xml:space="preserve">~80–85%</w:t>
      </w:r>
    </w:p>
    <w:p>
      <w:pPr>
        <w:spacing w:after="120"/>
      </w:pPr>
      <w:r>
        <w:rPr>
          <w:rFonts w:ascii="Arial" w:cs="Arial" w:eastAsia="Arial" w:hAnsi="Arial"/>
          <w:b w:val="false"/>
          <w:bCs w:val="false"/>
          <w:i w:val="false"/>
          <w:iCs w:val="false"/>
          <w:color w:val="000000"/>
          <w:sz w:val="22"/>
          <w:szCs w:val="22"/>
        </w:rPr>
        <w:t xml:space="preserve">CrowdStrike is trading at a meaningful discount to its historical average, despite accelerating ARR growth and improving FCF margins. The discount is attributable to (a) post-outage multiple compression, (b) sector-wide SaaS de-rating, and (c) concerns about Microsoft Defender competition. Given the pre-screen findings (7 intact moats, AI-accretive business model), the current discount appears more warranted by sector rotation than fundamental deterioration.</w:t>
      </w:r>
    </w:p>
    <w:p>
      <w:r>
        <w:br w:type="page"/>
      </w:r>
    </w:p>
    <w:p>
      <w:pPr>
        <w:pStyle w:val="Heading1"/>
        <w:spacing w:after="150" w:before="300"/>
      </w:pPr>
      <w:r>
        <w:rPr>
          <w:rFonts w:ascii="Arial" w:cs="Arial" w:eastAsia="Arial" w:hAnsi="Arial"/>
        </w:rPr>
        <w:t xml:space="preserve">STEP 9: FINAL VERDICT</w:t>
      </w:r>
    </w:p>
    <w:p>
      <w:pPr>
        <w:spacing w:after="120"/>
      </w:pPr>
      <w:r>
        <w:rPr>
          <w:rFonts w:ascii="Arial" w:cs="Arial" w:eastAsia="Arial" w:hAnsi="Arial"/>
          <w:b/>
          <w:bCs/>
          <w:sz w:val="22"/>
          <w:szCs w:val="22"/>
        </w:rPr>
        <w:t xml:space="preserve">Company: </w:t>
      </w:r>
      <w:r>
        <w:rPr>
          <w:rFonts w:ascii="Arial" w:cs="Arial" w:eastAsia="Arial" w:hAnsi="Arial"/>
          <w:sz w:val="22"/>
          <w:szCs w:val="22"/>
        </w:rPr>
        <w:t xml:space="preserve">CrowdStrike Holdings, Inc.</w:t>
      </w:r>
    </w:p>
    <w:p>
      <w:pPr>
        <w:spacing w:after="120"/>
      </w:pPr>
      <w:r>
        <w:rPr>
          <w:rFonts w:ascii="Arial" w:cs="Arial" w:eastAsia="Arial" w:hAnsi="Arial"/>
          <w:b/>
          <w:bCs/>
          <w:sz w:val="22"/>
          <w:szCs w:val="22"/>
        </w:rPr>
        <w:t xml:space="preserve">Ticker: </w:t>
      </w:r>
      <w:r>
        <w:rPr>
          <w:rFonts w:ascii="Arial" w:cs="Arial" w:eastAsia="Arial" w:hAnsi="Arial"/>
          <w:sz w:val="22"/>
          <w:szCs w:val="22"/>
        </w:rPr>
        <w:t xml:space="preserve">CRWD (NASDAQ)</w:t>
      </w:r>
    </w:p>
    <w:p>
      <w:pPr>
        <w:spacing w:after="120"/>
      </w:pPr>
      <w:r>
        <w:rPr>
          <w:rFonts w:ascii="Arial" w:cs="Arial" w:eastAsia="Arial" w:hAnsi="Arial"/>
          <w:b/>
          <w:bCs/>
          <w:sz w:val="22"/>
          <w:szCs w:val="22"/>
        </w:rPr>
        <w:t xml:space="preserve">Date of Assessment: </w:t>
      </w:r>
      <w:r>
        <w:rPr>
          <w:rFonts w:ascii="Arial" w:cs="Arial" w:eastAsia="Arial" w:hAnsi="Arial"/>
          <w:sz w:val="22"/>
          <w:szCs w:val="22"/>
        </w:rPr>
        <w:t xml:space="preserve">March 19, 2026</w:t>
      </w:r>
    </w:p>
    <w:p>
      <w:pPr>
        <w:pStyle w:val="Heading2"/>
        <w:spacing w:after="150" w:before="300"/>
      </w:pPr>
      <w:r>
        <w:rPr>
          <w:rFonts w:ascii="Arial" w:cs="Arial" w:eastAsia="Arial" w:hAnsi="Arial"/>
        </w:rPr>
        <w:t xml:space="preserve">Integrated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29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Score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Weight/Mod</w:t>
            </w:r>
          </w:p>
        </w:tc>
        <w:tc>
          <w:tcPr>
            <w:tcW w:type="dxa" w:w="2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Driver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MDI Pre-Screen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5/5 intact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48235"/>
                <w:sz w:val="20"/>
                <w:szCs w:val="20"/>
              </w:rPr>
              <w:t xml:space="preserve">HIGH</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7 of 10 moats intact; AI-native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D1: Liability Shield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548235"/>
                <w:sz w:val="20"/>
                <w:szCs w:val="20"/>
              </w:rPr>
              <w:t xml:space="preserve">8/10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15%</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Breach = financial + regulatory ruin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D2: Business Model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548235"/>
                <w:sz w:val="20"/>
                <w:szCs w:val="20"/>
              </w:rPr>
              <w:t xml:space="preserve">8/10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30%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AI-accretive; Charlotte AI tripled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D3: Physical Integration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BF8F00"/>
                <w:sz w:val="20"/>
                <w:szCs w:val="20"/>
              </w:rPr>
              <w:t xml:space="preserve">6/10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15%</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Monitors endpoints, not transactions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D4: Network Effects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548235"/>
                <w:sz w:val="20"/>
                <w:szCs w:val="20"/>
              </w:rPr>
              <w:t xml:space="preserve">8/10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40%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Threat Graph: proprietary data flywheel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Raw Composite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7.70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Antifragile on raw score alone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DIP Modifier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5/5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48235"/>
                <w:sz w:val="20"/>
                <w:szCs w:val="20"/>
              </w:rPr>
              <w:t xml:space="preserve">+1.50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FedRAMP + SEC + SOX + PCI</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CPP Modifier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8/12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48235"/>
                <w:sz w:val="20"/>
                <w:szCs w:val="20"/>
              </w:rPr>
              <w:t xml:space="preserve">+1.00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Charlotte AI + AgentWorks + AI-DR</w:t>
            </w:r>
          </w:p>
        </w:tc>
      </w:tr>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FINAL COMPOSITE</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548235"/>
                <w:sz w:val="22"/>
                <w:szCs w:val="22"/>
              </w:rPr>
              <w:t xml:space="preserve">10.0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548235"/>
                <w:sz w:val="20"/>
                <w:szCs w:val="20"/>
              </w:rPr>
              <w:t xml:space="preserve">ANTIFRAGILE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Benefits from AI disruption</w:t>
            </w:r>
          </w:p>
        </w:tc>
      </w:tr>
    </w:tbl>
    <w:p>
      <w:pPr>
        <w:spacing w:after="120"/>
      </w:pPr>
      <w:r>
        <w:rPr>
          <w:rFonts w:ascii="Arial" w:cs="Arial" w:eastAsia="Arial" w:hAnsi="Arial"/>
          <w:b w:val="false"/>
          <w:bCs w:val="false"/>
          <w:i w:val="false"/>
          <w:iCs w:val="false"/>
          <w:color w:val="000000"/>
          <w:sz w:val="22"/>
          <w:szCs w:val="22"/>
        </w:rPr>
        <w:t xml:space="preserve"/>
      </w:r>
    </w:p>
    <w:p>
      <w:pPr>
        <w:spacing w:after="120"/>
      </w:pPr>
      <w:r>
        <w:rPr>
          <w:rFonts w:ascii="Arial" w:cs="Arial" w:eastAsia="Arial" w:hAnsi="Arial"/>
          <w:b/>
          <w:bCs/>
          <w:sz w:val="22"/>
          <w:szCs w:val="22"/>
        </w:rPr>
        <w:t xml:space="preserve">Classification: </w:t>
      </w:r>
      <w:r>
        <w:rPr>
          <w:rFonts w:ascii="Arial" w:cs="Arial" w:eastAsia="Arial" w:hAnsi="Arial"/>
          <w:sz w:val="22"/>
          <w:szCs w:val="22"/>
        </w:rPr>
        <w:t xml:space="preserve">ANTIFRAGILE — Benefits from AI disruption</w:t>
      </w:r>
    </w:p>
    <w:p>
      <w:pPr>
        <w:spacing w:after="120"/>
      </w:pPr>
      <w:r>
        <w:rPr>
          <w:rFonts w:ascii="Arial" w:cs="Arial" w:eastAsia="Arial" w:hAnsi="Arial"/>
          <w:b/>
          <w:bCs/>
          <w:sz w:val="22"/>
          <w:szCs w:val="22"/>
        </w:rPr>
        <w:t xml:space="preserve">DIP/CPP Profile: </w:t>
      </w:r>
      <w:r>
        <w:rPr>
          <w:rFonts w:ascii="Arial" w:cs="Arial" w:eastAsia="Arial" w:hAnsi="Arial"/>
          <w:sz w:val="22"/>
          <w:szCs w:val="22"/>
        </w:rPr>
        <w:t xml:space="preserve">High DIP + High CPP = Best risk-adjusted setup</w:t>
      </w:r>
    </w:p>
    <w:p>
      <w:pPr>
        <w:spacing w:after="120"/>
      </w:pPr>
      <w:r>
        <w:rPr>
          <w:rFonts w:ascii="Arial" w:cs="Arial" w:eastAsia="Arial" w:hAnsi="Arial"/>
          <w:b/>
          <w:bCs/>
          <w:sz w:val="22"/>
          <w:szCs w:val="22"/>
        </w:rPr>
        <w:t xml:space="preserve">Scenarios: </w:t>
      </w:r>
      <w:r>
        <w:rPr>
          <w:rFonts w:ascii="Arial" w:cs="Arial" w:eastAsia="Arial" w:hAnsi="Arial"/>
          <w:sz w:val="22"/>
          <w:szCs w:val="22"/>
        </w:rPr>
        <w:t xml:space="preserve">Bull: 35% | Base: 45% | Bear: 20%</w:t>
      </w:r>
    </w:p>
    <w:p>
      <w:pPr>
        <w:spacing w:after="120"/>
      </w:pPr>
      <w:r>
        <w:rPr>
          <w:rFonts w:ascii="Arial" w:cs="Arial" w:eastAsia="Arial" w:hAnsi="Arial"/>
          <w:b/>
          <w:bCs/>
          <w:sz w:val="22"/>
          <w:szCs w:val="22"/>
        </w:rPr>
        <w:t xml:space="preserve">NTM EV/Revenue: </w:t>
      </w:r>
      <w:r>
        <w:rPr>
          <w:rFonts w:ascii="Arial" w:cs="Arial" w:eastAsia="Arial" w:hAnsi="Arial"/>
          <w:sz w:val="22"/>
          <w:szCs w:val="22"/>
        </w:rPr>
        <w:t xml:space="preserve">~17.4x (acceptable for Antifragile: up to 15x / 20x stretch). Valuation Gate: BORDERLINE.</w:t>
      </w:r>
    </w:p>
    <w:p>
      <w:pPr>
        <w:pStyle w:val="Heading2"/>
        <w:spacing w:after="150" w:before="300"/>
      </w:pPr>
      <w:r>
        <w:rPr>
          <w:rFonts w:ascii="Arial" w:cs="Arial" w:eastAsia="Arial" w:hAnsi="Arial"/>
        </w:rPr>
        <w:t xml:space="preserve">Investment Rating &amp; Sizing</w:t>
      </w:r>
    </w:p>
    <w:p>
      <w:pPr>
        <w:spacing w:after="120"/>
      </w:pPr>
      <w:r>
        <w:rPr>
          <w:rFonts w:ascii="Arial" w:cs="Arial" w:eastAsia="Arial" w:hAnsi="Arial"/>
          <w:b/>
          <w:bCs/>
          <w:sz w:val="22"/>
          <w:szCs w:val="22"/>
        </w:rPr>
        <w:t xml:space="preserve">Rating: </w:t>
      </w:r>
      <w:r>
        <w:rPr>
          <w:rFonts w:ascii="Arial" w:cs="Arial" w:eastAsia="Arial" w:hAnsi="Arial"/>
          <w:sz w:val="22"/>
          <w:szCs w:val="22"/>
        </w:rPr>
        <w:t xml:space="preserve">BUY on pullbacks below 15x NTM / HOLD at current levels</w:t>
      </w:r>
    </w:p>
    <w:p>
      <w:pPr>
        <w:spacing w:after="120"/>
      </w:pPr>
      <w:r>
        <w:rPr>
          <w:rFonts w:ascii="Arial" w:cs="Arial" w:eastAsia="Arial" w:hAnsi="Arial"/>
          <w:b/>
          <w:bCs/>
          <w:sz w:val="22"/>
          <w:szCs w:val="22"/>
        </w:rPr>
        <w:t xml:space="preserve">Position Size: </w:t>
      </w:r>
      <w:r>
        <w:rPr>
          <w:rFonts w:ascii="Arial" w:cs="Arial" w:eastAsia="Arial" w:hAnsi="Arial"/>
          <w:sz w:val="22"/>
          <w:szCs w:val="22"/>
        </w:rPr>
        <w:t xml:space="preserve">3–4% of portfolio (4–5% at 15x entry)</w:t>
      </w:r>
    </w:p>
    <w:p>
      <w:pPr>
        <w:spacing w:after="120"/>
      </w:pPr>
      <w:r>
        <w:rPr>
          <w:rFonts w:ascii="Arial" w:cs="Arial" w:eastAsia="Arial" w:hAnsi="Arial"/>
          <w:b w:val="false"/>
          <w:bCs w:val="false"/>
          <w:i w:val="false"/>
          <w:iCs w:val="false"/>
          <w:color w:val="000000"/>
          <w:sz w:val="22"/>
          <w:szCs w:val="22"/>
        </w:rPr>
        <w:t xml:space="preserve"/>
      </w:r>
    </w:p>
    <w:p>
      <w:pPr>
        <w:pStyle w:val="Heading3"/>
        <w:spacing w:after="150" w:before="300"/>
      </w:pPr>
      <w:r>
        <w:rPr>
          <w:rFonts w:ascii="Arial" w:cs="Arial" w:eastAsia="Arial" w:hAnsi="Arial"/>
        </w:rPr>
        <w:t xml:space="preserve">The Thesis in Two Sentences:</w:t>
      </w:r>
    </w:p>
    <w:p>
      <w:pPr>
        <w:spacing w:after="120"/>
      </w:pPr>
      <w:r>
        <w:rPr>
          <w:rFonts w:ascii="Arial" w:cs="Arial" w:eastAsia="Arial" w:hAnsi="Arial"/>
          <w:b w:val="false"/>
          <w:bCs w:val="false"/>
          <w:i w:val="false"/>
          <w:iCs w:val="false"/>
          <w:color w:val="000000"/>
          <w:sz w:val="22"/>
          <w:szCs w:val="22"/>
        </w:rPr>
        <w:t xml:space="preserve">CrowdStrike is one of a handful of SaaS companies that is genuinely Antifragile — its Threat Graph data flywheel and Charlotte AI product suite get more valuable as AI proliferates (more endpoints, more threats, more data, better detection). At 17.4x NTM with 22% growth, 81% gross margins, and $1.24B FCF, the valuation is stretched but defensible for a company with 7 intact moats and the strongest proprietary data network effect in cybersecurity.</w:t>
      </w:r>
    </w:p>
    <w:p>
      <w:pPr>
        <w:spacing w:after="120"/>
      </w:pPr>
      <w:r>
        <w:rPr>
          <w:rFonts w:ascii="Arial" w:cs="Arial" w:eastAsia="Arial" w:hAnsi="Arial"/>
          <w:b w:val="false"/>
          <w:bCs w:val="false"/>
          <w:i w:val="false"/>
          <w:iCs w:val="false"/>
          <w:color w:val="000000"/>
          <w:sz w:val="22"/>
          <w:szCs w:val="22"/>
        </w:rPr>
        <w:t xml:space="preserve"/>
      </w:r>
    </w:p>
    <w:p>
      <w:pPr>
        <w:pStyle w:val="Heading3"/>
        <w:spacing w:after="150" w:before="300"/>
      </w:pPr>
      <w:r>
        <w:rPr>
          <w:rFonts w:ascii="Arial" w:cs="Arial" w:eastAsia="Arial" w:hAnsi="Arial"/>
        </w:rPr>
        <w:t xml:space="preserve">The Biggest Risk the market may be underpricing:</w:t>
      </w:r>
    </w:p>
    <w:p>
      <w:pPr>
        <w:spacing w:after="120"/>
      </w:pPr>
      <w:r>
        <w:rPr>
          <w:rFonts w:ascii="Arial" w:cs="Arial" w:eastAsia="Arial" w:hAnsi="Arial"/>
          <w:b w:val="false"/>
          <w:bCs w:val="false"/>
          <w:i w:val="false"/>
          <w:iCs w:val="false"/>
          <w:color w:val="000000"/>
          <w:sz w:val="22"/>
          <w:szCs w:val="22"/>
        </w:rPr>
        <w:t xml:space="preserve">Microsoft Defender capturing 15–20% of CrowdStrike’s addressable market over 3–5 years through E5 bundling. This is a distribution advantage, not a product advantage, but distribution wins matter in enterprise software. The July 2024 outage gave Microsoft its best-ever sales pitch (“diversify your security vendors”). Monitor: Defender adoption rates in enterprise accounts, CrowdStrike’s win/loss rates against Defender in competitive evaluations.</w:t>
      </w:r>
    </w:p>
    <w:p>
      <w:pPr>
        <w:spacing w:after="120"/>
      </w:pPr>
      <w:r>
        <w:rPr>
          <w:rFonts w:ascii="Arial" w:cs="Arial" w:eastAsia="Arial" w:hAnsi="Arial"/>
          <w:b w:val="false"/>
          <w:bCs w:val="false"/>
          <w:i w:val="false"/>
          <w:iCs w:val="false"/>
          <w:color w:val="000000"/>
          <w:sz w:val="22"/>
          <w:szCs w:val="22"/>
        </w:rPr>
        <w:t xml:space="preserve"/>
      </w:r>
    </w:p>
    <w:p>
      <w:pPr>
        <w:pStyle w:val="Heading3"/>
        <w:spacing w:after="150" w:before="300"/>
      </w:pPr>
      <w:r>
        <w:rPr>
          <w:rFonts w:ascii="Arial" w:cs="Arial" w:eastAsia="Arial" w:hAnsi="Arial"/>
        </w:rPr>
        <w:t xml:space="preserve">The Kill Switch — Sell immediately if:</w:t>
      </w:r>
    </w:p>
    <w:p>
      <w:pPr>
        <w:spacing w:after="120"/>
      </w:pPr>
      <w:r>
        <w:rPr>
          <w:rFonts w:ascii="Arial" w:cs="Arial" w:eastAsia="Arial" w:hAnsi="Arial"/>
          <w:b w:val="false"/>
          <w:bCs w:val="false"/>
          <w:i w:val="false"/>
          <w:iCs w:val="false"/>
          <w:color w:val="000000"/>
          <w:sz w:val="22"/>
          <w:szCs w:val="22"/>
        </w:rPr>
        <w:t xml:space="preserve">Gross retention falls below 94% for two consecutive quarters (signals structural trust erosion beyond the outage). OR: NRR falls below 108% (signals platform consolidation thesis failing). OR: Microsoft announces a unified, FedRAMP-authorized security platform with Threat Graph-equivalent cross-tenant intelligence (the only realistic existential threat).</w:t>
      </w:r>
    </w:p>
    <w:p>
      <w:pPr>
        <w:spacing w:after="120"/>
      </w:pPr>
      <w:r>
        <w:rPr>
          <w:rFonts w:ascii="Arial" w:cs="Arial" w:eastAsia="Arial" w:hAnsi="Arial"/>
          <w:b w:val="false"/>
          <w:bCs w:val="false"/>
          <w:i w:val="false"/>
          <w:iCs w:val="false"/>
          <w:color w:val="000000"/>
          <w:sz w:val="22"/>
          <w:szCs w:val="22"/>
        </w:rPr>
        <w:t xml:space="preserve"/>
      </w:r>
    </w:p>
    <w:p>
      <w:pPr>
        <w:pStyle w:val="Heading3"/>
        <w:spacing w:after="150" w:before="300"/>
      </w:pPr>
      <w:r>
        <w:rPr>
          <w:rFonts w:ascii="Arial" w:cs="Arial" w:eastAsia="Arial" w:hAnsi="Arial"/>
        </w:rPr>
        <w:t xml:space="preserve">Review Trigger:</w:t>
      </w:r>
    </w:p>
    <w:p>
      <w:pPr>
        <w:spacing w:after="120"/>
      </w:pPr>
      <w:r>
        <w:rPr>
          <w:rFonts w:ascii="Arial" w:cs="Arial" w:eastAsia="Arial" w:hAnsi="Arial"/>
          <w:b w:val="false"/>
          <w:bCs w:val="false"/>
          <w:i w:val="false"/>
          <w:iCs w:val="false"/>
          <w:color w:val="000000"/>
          <w:sz w:val="22"/>
          <w:szCs w:val="22"/>
        </w:rPr>
        <w:t xml:space="preserve">Re-run full assessment if: Charlotte AI separately discloses ARR exceeding $500M (would strengthen Bull case materially). OR: Another content-update incident occurs (would fatally undermine the trust recovery narrative). OR: Microsoft Defender achieves Gartner MQ leadership in endpoint protection (currently a challenger). OR: NRR recovers above 120% (would signal full post-outage recovery and strengthen the D2 score).</w:t>
      </w:r>
    </w:p>
    <w:p>
      <w:pPr>
        <w:spacing w:after="120"/>
      </w:pPr>
      <w:r>
        <w:rPr>
          <w:rFonts w:ascii="Arial" w:cs="Arial" w:eastAsia="Arial" w:hAnsi="Arial"/>
          <w:b w:val="false"/>
          <w:bCs w:val="false"/>
          <w:i w:val="false"/>
          <w:iCs w:val="false"/>
          <w:color w:val="000000"/>
          <w:sz w:val="22"/>
          <w:szCs w:val="22"/>
        </w:rPr>
        <w:t xml:space="preserve"/>
      </w:r>
    </w:p>
    <w:p>
      <w:pPr>
        <w:spacing w:after="120"/>
      </w:pPr>
      <w:r>
        <w:rPr>
          <w:rFonts w:ascii="Arial" w:cs="Arial" w:eastAsia="Arial" w:hAnsi="Arial"/>
          <w:b w:val="false"/>
          <w:bCs w:val="false"/>
          <w:i/>
          <w:iCs/>
          <w:color w:val="888888"/>
          <w:sz w:val="22"/>
          <w:szCs w:val="22"/>
        </w:rPr>
        <w:t xml:space="preserve">— End of Analysis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i/>
        <w:iCs/>
        <w:color w:val="2E75B6"/>
        <w:sz w:val="18"/>
        <w:szCs w:val="18"/>
      </w:rPr>
      <w:t xml:space="preserve">Stoffel-Feroldi × Bustamante Antifragility Framework v2.0</w:t>
    </w:r>
    <w:r>
      <w:rPr>
        <w:rFonts w:ascii="Arial" w:cs="Arial" w:eastAsia="Arial" w:hAnsi="Arial"/>
        <w:i/>
        <w:iCs/>
        <w:color w:val="2E75B6"/>
        <w:sz w:val="18"/>
        <w:szCs w:val="18"/>
      </w:rPr>
      <w:t xml:space="preserve">	CrowdStrike Holdings (CRWD)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2026-03-20T04:49:39.193Z</dcterms:created>
  <dcterms:modified xsi:type="dcterms:W3CDTF">2026-03-20T04:49:39.193Z</dcterms:modified>
</cp:coreProperties>
</file>

<file path=docProps/custom.xml><?xml version="1.0" encoding="utf-8"?>
<Properties xmlns="http://schemas.openxmlformats.org/officeDocument/2006/custom-properties" xmlns:vt="http://schemas.openxmlformats.org/officeDocument/2006/docPropsVTypes"/>
</file>