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81921" w14:paraId="7E3E6E1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A5C"/>
            <w:tcMar>
              <w:top w:w="280" w:type="dxa"/>
              <w:left w:w="360" w:type="dxa"/>
              <w:bottom w:w="280" w:type="dxa"/>
              <w:right w:w="360" w:type="dxa"/>
            </w:tcMar>
          </w:tcPr>
          <w:p w14:paraId="7461C4A2" w14:textId="77777777" w:rsidR="00181921" w:rsidRDefault="00000000">
            <w:pPr>
              <w:jc w:val="center"/>
            </w:pPr>
            <w:proofErr w:type="gramStart"/>
            <w:r>
              <w:rPr>
                <w:b/>
                <w:bCs/>
                <w:color w:val="FFFFFF"/>
                <w:sz w:val="44"/>
                <w:szCs w:val="44"/>
              </w:rPr>
              <w:t>COMMERCIAL</w:t>
            </w:r>
            <w:proofErr w:type="gramEnd"/>
            <w:r>
              <w:rPr>
                <w:b/>
                <w:bCs/>
                <w:color w:val="FFFFFF"/>
                <w:sz w:val="44"/>
                <w:szCs w:val="44"/>
              </w:rPr>
              <w:t>-STAGE SPECIALTY PHARMA</w:t>
            </w:r>
          </w:p>
          <w:p w14:paraId="65C15DFB" w14:textId="77777777" w:rsidR="00181921" w:rsidRDefault="00000000">
            <w:pPr>
              <w:jc w:val="center"/>
            </w:pPr>
            <w:r>
              <w:rPr>
                <w:color w:val="A8D4E6"/>
                <w:sz w:val="36"/>
                <w:szCs w:val="36"/>
              </w:rPr>
              <w:t xml:space="preserve">BUSINESS QUALITY </w:t>
            </w:r>
            <w:proofErr w:type="gramStart"/>
            <w:r>
              <w:rPr>
                <w:color w:val="A8D4E6"/>
                <w:sz w:val="36"/>
                <w:szCs w:val="36"/>
              </w:rPr>
              <w:t>FRAMEWORK  |</w:t>
            </w:r>
            <w:proofErr w:type="gramEnd"/>
            <w:r>
              <w:rPr>
                <w:color w:val="A8D4E6"/>
                <w:sz w:val="36"/>
                <w:szCs w:val="36"/>
              </w:rPr>
              <w:t xml:space="preserve">  10 + 4 HYBRID</w:t>
            </w:r>
          </w:p>
          <w:p w14:paraId="463F4C03" w14:textId="77777777" w:rsidR="00181921" w:rsidRDefault="00181921">
            <w:pPr>
              <w:spacing w:before="60" w:after="60"/>
            </w:pPr>
          </w:p>
          <w:p w14:paraId="0553E32A" w14:textId="77777777" w:rsidR="00181921" w:rsidRDefault="00000000">
            <w:pPr>
              <w:jc w:val="center"/>
            </w:pPr>
            <w:r>
              <w:rPr>
                <w:i/>
                <w:iCs/>
                <w:color w:val="FFD700"/>
                <w:sz w:val="24"/>
                <w:szCs w:val="24"/>
              </w:rPr>
              <w:t>Test Case: Journey Medical Corporation (NASDAQ: DERM)</w:t>
            </w:r>
          </w:p>
        </w:tc>
      </w:tr>
    </w:tbl>
    <w:p w14:paraId="3C124C29" w14:textId="77777777" w:rsidR="00181921" w:rsidRDefault="00181921">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80"/>
      </w:tblGrid>
      <w:tr w:rsidR="00181921" w14:paraId="0401E049"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D6E8F5"/>
            <w:tcMar>
              <w:top w:w="120" w:type="dxa"/>
              <w:left w:w="160" w:type="dxa"/>
              <w:bottom w:w="120" w:type="dxa"/>
              <w:right w:w="160" w:type="dxa"/>
            </w:tcMar>
          </w:tcPr>
          <w:p w14:paraId="250098A3" w14:textId="77777777" w:rsidR="00181921" w:rsidRDefault="00000000">
            <w:r>
              <w:rPr>
                <w:b/>
                <w:bCs/>
                <w:color w:val="1A6B72"/>
                <w:sz w:val="17"/>
                <w:szCs w:val="17"/>
              </w:rPr>
              <w:t>FRAMEWORK TYPE</w:t>
            </w:r>
          </w:p>
          <w:p w14:paraId="22EC7398" w14:textId="77777777" w:rsidR="00181921" w:rsidRDefault="00000000">
            <w:r>
              <w:rPr>
                <w:color w:val="1B3A5C"/>
                <w:sz w:val="19"/>
                <w:szCs w:val="19"/>
              </w:rPr>
              <w:t>10 Core Pillars + 4 Specialty Pharma Modules</w:t>
            </w:r>
          </w:p>
        </w:tc>
        <w:tc>
          <w:tcPr>
            <w:tcW w:w="3200" w:type="dxa"/>
            <w:tcBorders>
              <w:top w:val="none" w:sz="0" w:space="0" w:color="FFFFFF"/>
              <w:left w:val="none" w:sz="0" w:space="0" w:color="FFFFFF"/>
              <w:bottom w:val="none" w:sz="0" w:space="0" w:color="FFFFFF"/>
              <w:right w:val="none" w:sz="0" w:space="0" w:color="FFFFFF"/>
            </w:tcBorders>
            <w:shd w:val="clear" w:color="auto" w:fill="D4ECEE"/>
            <w:tcMar>
              <w:top w:w="120" w:type="dxa"/>
              <w:left w:w="160" w:type="dxa"/>
              <w:bottom w:w="120" w:type="dxa"/>
              <w:right w:w="160" w:type="dxa"/>
            </w:tcMar>
          </w:tcPr>
          <w:p w14:paraId="641B418B" w14:textId="77777777" w:rsidR="00181921" w:rsidRDefault="00000000">
            <w:r>
              <w:rPr>
                <w:b/>
                <w:bCs/>
                <w:color w:val="1A6B72"/>
                <w:sz w:val="17"/>
                <w:szCs w:val="17"/>
              </w:rPr>
              <w:t>TARGET COMPANIES</w:t>
            </w:r>
          </w:p>
          <w:p w14:paraId="04AE5B99" w14:textId="77777777" w:rsidR="00181921" w:rsidRDefault="00000000">
            <w:r>
              <w:rPr>
                <w:color w:val="1B3A5C"/>
                <w:sz w:val="19"/>
                <w:szCs w:val="19"/>
              </w:rPr>
              <w:t>Revenue-stage specialty pharma; multi-product portfolios; negative to positive ROIC transition</w:t>
            </w:r>
          </w:p>
        </w:tc>
        <w:tc>
          <w:tcPr>
            <w:tcW w:w="3680" w:type="dxa"/>
            <w:tcBorders>
              <w:top w:val="none" w:sz="0" w:space="0" w:color="FFFFFF"/>
              <w:left w:val="none" w:sz="0" w:space="0" w:color="FFFFFF"/>
              <w:bottom w:val="none" w:sz="0" w:space="0" w:color="FFFFFF"/>
              <w:right w:val="none" w:sz="0" w:space="0" w:color="FFFFFF"/>
            </w:tcBorders>
            <w:shd w:val="clear" w:color="auto" w:fill="FBF3DC"/>
            <w:tcMar>
              <w:top w:w="120" w:type="dxa"/>
              <w:left w:w="160" w:type="dxa"/>
              <w:bottom w:w="120" w:type="dxa"/>
              <w:right w:w="160" w:type="dxa"/>
            </w:tcMar>
          </w:tcPr>
          <w:p w14:paraId="2FFCB7DA" w14:textId="77777777" w:rsidR="00181921" w:rsidRDefault="00000000">
            <w:r>
              <w:rPr>
                <w:b/>
                <w:bCs/>
                <w:color w:val="B8860B"/>
                <w:sz w:val="17"/>
                <w:szCs w:val="17"/>
              </w:rPr>
              <w:t>KEY GAPS VS. EARLY BIOTECH CHECKLIST</w:t>
            </w:r>
          </w:p>
          <w:p w14:paraId="0D25F3AD" w14:textId="77777777" w:rsidR="00181921" w:rsidRDefault="00000000">
            <w:r>
              <w:rPr>
                <w:color w:val="1B3A5C"/>
                <w:sz w:val="19"/>
                <w:szCs w:val="19"/>
              </w:rPr>
              <w:t>Gross-to-net waterfall, per-product IP cliffs, prescription leading indicators, M&amp;A optionality</w:t>
            </w:r>
          </w:p>
        </w:tc>
      </w:tr>
    </w:tbl>
    <w:p w14:paraId="5705F8FB" w14:textId="77777777" w:rsidR="00181921" w:rsidRDefault="00181921">
      <w:pPr>
        <w:spacing w:before="60" w:after="60"/>
      </w:pPr>
    </w:p>
    <w:p w14:paraId="1B2D9252" w14:textId="77777777" w:rsidR="00181921" w:rsidRDefault="00000000">
      <w:pPr>
        <w:spacing w:before="40" w:after="40"/>
      </w:pPr>
      <w:r>
        <w:rPr>
          <w:b/>
          <w:bCs/>
          <w:sz w:val="18"/>
          <w:szCs w:val="18"/>
        </w:rPr>
        <w:t xml:space="preserve">Prepared: </w:t>
      </w:r>
      <w:r>
        <w:rPr>
          <w:sz w:val="18"/>
          <w:szCs w:val="18"/>
        </w:rPr>
        <w:t xml:space="preserve">March </w:t>
      </w:r>
      <w:proofErr w:type="gramStart"/>
      <w:r>
        <w:rPr>
          <w:sz w:val="18"/>
          <w:szCs w:val="18"/>
        </w:rPr>
        <w:t>2026  |</w:t>
      </w:r>
      <w:proofErr w:type="gramEnd"/>
      <w:r>
        <w:rPr>
          <w:sz w:val="18"/>
          <w:szCs w:val="18"/>
        </w:rPr>
        <w:t xml:space="preserve">  </w:t>
      </w:r>
      <w:r>
        <w:rPr>
          <w:b/>
          <w:bCs/>
          <w:sz w:val="18"/>
          <w:szCs w:val="18"/>
        </w:rPr>
        <w:t xml:space="preserve">Data through: </w:t>
      </w:r>
      <w:r>
        <w:rPr>
          <w:sz w:val="18"/>
          <w:szCs w:val="18"/>
        </w:rPr>
        <w:t>Q3 2025 (Sept 30, 2025</w:t>
      </w:r>
      <w:proofErr w:type="gramStart"/>
      <w:r>
        <w:rPr>
          <w:sz w:val="18"/>
          <w:szCs w:val="18"/>
        </w:rPr>
        <w:t>)  |</w:t>
      </w:r>
      <w:proofErr w:type="gramEnd"/>
      <w:r>
        <w:rPr>
          <w:sz w:val="18"/>
          <w:szCs w:val="18"/>
        </w:rPr>
        <w:t xml:space="preserve">  </w:t>
      </w:r>
      <w:r>
        <w:rPr>
          <w:b/>
          <w:bCs/>
          <w:sz w:val="18"/>
          <w:szCs w:val="18"/>
        </w:rPr>
        <w:t xml:space="preserve">Framework Version: </w:t>
      </w:r>
      <w:r>
        <w:rPr>
          <w:sz w:val="18"/>
          <w:szCs w:val="18"/>
        </w:rPr>
        <w:t>1.0</w:t>
      </w:r>
    </w:p>
    <w:p w14:paraId="3E532529" w14:textId="77777777" w:rsidR="00181921" w:rsidRDefault="00181921">
      <w:pPr>
        <w:pBdr>
          <w:bottom w:val="single" w:sz="6" w:space="1" w:color="1A6B72"/>
        </w:pBdr>
        <w:spacing w:before="80" w:after="80"/>
      </w:pPr>
    </w:p>
    <w:p w14:paraId="16C579C7" w14:textId="77777777" w:rsidR="00181921" w:rsidRDefault="00000000">
      <w:r>
        <w:br w:type="page"/>
      </w:r>
    </w:p>
    <w:p w14:paraId="30DD7FA4" w14:textId="77777777" w:rsidR="00181921" w:rsidRDefault="00000000">
      <w:pPr>
        <w:pStyle w:val="Heading1"/>
      </w:pPr>
      <w:r>
        <w:lastRenderedPageBreak/>
        <w:t>PART I: FRAMEWORK DEFINITION</w:t>
      </w:r>
    </w:p>
    <w:p w14:paraId="3C7680D5" w14:textId="77777777" w:rsidR="00181921" w:rsidRDefault="00181921">
      <w:pPr>
        <w:pBdr>
          <w:bottom w:val="single" w:sz="6" w:space="1" w:color="1B3A5C"/>
        </w:pBdr>
        <w:spacing w:before="80" w:after="80"/>
      </w:pPr>
    </w:p>
    <w:p w14:paraId="29394572" w14:textId="77777777" w:rsidR="00181921" w:rsidRDefault="00181921">
      <w:pPr>
        <w:spacing w:before="60" w:after="60"/>
      </w:pPr>
    </w:p>
    <w:p w14:paraId="1529E6A1" w14:textId="77777777" w:rsidR="00181921" w:rsidRDefault="00000000">
      <w:pPr>
        <w:pStyle w:val="Heading2"/>
      </w:pPr>
      <w:proofErr w:type="gramStart"/>
      <w:r>
        <w:t>1.1  Design</w:t>
      </w:r>
      <w:proofErr w:type="gramEnd"/>
      <w:r>
        <w:t xml:space="preserve"> Rationale</w:t>
      </w:r>
    </w:p>
    <w:p w14:paraId="03817B85" w14:textId="77777777" w:rsidR="00181921" w:rsidRDefault="00000000">
      <w:pPr>
        <w:spacing w:before="40" w:after="40"/>
      </w:pPr>
      <w:r>
        <w:t>The Early-Commercial Biotech Quality Checklist (v2) provides an excellent structural spine for revenue-stage companies with negative ROIC—replacing traditional ROIC and FCF metrics with forward-looking indicators like incremental operating margin and cash runway. However, when applied to commercial-stage specialty pharma companies with multi-product portfolios, four material gaps emerge:</w:t>
      </w:r>
    </w:p>
    <w:p w14:paraId="196C464E" w14:textId="77777777" w:rsidR="00181921" w:rsidRDefault="001819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81921" w14:paraId="41FE8B2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69D1DF85" w14:textId="77777777" w:rsidR="00181921" w:rsidRDefault="00000000">
            <w:r>
              <w:rPr>
                <w:b/>
                <w:bCs/>
                <w:color w:val="FFFFFF"/>
                <w:sz w:val="19"/>
                <w:szCs w:val="19"/>
              </w:rPr>
              <w:t>Framework Gap</w:t>
            </w:r>
          </w:p>
        </w:tc>
        <w:tc>
          <w:tcPr>
            <w:tcW w:w="656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3378F292" w14:textId="77777777" w:rsidR="00181921" w:rsidRDefault="00000000">
            <w:r>
              <w:rPr>
                <w:b/>
                <w:bCs/>
                <w:color w:val="FFFFFF"/>
                <w:sz w:val="19"/>
                <w:szCs w:val="19"/>
              </w:rPr>
              <w:t>Why It Matters for Specialty Pharma</w:t>
            </w:r>
          </w:p>
        </w:tc>
      </w:tr>
      <w:tr w:rsidR="00181921" w14:paraId="1729C67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D2E29C4" w14:textId="77777777" w:rsidR="00181921" w:rsidRDefault="00000000">
            <w:r>
              <w:rPr>
                <w:b/>
                <w:bCs/>
                <w:color w:val="1B3A5C"/>
                <w:sz w:val="19"/>
                <w:szCs w:val="19"/>
              </w:rPr>
              <w:t>Gross-to-net waterfall</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053E09" w14:textId="77777777" w:rsidR="00181921" w:rsidRDefault="00000000">
            <w:r>
              <w:rPr>
                <w:sz w:val="19"/>
                <w:szCs w:val="19"/>
              </w:rPr>
              <w:t>Specialty pharma net revenue ≠ list price. Rebates, chargebacks, and copay cards can make gross margin optics misleading without per-product G2N decomposition.</w:t>
            </w:r>
          </w:p>
        </w:tc>
      </w:tr>
      <w:tr w:rsidR="00181921" w14:paraId="0FBF7D3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8AEE1D3" w14:textId="77777777" w:rsidR="00181921" w:rsidRDefault="00000000">
            <w:r>
              <w:rPr>
                <w:b/>
                <w:bCs/>
                <w:color w:val="1B3A5C"/>
                <w:sz w:val="19"/>
                <w:szCs w:val="19"/>
              </w:rPr>
              <w:t>Product-level IP cliffs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1A3066" w14:textId="77777777" w:rsidR="00181921" w:rsidRDefault="00000000">
            <w:r>
              <w:rPr>
                <w:sz w:val="19"/>
                <w:szCs w:val="19"/>
              </w:rPr>
              <w:t>Q3 (Moat Dynamics) covers IP generically. Specialty pharma requires a per-product exclusivity map—different expiry dates create very different cliff risk profiles within the same portfolio.</w:t>
            </w:r>
          </w:p>
        </w:tc>
      </w:tr>
      <w:tr w:rsidR="00181921" w14:paraId="6546777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034723D" w14:textId="77777777" w:rsidR="00181921" w:rsidRDefault="00000000">
            <w:r>
              <w:rPr>
                <w:b/>
                <w:bCs/>
                <w:color w:val="1B3A5C"/>
                <w:sz w:val="19"/>
                <w:szCs w:val="19"/>
              </w:rPr>
              <w:t>Prescription leading indicators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0F6946" w14:textId="77777777" w:rsidR="00181921" w:rsidRDefault="00000000">
            <w:r>
              <w:rPr>
                <w:sz w:val="19"/>
                <w:szCs w:val="19"/>
              </w:rPr>
              <w:t xml:space="preserve">Net revenue is a lagging indicator in </w:t>
            </w:r>
            <w:proofErr w:type="gramStart"/>
            <w:r>
              <w:rPr>
                <w:sz w:val="19"/>
                <w:szCs w:val="19"/>
              </w:rPr>
              <w:t>pharma</w:t>
            </w:r>
            <w:proofErr w:type="gramEnd"/>
            <w:r>
              <w:rPr>
                <w:sz w:val="19"/>
                <w:szCs w:val="19"/>
              </w:rPr>
              <w:t xml:space="preserve">. </w:t>
            </w:r>
            <w:proofErr w:type="spellStart"/>
            <w:r>
              <w:rPr>
                <w:sz w:val="19"/>
                <w:szCs w:val="19"/>
              </w:rPr>
              <w:t>TRx</w:t>
            </w:r>
            <w:proofErr w:type="spellEnd"/>
            <w:r>
              <w:rPr>
                <w:sz w:val="19"/>
                <w:szCs w:val="19"/>
              </w:rPr>
              <w:t>/NRx trends, refill rates, and new-to-brand prescriptions are leading indicators that can signal inflection 1–3 quarters ahead of reported revenue.</w:t>
            </w:r>
          </w:p>
        </w:tc>
      </w:tr>
      <w:tr w:rsidR="00181921" w14:paraId="376E83F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B623D04" w14:textId="77777777" w:rsidR="00181921" w:rsidRDefault="00000000">
            <w:r>
              <w:rPr>
                <w:b/>
                <w:bCs/>
                <w:color w:val="1B3A5C"/>
                <w:sz w:val="19"/>
                <w:szCs w:val="19"/>
              </w:rPr>
              <w:t>M&amp;A / takeout optionality</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CB970C" w14:textId="77777777" w:rsidR="00181921" w:rsidRDefault="00000000">
            <w:r>
              <w:rPr>
                <w:sz w:val="19"/>
                <w:szCs w:val="19"/>
              </w:rPr>
              <w:t>Specialty derm companies frequently trade on strategic premium. A purely financial quality framework misses the optionality value embedded in an acquirable portfolio of branded dermatology assets.</w:t>
            </w:r>
          </w:p>
        </w:tc>
      </w:tr>
    </w:tbl>
    <w:p w14:paraId="25C9AE6B" w14:textId="77777777" w:rsidR="00181921" w:rsidRDefault="00181921">
      <w:pPr>
        <w:spacing w:before="80" w:after="80"/>
      </w:pPr>
    </w:p>
    <w:p w14:paraId="4534F2DF" w14:textId="77777777" w:rsidR="00181921" w:rsidRDefault="00000000">
      <w:pPr>
        <w:pStyle w:val="Heading2"/>
      </w:pPr>
      <w:proofErr w:type="gramStart"/>
      <w:r>
        <w:t>1.2  Framework</w:t>
      </w:r>
      <w:proofErr w:type="gramEnd"/>
      <w:r>
        <w:t xml:space="preserve"> Architecture: 10 + 4 Hybrid</w:t>
      </w:r>
    </w:p>
    <w:p w14:paraId="1B56311A" w14:textId="77777777" w:rsidR="00181921" w:rsidRDefault="00000000">
      <w:pPr>
        <w:spacing w:before="40" w:after="40"/>
      </w:pPr>
      <w:r>
        <w:t>The framework retains all ten pillars of the Early-Commercial Biotech Quality Checklist verbatim, then appends four Specialty Pharma Modules scored separately. This preserves backward comparability with existing scored cohort companies (</w:t>
      </w:r>
      <w:proofErr w:type="spellStart"/>
      <w:r>
        <w:t>Emrosi</w:t>
      </w:r>
      <w:proofErr w:type="spellEnd"/>
      <w:r>
        <w:t>, Palantir, Veeva, etc.) while capturing the dimensions unique to specialty pharma.</w:t>
      </w:r>
    </w:p>
    <w:p w14:paraId="54A66EFD" w14:textId="77777777" w:rsidR="00181921" w:rsidRDefault="0018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1921" w14:paraId="6C15DB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tcPr>
          <w:p w14:paraId="0FFCB0C3" w14:textId="77777777" w:rsidR="00181921" w:rsidRDefault="00000000">
            <w:r>
              <w:rPr>
                <w:b/>
                <w:bCs/>
                <w:color w:val="FFFFFF"/>
                <w:sz w:val="24"/>
                <w:szCs w:val="24"/>
              </w:rPr>
              <w:t xml:space="preserve">PILLAR 1: COMPETITIVE </w:t>
            </w:r>
            <w:proofErr w:type="gramStart"/>
            <w:r>
              <w:rPr>
                <w:b/>
                <w:bCs/>
                <w:color w:val="FFFFFF"/>
                <w:sz w:val="24"/>
                <w:szCs w:val="24"/>
              </w:rPr>
              <w:t>ADVANTAGES  (</w:t>
            </w:r>
            <w:proofErr w:type="gramEnd"/>
            <w:r>
              <w:rPr>
                <w:b/>
                <w:bCs/>
                <w:color w:val="FFFFFF"/>
                <w:sz w:val="24"/>
                <w:szCs w:val="24"/>
              </w:rPr>
              <w:t>Q1 – Q3)</w:t>
            </w:r>
          </w:p>
        </w:tc>
      </w:tr>
    </w:tbl>
    <w:p w14:paraId="1DA381BF" w14:textId="77777777" w:rsidR="00181921" w:rsidRDefault="00181921">
      <w:pPr>
        <w:spacing w:before="40" w:after="40"/>
      </w:pPr>
    </w:p>
    <w:p w14:paraId="24B54418" w14:textId="77777777" w:rsidR="00181921" w:rsidRDefault="00000000">
      <w:pPr>
        <w:spacing w:before="40" w:after="40"/>
      </w:pPr>
      <w:r>
        <w:rPr>
          <w:b/>
          <w:bCs/>
          <w:color w:val="1A6B72"/>
        </w:rPr>
        <w:t>Q1: PRICING POWER &amp; REIMBURSEMENT STRENGTH</w:t>
      </w:r>
    </w:p>
    <w:p w14:paraId="5902200A" w14:textId="77777777" w:rsidR="00181921" w:rsidRDefault="00000000">
      <w:pPr>
        <w:spacing w:before="40" w:after="40"/>
      </w:pPr>
      <w:r>
        <w:t>Analyze ASP vs. clinical value delivered. Payer coverage quality (Medicare / commercial). CPT codes or pass-through status. Pricing sustainability vs. competitive entry and payer pushback. Gross-to-net spread trend (if disclosed). Scoring Note for Specialty Pharma: Penalize opacity on G2N; treat undisclosed G2N as a medium risk signal.</w:t>
      </w:r>
    </w:p>
    <w:p w14:paraId="4193F8DF" w14:textId="77777777" w:rsidR="00181921" w:rsidRDefault="00181921">
      <w:pPr>
        <w:spacing w:before="30" w:after="30"/>
      </w:pPr>
    </w:p>
    <w:p w14:paraId="64BF69A9" w14:textId="77777777" w:rsidR="00181921" w:rsidRDefault="00000000">
      <w:pPr>
        <w:spacing w:before="40" w:after="40"/>
      </w:pPr>
      <w:r>
        <w:rPr>
          <w:b/>
          <w:bCs/>
          <w:color w:val="1A6B72"/>
        </w:rPr>
        <w:t>Q2: CLINICAL DIFFERENTIATION &amp; STICKINESS</w:t>
      </w:r>
    </w:p>
    <w:p w14:paraId="1E4572C1" w14:textId="77777777" w:rsidR="00181921" w:rsidRDefault="00000000">
      <w:pPr>
        <w:spacing w:before="40" w:after="40"/>
      </w:pPr>
      <w:r>
        <w:t>Clinically meaningful differentiation vs. alternatives. Persistence/adherence rates for chronic therapies. Embedded in clinical workflows or treatment guidelines. Switching costs. Specialty Pharma Addition: Guideline inclusion (</w:t>
      </w:r>
      <w:proofErr w:type="spellStart"/>
      <w:r>
        <w:t>eg.</w:t>
      </w:r>
      <w:proofErr w:type="spellEnd"/>
      <w:r>
        <w:t xml:space="preserve"> society algorithms) and head-to-head data vs. standard of care.</w:t>
      </w:r>
    </w:p>
    <w:p w14:paraId="69502157" w14:textId="77777777" w:rsidR="00181921" w:rsidRDefault="00181921">
      <w:pPr>
        <w:spacing w:before="30" w:after="30"/>
      </w:pPr>
    </w:p>
    <w:p w14:paraId="421BEE88" w14:textId="77777777" w:rsidR="00181921" w:rsidRDefault="00000000">
      <w:pPr>
        <w:spacing w:before="40" w:after="40"/>
      </w:pPr>
      <w:r>
        <w:rPr>
          <w:b/>
          <w:bCs/>
          <w:color w:val="1A6B72"/>
        </w:rPr>
        <w:t>Q3: MOAT DYNAMICS &amp; IP PROTECTION</w:t>
      </w:r>
    </w:p>
    <w:p w14:paraId="449AAEC6" w14:textId="77777777" w:rsidR="00181921" w:rsidRDefault="00000000">
      <w:pPr>
        <w:spacing w:before="40" w:after="40"/>
      </w:pPr>
      <w:r>
        <w:lastRenderedPageBreak/>
        <w:t>Patent estate by product and key expiry dates. Trade secrets, manufacturing know-how, or data exclusivity. RWE accumulation and data moat trajectory. Competitive pipeline threat timeline. For Specialty Pharma: Use SP-2 (IP/Exclusivity Map) as the quantitative complement to this qualitative pillar.</w:t>
      </w:r>
    </w:p>
    <w:p w14:paraId="7D2FB3D3" w14:textId="77777777" w:rsidR="00181921" w:rsidRDefault="0018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1921" w14:paraId="25C293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2"/>
            <w:tcMar>
              <w:top w:w="120" w:type="dxa"/>
              <w:left w:w="180" w:type="dxa"/>
              <w:bottom w:w="120" w:type="dxa"/>
              <w:right w:w="180" w:type="dxa"/>
            </w:tcMar>
          </w:tcPr>
          <w:p w14:paraId="2A1293F3" w14:textId="77777777" w:rsidR="00181921" w:rsidRDefault="00000000">
            <w:r>
              <w:rPr>
                <w:b/>
                <w:bCs/>
                <w:color w:val="FFFFFF"/>
                <w:sz w:val="24"/>
                <w:szCs w:val="24"/>
              </w:rPr>
              <w:t xml:space="preserve">PILLAR 2: PATH TO </w:t>
            </w:r>
            <w:proofErr w:type="gramStart"/>
            <w:r>
              <w:rPr>
                <w:b/>
                <w:bCs/>
                <w:color w:val="FFFFFF"/>
                <w:sz w:val="24"/>
                <w:szCs w:val="24"/>
              </w:rPr>
              <w:t>PROFITABILITY  (</w:t>
            </w:r>
            <w:proofErr w:type="gramEnd"/>
            <w:r>
              <w:rPr>
                <w:b/>
                <w:bCs/>
                <w:color w:val="FFFFFF"/>
                <w:sz w:val="24"/>
                <w:szCs w:val="24"/>
              </w:rPr>
              <w:t>Q4 – Q7)</w:t>
            </w:r>
          </w:p>
        </w:tc>
      </w:tr>
    </w:tbl>
    <w:p w14:paraId="349398F5" w14:textId="77777777" w:rsidR="00181921" w:rsidRDefault="00181921">
      <w:pPr>
        <w:spacing w:before="40" w:after="40"/>
      </w:pPr>
    </w:p>
    <w:p w14:paraId="1D5FB06B" w14:textId="77777777" w:rsidR="00181921" w:rsidRDefault="00000000">
      <w:pPr>
        <w:spacing w:before="40" w:after="40"/>
      </w:pPr>
      <w:r>
        <w:rPr>
          <w:b/>
          <w:bCs/>
          <w:color w:val="1A6B72"/>
        </w:rPr>
        <w:t>Q4: UNIT ECONOMICS &amp; GROSS MARGIN TRAJECTORY</w:t>
      </w:r>
    </w:p>
    <w:p w14:paraId="7AFFC24C" w14:textId="77777777" w:rsidR="00181921" w:rsidRDefault="00000000">
      <w:pPr>
        <w:spacing w:before="40" w:after="40"/>
      </w:pPr>
      <w:r>
        <w:t>Current gross margin and 8-quarter trend. Target gross margin at scale. Manufacturing cost improvements with volume. Contribution margin per unit where disclosed. Structural barriers to target margins. Specialty Pharma Note: Royalty obligations create a structural gross margin ceiling—always quantify and model separately.</w:t>
      </w:r>
    </w:p>
    <w:p w14:paraId="40CDDE1D" w14:textId="77777777" w:rsidR="00181921" w:rsidRDefault="00181921">
      <w:pPr>
        <w:spacing w:before="30" w:after="30"/>
      </w:pPr>
    </w:p>
    <w:p w14:paraId="34CEC5CB" w14:textId="77777777" w:rsidR="00181921" w:rsidRDefault="00000000">
      <w:pPr>
        <w:spacing w:before="40" w:after="40"/>
      </w:pPr>
      <w:r>
        <w:rPr>
          <w:b/>
          <w:bCs/>
          <w:color w:val="1A6B72"/>
        </w:rPr>
        <w:t>Q5: INCREMENTAL OPERATING MARGIN &amp; PATH TO BREAKEVEN</w:t>
      </w:r>
    </w:p>
    <w:p w14:paraId="7B86CC9E" w14:textId="77777777" w:rsidR="00181921" w:rsidRDefault="00000000">
      <w:pPr>
        <w:spacing w:before="40" w:after="40"/>
      </w:pPr>
      <w:r>
        <w:t>KEY METRIC: Incremental Operating Margin (</w:t>
      </w:r>
      <w:proofErr w:type="spellStart"/>
      <w:r>
        <w:t>ΔOperating</w:t>
      </w:r>
      <w:proofErr w:type="spellEnd"/>
      <w:r>
        <w:t xml:space="preserve"> Income / </w:t>
      </w:r>
      <w:proofErr w:type="spellStart"/>
      <w:r>
        <w:t>ΔRevenue</w:t>
      </w:r>
      <w:proofErr w:type="spellEnd"/>
      <w:r>
        <w:t xml:space="preserve">) reveals business model scalability. </w:t>
      </w:r>
      <w:proofErr w:type="gramStart"/>
      <w:r>
        <w:t>Calculate</w:t>
      </w:r>
      <w:proofErr w:type="gramEnd"/>
      <w:r>
        <w:t xml:space="preserve">: Incremental Gross Margin = </w:t>
      </w:r>
      <w:proofErr w:type="spellStart"/>
      <w:r>
        <w:t>ΔGross</w:t>
      </w:r>
      <w:proofErr w:type="spellEnd"/>
      <w:r>
        <w:t xml:space="preserve"> Profit / </w:t>
      </w:r>
      <w:proofErr w:type="spellStart"/>
      <w:r>
        <w:t>ΔRevenue</w:t>
      </w:r>
      <w:proofErr w:type="spellEnd"/>
      <w:r>
        <w:t xml:space="preserve">. Incremental </w:t>
      </w:r>
      <w:proofErr w:type="spellStart"/>
      <w:r>
        <w:t>OpEx</w:t>
      </w:r>
      <w:proofErr w:type="spellEnd"/>
      <w:r>
        <w:t xml:space="preserve"> Ratio = </w:t>
      </w:r>
      <w:proofErr w:type="spellStart"/>
      <w:r>
        <w:t>ΔOpEx</w:t>
      </w:r>
      <w:proofErr w:type="spellEnd"/>
      <w:r>
        <w:t xml:space="preserve"> / </w:t>
      </w:r>
      <w:proofErr w:type="spellStart"/>
      <w:r>
        <w:t>ΔRevenue</w:t>
      </w:r>
      <w:proofErr w:type="spellEnd"/>
      <w:r>
        <w:t xml:space="preserve"> (target: &lt;60% and declining). Breakeven Revenue = Current Quarterly </w:t>
      </w:r>
      <w:proofErr w:type="spellStart"/>
      <w:r>
        <w:t>OpEx</w:t>
      </w:r>
      <w:proofErr w:type="spellEnd"/>
      <w:r>
        <w:t xml:space="preserve"> / Target Gross Margin %. Track trend over 4+ quarters.</w:t>
      </w:r>
    </w:p>
    <w:p w14:paraId="7D64BB5C" w14:textId="77777777" w:rsidR="00181921" w:rsidRDefault="00181921">
      <w:pPr>
        <w:spacing w:before="30" w:after="30"/>
      </w:pPr>
    </w:p>
    <w:p w14:paraId="1C74C344" w14:textId="77777777" w:rsidR="00181921" w:rsidRDefault="00000000">
      <w:pPr>
        <w:spacing w:before="40" w:after="40"/>
      </w:pPr>
      <w:r>
        <w:rPr>
          <w:b/>
          <w:bCs/>
          <w:color w:val="1A6B72"/>
        </w:rPr>
        <w:t>Q6: CASH RUNWAY &amp; DILUTION RISK</w:t>
      </w:r>
    </w:p>
    <w:p w14:paraId="4673D182" w14:textId="77777777" w:rsidR="00181921" w:rsidRDefault="00000000">
      <w:pPr>
        <w:spacing w:before="40" w:after="40"/>
      </w:pPr>
      <w:r>
        <w:t>Cash runway in quarters = Cash / Quarterly Burn. Runway vs. profitability inflection (compare to Q5). Historical dilution rate (3-year share count CAGR). Pro forma dilution if additional capital needed. For Specialty Pharma: Identify debt facilities, ATM programs, and licensing deals as capital levers.</w:t>
      </w:r>
    </w:p>
    <w:p w14:paraId="64393ED7" w14:textId="77777777" w:rsidR="00181921" w:rsidRDefault="00181921">
      <w:pPr>
        <w:spacing w:before="30" w:after="30"/>
      </w:pPr>
    </w:p>
    <w:p w14:paraId="032CBD6A" w14:textId="77777777" w:rsidR="00181921" w:rsidRDefault="00000000">
      <w:pPr>
        <w:spacing w:before="40" w:after="40"/>
      </w:pPr>
      <w:r>
        <w:rPr>
          <w:b/>
          <w:bCs/>
          <w:color w:val="1A6B72"/>
        </w:rPr>
        <w:t>Q7: REVENUE QUALITY &amp; CONCENTRATION</w:t>
      </w:r>
    </w:p>
    <w:p w14:paraId="666B2FEC" w14:textId="77777777" w:rsidR="00181921" w:rsidRDefault="00000000">
      <w:pPr>
        <w:spacing w:before="40" w:after="40"/>
      </w:pPr>
      <w:r>
        <w:t>% Recurring vs</w:t>
      </w:r>
      <w:proofErr w:type="gramStart"/>
      <w:r>
        <w:t>. one-time</w:t>
      </w:r>
      <w:proofErr w:type="gramEnd"/>
      <w:r>
        <w:t xml:space="preserve"> revenue. Product concentration (top product as % of total). Payer and geographic concentration. Revenue growth drivers: volume vs. price vs. mix. Specialty Pharma Addition: Flag one-time licensing or milestone payments that inflate reported revenue </w:t>
      </w:r>
      <w:proofErr w:type="gramStart"/>
      <w:r>
        <w:t>in a given</w:t>
      </w:r>
      <w:proofErr w:type="gramEnd"/>
      <w:r>
        <w:t xml:space="preserve"> period.</w:t>
      </w:r>
    </w:p>
    <w:p w14:paraId="391A5537" w14:textId="77777777" w:rsidR="00181921" w:rsidRDefault="0018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1921" w14:paraId="45B5D6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tcPr>
          <w:p w14:paraId="4243FFB7" w14:textId="77777777" w:rsidR="00181921" w:rsidRDefault="00000000">
            <w:r>
              <w:rPr>
                <w:b/>
                <w:bCs/>
                <w:color w:val="FFFFFF"/>
                <w:sz w:val="24"/>
                <w:szCs w:val="24"/>
              </w:rPr>
              <w:t xml:space="preserve">PILLAR 3: EXECUTION &amp; </w:t>
            </w:r>
            <w:proofErr w:type="gramStart"/>
            <w:r>
              <w:rPr>
                <w:b/>
                <w:bCs/>
                <w:color w:val="FFFFFF"/>
                <w:sz w:val="24"/>
                <w:szCs w:val="24"/>
              </w:rPr>
              <w:t>OPTIONALITY  (</w:t>
            </w:r>
            <w:proofErr w:type="gramEnd"/>
            <w:r>
              <w:rPr>
                <w:b/>
                <w:bCs/>
                <w:color w:val="FFFFFF"/>
                <w:sz w:val="24"/>
                <w:szCs w:val="24"/>
              </w:rPr>
              <w:t>Q8 – Q10)</w:t>
            </w:r>
          </w:p>
        </w:tc>
      </w:tr>
    </w:tbl>
    <w:p w14:paraId="6BE201B2" w14:textId="77777777" w:rsidR="00181921" w:rsidRDefault="00181921">
      <w:pPr>
        <w:spacing w:before="40" w:after="40"/>
      </w:pPr>
    </w:p>
    <w:p w14:paraId="5867FA5B" w14:textId="77777777" w:rsidR="00181921" w:rsidRDefault="00000000">
      <w:pPr>
        <w:spacing w:before="40" w:after="40"/>
      </w:pPr>
      <w:r>
        <w:rPr>
          <w:b/>
          <w:bCs/>
          <w:color w:val="1A6B72"/>
        </w:rPr>
        <w:t>Q8: COMMERCIAL EXECUTION QUALITY</w:t>
      </w:r>
    </w:p>
    <w:p w14:paraId="27FC5618" w14:textId="77777777" w:rsidR="00181921" w:rsidRDefault="00000000">
      <w:pPr>
        <w:spacing w:before="40" w:after="40"/>
      </w:pPr>
      <w:r>
        <w:t>Revenue vs. street expectations (beat/miss track record). Launch trajectory vs. comparable product launches. Sales force productivity (revenue per rep where calculable). Prescriber base growth and geographic expansion. Specialty Pharma: Use SP-3 (Rx Dynamics) as the quantitative complement.</w:t>
      </w:r>
    </w:p>
    <w:p w14:paraId="167F92D0" w14:textId="77777777" w:rsidR="00181921" w:rsidRDefault="00181921">
      <w:pPr>
        <w:spacing w:before="30" w:after="30"/>
      </w:pPr>
    </w:p>
    <w:p w14:paraId="373002F7" w14:textId="77777777" w:rsidR="00181921" w:rsidRDefault="00000000">
      <w:pPr>
        <w:spacing w:before="40" w:after="40"/>
      </w:pPr>
      <w:r>
        <w:rPr>
          <w:b/>
          <w:bCs/>
          <w:color w:val="1A6B72"/>
        </w:rPr>
        <w:t>Q9: PIPELINE OPTIONALITY &amp; PLATFORM VALIDATION</w:t>
      </w:r>
    </w:p>
    <w:p w14:paraId="47EE898F" w14:textId="77777777" w:rsidR="00181921" w:rsidRDefault="00000000">
      <w:pPr>
        <w:spacing w:before="40" w:after="40"/>
      </w:pPr>
      <w:r>
        <w:t>Near-term pipeline (within 24 months of approval/launch). Platform technology enabling multiple products. TAM expansion from pipeline assets. Partnership opportunities validating technology. For Specialty Pharma: Score conservatively—most specialty pharma pipelines are thin; licensing upside is speculative until deal terms are disclosed.</w:t>
      </w:r>
    </w:p>
    <w:p w14:paraId="252005E6" w14:textId="77777777" w:rsidR="00181921" w:rsidRDefault="00181921">
      <w:pPr>
        <w:spacing w:before="30" w:after="30"/>
      </w:pPr>
    </w:p>
    <w:p w14:paraId="588EFEF4" w14:textId="77777777" w:rsidR="00181921" w:rsidRDefault="00000000">
      <w:pPr>
        <w:spacing w:before="40" w:after="40"/>
      </w:pPr>
      <w:r>
        <w:rPr>
          <w:b/>
          <w:bCs/>
          <w:color w:val="1A6B72"/>
        </w:rPr>
        <w:t>Q10: EXISTENTIAL THREATS &amp; RISK MITIGATION</w:t>
      </w:r>
    </w:p>
    <w:p w14:paraId="00D7AB8A" w14:textId="77777777" w:rsidR="00181921" w:rsidRDefault="00000000">
      <w:pPr>
        <w:spacing w:before="40" w:after="40"/>
      </w:pPr>
      <w:r>
        <w:t>Top 3 competitive threats. Clinical/regulatory risks. Reimbursement/pricing risk. Financing/dilution risk. Key person risk. For Specialty Pharma: Always model the bear case with generic entry at contractual dates, not just patent expiry dates.</w:t>
      </w:r>
    </w:p>
    <w:p w14:paraId="6CDC78E3" w14:textId="77777777" w:rsidR="00181921" w:rsidRDefault="0018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1921" w14:paraId="3BF824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B5F8A"/>
            <w:tcMar>
              <w:top w:w="120" w:type="dxa"/>
              <w:left w:w="180" w:type="dxa"/>
              <w:bottom w:w="120" w:type="dxa"/>
              <w:right w:w="180" w:type="dxa"/>
            </w:tcMar>
          </w:tcPr>
          <w:p w14:paraId="61169FAA" w14:textId="77777777" w:rsidR="00181921" w:rsidRDefault="00000000">
            <w:r>
              <w:rPr>
                <w:b/>
                <w:bCs/>
                <w:color w:val="FFFFFF"/>
                <w:sz w:val="24"/>
                <w:szCs w:val="24"/>
              </w:rPr>
              <w:t xml:space="preserve">SPECIALTY PHARMA </w:t>
            </w:r>
            <w:proofErr w:type="gramStart"/>
            <w:r>
              <w:rPr>
                <w:b/>
                <w:bCs/>
                <w:color w:val="FFFFFF"/>
                <w:sz w:val="24"/>
                <w:szCs w:val="24"/>
              </w:rPr>
              <w:t>MODULE  (</w:t>
            </w:r>
            <w:proofErr w:type="gramEnd"/>
            <w:r>
              <w:rPr>
                <w:b/>
                <w:bCs/>
                <w:color w:val="FFFFFF"/>
                <w:sz w:val="24"/>
                <w:szCs w:val="24"/>
              </w:rPr>
              <w:t>SP-1 – SP-4)</w:t>
            </w:r>
          </w:p>
        </w:tc>
      </w:tr>
    </w:tbl>
    <w:p w14:paraId="3992E5B8" w14:textId="77777777" w:rsidR="00181921" w:rsidRDefault="00181921">
      <w:pPr>
        <w:spacing w:before="40" w:after="40"/>
      </w:pPr>
    </w:p>
    <w:p w14:paraId="5383881A" w14:textId="77777777" w:rsidR="00181921" w:rsidRDefault="00000000">
      <w:pPr>
        <w:spacing w:before="40" w:after="40"/>
      </w:pPr>
      <w:r>
        <w:rPr>
          <w:b/>
          <w:bCs/>
          <w:color w:val="B8860B"/>
        </w:rPr>
        <w:t>SP-1: GROSS-TO-NET WATERFALL ANALYSIS</w:t>
      </w:r>
    </w:p>
    <w:p w14:paraId="7809397D" w14:textId="77777777" w:rsidR="00181921" w:rsidRDefault="00000000">
      <w:pPr>
        <w:spacing w:before="40" w:after="40"/>
      </w:pPr>
      <w:r>
        <w:lastRenderedPageBreak/>
        <w:t>Decompose gross-to-net by product: list price, gross revenue, less rebates/chargebacks/returns/copay assistance = net revenue. Calculate net revenue per prescription (net revenue / total Rx). Track G2N spread trend as payer contracting matures. Score Penalty: Undisclosed G2N in a commercial-stage company = automatic 1-point deduction. Score Boost: Disclosed, improving G2N with named payer wins = +1 bonus.</w:t>
      </w:r>
    </w:p>
    <w:p w14:paraId="14EF6DC5" w14:textId="77777777" w:rsidR="00181921" w:rsidRDefault="00181921">
      <w:pPr>
        <w:spacing w:before="30" w:after="30"/>
      </w:pPr>
    </w:p>
    <w:p w14:paraId="4052CDB2" w14:textId="77777777" w:rsidR="00181921" w:rsidRDefault="00000000">
      <w:pPr>
        <w:spacing w:before="40" w:after="40"/>
      </w:pPr>
      <w:r>
        <w:rPr>
          <w:b/>
          <w:bCs/>
          <w:color w:val="B8860B"/>
        </w:rPr>
        <w:t>SP-2: PRODUCT-LEVEL IP / EXCLUSIVITY MAP</w:t>
      </w:r>
    </w:p>
    <w:p w14:paraId="43AA092B" w14:textId="77777777" w:rsidR="00181921" w:rsidRDefault="00000000">
      <w:pPr>
        <w:spacing w:before="40" w:after="40"/>
      </w:pPr>
      <w:r>
        <w:t xml:space="preserve">Build a per-product timeline: patent expiry dates, Paragraph IV settlement dates, authorized generic risk windows, data exclusivity, compounding pharmacy threat (especially for generic-molecule branded products). Flag: any product with generic entry permitted within 24 months = HIGH RISK. Flag: </w:t>
      </w:r>
      <w:proofErr w:type="gramStart"/>
      <w:r>
        <w:t>patent litigation active</w:t>
      </w:r>
      <w:proofErr w:type="gramEnd"/>
      <w:r>
        <w:t xml:space="preserve"> = WATCH. Score based on weighted portfolio exclusivity duration and cliff severity.</w:t>
      </w:r>
    </w:p>
    <w:p w14:paraId="6D2E98DA" w14:textId="77777777" w:rsidR="00181921" w:rsidRDefault="00181921">
      <w:pPr>
        <w:spacing w:before="30" w:after="30"/>
      </w:pPr>
    </w:p>
    <w:p w14:paraId="2FAAC20E" w14:textId="77777777" w:rsidR="00181921" w:rsidRDefault="00000000">
      <w:pPr>
        <w:spacing w:before="40" w:after="40"/>
      </w:pPr>
      <w:r>
        <w:rPr>
          <w:b/>
          <w:bCs/>
          <w:color w:val="B8860B"/>
        </w:rPr>
        <w:t>SP-3: PRESCRIPTION DYNAMICS / LEADING INDICATORS</w:t>
      </w:r>
    </w:p>
    <w:p w14:paraId="44E36B6D" w14:textId="77777777" w:rsidR="00181921" w:rsidRDefault="00000000">
      <w:pPr>
        <w:spacing w:before="40" w:after="40"/>
      </w:pPr>
      <w:r>
        <w:t xml:space="preserve">Track </w:t>
      </w:r>
      <w:proofErr w:type="spellStart"/>
      <w:r>
        <w:t>TRx</w:t>
      </w:r>
      <w:proofErr w:type="spellEnd"/>
      <w:r>
        <w:t xml:space="preserve"> (total prescriptions) and NRx (new prescriptions) trends by product. Calculate net revenue per Rx for disclosed products. Monitor: prescriber base expansion (new-to-brand writers), refill rate (persistence metric), days on therapy. Market share vs. addressable prescribers. Payer coverage expansions as leading indicators of future Rx acceleration. Score based on trend trajectory, not absolute level.</w:t>
      </w:r>
    </w:p>
    <w:p w14:paraId="639D145B" w14:textId="77777777" w:rsidR="00181921" w:rsidRDefault="00181921">
      <w:pPr>
        <w:spacing w:before="30" w:after="30"/>
      </w:pPr>
    </w:p>
    <w:p w14:paraId="1C22C625" w14:textId="77777777" w:rsidR="00181921" w:rsidRDefault="00000000">
      <w:pPr>
        <w:spacing w:before="40" w:after="40"/>
      </w:pPr>
      <w:r>
        <w:rPr>
          <w:b/>
          <w:bCs/>
          <w:color w:val="B8860B"/>
        </w:rPr>
        <w:t>SP-4: STRATEGIC VALUE &amp; EXIT OPTIONALITY</w:t>
      </w:r>
    </w:p>
    <w:p w14:paraId="7D18402C" w14:textId="77777777" w:rsidR="00181921" w:rsidRDefault="00000000">
      <w:pPr>
        <w:spacing w:before="40" w:after="40"/>
      </w:pPr>
      <w:r>
        <w:t xml:space="preserve">M&amp;A comparable transactions in specialty derm (revenue multiples, EBITDA multiples). </w:t>
      </w:r>
      <w:proofErr w:type="gramStart"/>
      <w:r>
        <w:t>Acquirer</w:t>
      </w:r>
      <w:proofErr w:type="gramEnd"/>
      <w:r>
        <w:t xml:space="preserve"> universe: large pharma derm divisions, PE-backed specialty pharma rollups. Asset bundle attractiveness: Would an acquirer value the commercial infrastructure + portfolio as a whole? Complexity discount: Founder/parent entity ownership structures (e.g., Fortress) reduce clean acquisition likelihood. Implied takeout premium at current price vs. peer transaction multiples.</w:t>
      </w:r>
    </w:p>
    <w:p w14:paraId="2662C3CF" w14:textId="77777777" w:rsidR="00181921" w:rsidRDefault="00181921">
      <w:pPr>
        <w:spacing w:before="60" w:after="60"/>
      </w:pPr>
    </w:p>
    <w:p w14:paraId="35FE9E5D" w14:textId="77777777" w:rsidR="00181921" w:rsidRDefault="00000000">
      <w:pPr>
        <w:pStyle w:val="Heading2"/>
      </w:pPr>
      <w:proofErr w:type="gramStart"/>
      <w:r>
        <w:t>1.3  Scoring</w:t>
      </w:r>
      <w:proofErr w:type="gramEnd"/>
      <w:r>
        <w:t xml:space="preserve"> Scale &amp; Rating Thresholds</w:t>
      </w:r>
    </w:p>
    <w:p w14:paraId="040E182D" w14:textId="77777777" w:rsidR="00181921" w:rsidRDefault="00000000">
      <w:pPr>
        <w:spacing w:before="40" w:after="40"/>
      </w:pPr>
      <w:r>
        <w:t>Each of Q1–Q10 is scored 1–5. Each of SP-1–SP-4 is scored 1–5. Total maximum = 70 points (50 core + 20 specialty pharma modules).</w:t>
      </w:r>
    </w:p>
    <w:p w14:paraId="2BC22747" w14:textId="77777777" w:rsidR="00181921" w:rsidRDefault="001819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181921" w14:paraId="4E6B3DD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26999B8" w14:textId="77777777" w:rsidR="00181921" w:rsidRDefault="00000000">
            <w:r>
              <w:rPr>
                <w:b/>
                <w:bCs/>
                <w:color w:val="FFFFFF"/>
                <w:sz w:val="19"/>
                <w:szCs w:val="19"/>
              </w:rPr>
              <w:t>Total Score</w:t>
            </w:r>
          </w:p>
        </w:tc>
        <w:tc>
          <w:tcPr>
            <w:tcW w:w="756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383B1A43" w14:textId="77777777" w:rsidR="00181921" w:rsidRDefault="00000000">
            <w:r>
              <w:rPr>
                <w:b/>
                <w:bCs/>
                <w:color w:val="FFFFFF"/>
                <w:sz w:val="19"/>
                <w:szCs w:val="19"/>
              </w:rPr>
              <w:t>Rating</w:t>
            </w:r>
          </w:p>
        </w:tc>
      </w:tr>
      <w:tr w:rsidR="00181921" w14:paraId="39A2089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032FBE6B" w14:textId="77777777" w:rsidR="00181921" w:rsidRDefault="00000000">
            <w:r>
              <w:rPr>
                <w:b/>
                <w:bCs/>
                <w:color w:val="FFFFFF"/>
                <w:sz w:val="19"/>
                <w:szCs w:val="19"/>
              </w:rPr>
              <w:t>56–70 pts</w:t>
            </w:r>
          </w:p>
        </w:tc>
        <w:tc>
          <w:tcPr>
            <w:tcW w:w="756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59A8BE86" w14:textId="77777777" w:rsidR="00181921" w:rsidRDefault="00000000">
            <w:r>
              <w:rPr>
                <w:b/>
                <w:bCs/>
                <w:color w:val="FFFFFF"/>
                <w:sz w:val="19"/>
                <w:szCs w:val="19"/>
              </w:rPr>
              <w:t>HIGH CONVICTION</w:t>
            </w:r>
          </w:p>
        </w:tc>
      </w:tr>
      <w:tr w:rsidR="00181921" w14:paraId="7552DCF8"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1830D856" w14:textId="77777777" w:rsidR="00181921" w:rsidRDefault="00000000">
            <w:r>
              <w:rPr>
                <w:b/>
                <w:bCs/>
                <w:color w:val="FFFFFF"/>
                <w:sz w:val="19"/>
                <w:szCs w:val="19"/>
              </w:rPr>
              <w:t>42–55 pts</w:t>
            </w:r>
          </w:p>
        </w:tc>
        <w:tc>
          <w:tcPr>
            <w:tcW w:w="756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24E80D4C" w14:textId="77777777" w:rsidR="00181921" w:rsidRDefault="00000000">
            <w:r>
              <w:rPr>
                <w:b/>
                <w:bCs/>
                <w:color w:val="FFFFFF"/>
                <w:sz w:val="19"/>
                <w:szCs w:val="19"/>
              </w:rPr>
              <w:t>WATCHLIST</w:t>
            </w:r>
          </w:p>
        </w:tc>
      </w:tr>
      <w:tr w:rsidR="00181921" w14:paraId="14CA1EA6"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06F4176C" w14:textId="77777777" w:rsidR="00181921" w:rsidRDefault="00000000">
            <w:r>
              <w:rPr>
                <w:b/>
                <w:bCs/>
                <w:color w:val="FFFFFF"/>
                <w:sz w:val="19"/>
                <w:szCs w:val="19"/>
              </w:rPr>
              <w:t>28–41 pts</w:t>
            </w:r>
          </w:p>
        </w:tc>
        <w:tc>
          <w:tcPr>
            <w:tcW w:w="756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5D33517D" w14:textId="77777777" w:rsidR="00181921" w:rsidRDefault="00000000">
            <w:r>
              <w:rPr>
                <w:b/>
                <w:bCs/>
                <w:color w:val="FFFFFF"/>
                <w:sz w:val="19"/>
                <w:szCs w:val="19"/>
              </w:rPr>
              <w:t>SPECULATIVE</w:t>
            </w:r>
          </w:p>
        </w:tc>
      </w:tr>
      <w:tr w:rsidR="00181921" w14:paraId="4C9C03B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290691E9" w14:textId="77777777" w:rsidR="00181921" w:rsidRDefault="00000000">
            <w:r>
              <w:rPr>
                <w:b/>
                <w:bCs/>
                <w:color w:val="FFFFFF"/>
                <w:sz w:val="19"/>
                <w:szCs w:val="19"/>
              </w:rPr>
              <w:t>&lt; 28 pts</w:t>
            </w:r>
          </w:p>
        </w:tc>
        <w:tc>
          <w:tcPr>
            <w:tcW w:w="756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7C1855AF" w14:textId="77777777" w:rsidR="00181921" w:rsidRDefault="00000000">
            <w:r>
              <w:rPr>
                <w:b/>
                <w:bCs/>
                <w:color w:val="FFFFFF"/>
                <w:sz w:val="19"/>
                <w:szCs w:val="19"/>
              </w:rPr>
              <w:t>AVOID</w:t>
            </w:r>
          </w:p>
        </w:tc>
      </w:tr>
    </w:tbl>
    <w:p w14:paraId="1846BDE0" w14:textId="77777777" w:rsidR="00181921" w:rsidRDefault="00181921">
      <w:pPr>
        <w:spacing w:before="40" w:after="40"/>
      </w:pPr>
    </w:p>
    <w:p w14:paraId="6CEEF7AA" w14:textId="77777777" w:rsidR="00181921" w:rsidRDefault="00000000">
      <w:pPr>
        <w:spacing w:before="40" w:after="40"/>
      </w:pPr>
      <w:r>
        <w:t xml:space="preserve">Score Interpretation: Each pillar is scored 1 (critical failure), 2 (significant weakness), 3 (adequate / market standard), 4 (competitive advantage), or 5 (exceptional / category-defining). A 3 is NOT </w:t>
      </w:r>
      <w:proofErr w:type="gramStart"/>
      <w:r>
        <w:t>neutral—it</w:t>
      </w:r>
      <w:proofErr w:type="gramEnd"/>
      <w:r>
        <w:t xml:space="preserve"> reflects competency without differentiation. Scores of 4–5 require specific, verifiable evidence.</w:t>
      </w:r>
    </w:p>
    <w:p w14:paraId="26A024ED" w14:textId="77777777" w:rsidR="00181921"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81921" w14:paraId="3CEA8E2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6B72"/>
            <w:tcMar>
              <w:top w:w="200" w:type="dxa"/>
              <w:left w:w="320" w:type="dxa"/>
              <w:bottom w:w="200" w:type="dxa"/>
              <w:right w:w="320" w:type="dxa"/>
            </w:tcMar>
          </w:tcPr>
          <w:p w14:paraId="68B56ECA" w14:textId="77777777" w:rsidR="00181921" w:rsidRDefault="00000000">
            <w:pPr>
              <w:jc w:val="center"/>
            </w:pPr>
            <w:r>
              <w:rPr>
                <w:b/>
                <w:bCs/>
                <w:color w:val="FFFFFF"/>
                <w:sz w:val="28"/>
                <w:szCs w:val="28"/>
              </w:rPr>
              <w:lastRenderedPageBreak/>
              <w:t>PART II: TEST CASE APPLICATION</w:t>
            </w:r>
          </w:p>
          <w:p w14:paraId="13681B4B" w14:textId="77777777" w:rsidR="00181921" w:rsidRDefault="00000000">
            <w:pPr>
              <w:jc w:val="center"/>
            </w:pPr>
            <w:r>
              <w:rPr>
                <w:b/>
                <w:bCs/>
                <w:color w:val="FFD700"/>
                <w:sz w:val="36"/>
                <w:szCs w:val="36"/>
              </w:rPr>
              <w:t xml:space="preserve">Journey Medical </w:t>
            </w:r>
            <w:proofErr w:type="gramStart"/>
            <w:r>
              <w:rPr>
                <w:b/>
                <w:bCs/>
                <w:color w:val="FFD700"/>
                <w:sz w:val="36"/>
                <w:szCs w:val="36"/>
              </w:rPr>
              <w:t>Corporation  |</w:t>
            </w:r>
            <w:proofErr w:type="gramEnd"/>
            <w:r>
              <w:rPr>
                <w:b/>
                <w:bCs/>
                <w:color w:val="FFD700"/>
                <w:sz w:val="36"/>
                <w:szCs w:val="36"/>
              </w:rPr>
              <w:t xml:space="preserve">  NASDAQ: DERM</w:t>
            </w:r>
          </w:p>
          <w:p w14:paraId="1BEBD2E8" w14:textId="77777777" w:rsidR="00181921" w:rsidRDefault="00181921">
            <w:pPr>
              <w:spacing w:before="40" w:after="40"/>
            </w:pPr>
          </w:p>
          <w:p w14:paraId="4106CCC6" w14:textId="77777777" w:rsidR="00181921" w:rsidRDefault="00000000">
            <w:pPr>
              <w:jc w:val="center"/>
            </w:pPr>
            <w:r>
              <w:rPr>
                <w:color w:val="CCE8F0"/>
              </w:rPr>
              <w:t xml:space="preserve">Commercial-Stage Specialty </w:t>
            </w:r>
            <w:proofErr w:type="gramStart"/>
            <w:r>
              <w:rPr>
                <w:color w:val="CCE8F0"/>
              </w:rPr>
              <w:t>Pharma  |</w:t>
            </w:r>
            <w:proofErr w:type="gramEnd"/>
            <w:r>
              <w:rPr>
                <w:color w:val="CCE8F0"/>
              </w:rPr>
              <w:t xml:space="preserve">  Data through Q3 </w:t>
            </w:r>
            <w:proofErr w:type="gramStart"/>
            <w:r>
              <w:rPr>
                <w:color w:val="CCE8F0"/>
              </w:rPr>
              <w:t>2025  |</w:t>
            </w:r>
            <w:proofErr w:type="gramEnd"/>
            <w:r>
              <w:rPr>
                <w:color w:val="CCE8F0"/>
              </w:rPr>
              <w:t xml:space="preserve">  March 2026</w:t>
            </w:r>
          </w:p>
        </w:tc>
      </w:tr>
    </w:tbl>
    <w:p w14:paraId="0D5BB620" w14:textId="77777777" w:rsidR="00181921" w:rsidRDefault="00181921">
      <w:pPr>
        <w:spacing w:before="80" w:after="80"/>
      </w:pPr>
    </w:p>
    <w:p w14:paraId="1266A233" w14:textId="77777777" w:rsidR="00181921" w:rsidRDefault="00000000">
      <w:pPr>
        <w:pStyle w:val="Heading2"/>
      </w:pPr>
      <w:proofErr w:type="gramStart"/>
      <w:r>
        <w:t>2.1  Company</w:t>
      </w:r>
      <w:proofErr w:type="gramEnd"/>
      <w: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81921" w14:paraId="719DEAE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6693754" w14:textId="77777777" w:rsidR="00181921" w:rsidRDefault="00000000">
            <w:r>
              <w:rPr>
                <w:b/>
                <w:bCs/>
                <w:color w:val="1B3A5C"/>
                <w:sz w:val="19"/>
                <w:szCs w:val="19"/>
              </w:rPr>
              <w:t>Company</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7C38DB" w14:textId="77777777" w:rsidR="00181921" w:rsidRDefault="00000000">
            <w:r>
              <w:rPr>
                <w:sz w:val="19"/>
                <w:szCs w:val="19"/>
              </w:rPr>
              <w:t>Journey Medical Corporation (NASDAQ: DERM)</w:t>
            </w:r>
          </w:p>
        </w:tc>
      </w:tr>
      <w:tr w:rsidR="00181921" w14:paraId="5F856A2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2493C04" w14:textId="77777777" w:rsidR="00181921" w:rsidRDefault="00000000">
            <w:r>
              <w:rPr>
                <w:b/>
                <w:bCs/>
                <w:color w:val="1B3A5C"/>
                <w:sz w:val="19"/>
                <w:szCs w:val="19"/>
              </w:rPr>
              <w:t>Headquarters</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9043C9" w14:textId="77777777" w:rsidR="00181921" w:rsidRDefault="00000000">
            <w:r>
              <w:rPr>
                <w:sz w:val="19"/>
                <w:szCs w:val="19"/>
              </w:rPr>
              <w:t>Scottsdale, Arizona</w:t>
            </w:r>
          </w:p>
        </w:tc>
      </w:tr>
      <w:tr w:rsidR="00181921" w14:paraId="0221A21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C466F34" w14:textId="77777777" w:rsidR="00181921" w:rsidRDefault="00000000">
            <w:r>
              <w:rPr>
                <w:b/>
                <w:bCs/>
                <w:color w:val="1B3A5C"/>
                <w:sz w:val="19"/>
                <w:szCs w:val="19"/>
              </w:rPr>
              <w:t>Business Model</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24DC3B" w14:textId="77777777" w:rsidR="00181921" w:rsidRDefault="00000000">
            <w:r>
              <w:rPr>
                <w:sz w:val="19"/>
                <w:szCs w:val="19"/>
              </w:rPr>
              <w:t>Commercial-stage specialty pharma — acquires, markets, and commercializes FDA-approved branded dermatology products through an owned dermatology sales force</w:t>
            </w:r>
          </w:p>
        </w:tc>
      </w:tr>
      <w:tr w:rsidR="00181921" w14:paraId="5F7A21F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F534FD3" w14:textId="77777777" w:rsidR="00181921" w:rsidRDefault="00000000">
            <w:r>
              <w:rPr>
                <w:b/>
                <w:bCs/>
                <w:color w:val="1B3A5C"/>
                <w:sz w:val="19"/>
                <w:szCs w:val="19"/>
              </w:rPr>
              <w:t>Parent / Founder</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A2A2FD8" w14:textId="77777777" w:rsidR="00181921" w:rsidRDefault="00000000">
            <w:r>
              <w:rPr>
                <w:sz w:val="19"/>
                <w:szCs w:val="19"/>
              </w:rPr>
              <w:t xml:space="preserve">Fortress Biotech, Inc. (NASDAQ: </w:t>
            </w:r>
            <w:proofErr w:type="gramStart"/>
            <w:r>
              <w:rPr>
                <w:sz w:val="19"/>
                <w:szCs w:val="19"/>
              </w:rPr>
              <w:t>FBIO) —</w:t>
            </w:r>
            <w:proofErr w:type="gramEnd"/>
            <w:r>
              <w:rPr>
                <w:sz w:val="19"/>
                <w:szCs w:val="19"/>
              </w:rPr>
              <w:t xml:space="preserve"> majority owner; related-party management fees and royalty income flow to Fortress</w:t>
            </w:r>
          </w:p>
        </w:tc>
      </w:tr>
      <w:tr w:rsidR="00181921" w14:paraId="67F67C4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B752EC2" w14:textId="77777777" w:rsidR="00181921" w:rsidRDefault="00000000">
            <w:r>
              <w:rPr>
                <w:b/>
                <w:bCs/>
                <w:color w:val="1B3A5C"/>
                <w:sz w:val="19"/>
                <w:szCs w:val="19"/>
              </w:rPr>
              <w:t>Products Marketed</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8FAD42" w14:textId="77777777" w:rsidR="00181921" w:rsidRDefault="00000000">
            <w:r>
              <w:rPr>
                <w:sz w:val="19"/>
                <w:szCs w:val="19"/>
              </w:rPr>
              <w:t>8 FDA-approved branded Rx products (</w:t>
            </w:r>
            <w:proofErr w:type="spellStart"/>
            <w:r>
              <w:rPr>
                <w:sz w:val="19"/>
                <w:szCs w:val="19"/>
              </w:rPr>
              <w:t>Emrosi</w:t>
            </w:r>
            <w:proofErr w:type="spellEnd"/>
            <w:r>
              <w:rPr>
                <w:sz w:val="19"/>
                <w:szCs w:val="19"/>
              </w:rPr>
              <w:t xml:space="preserve">, </w:t>
            </w:r>
            <w:proofErr w:type="spellStart"/>
            <w:r>
              <w:rPr>
                <w:sz w:val="19"/>
                <w:szCs w:val="19"/>
              </w:rPr>
              <w:t>Qbrexza</w:t>
            </w:r>
            <w:proofErr w:type="spellEnd"/>
            <w:r>
              <w:rPr>
                <w:sz w:val="19"/>
                <w:szCs w:val="19"/>
              </w:rPr>
              <w:t xml:space="preserve">, </w:t>
            </w:r>
            <w:proofErr w:type="spellStart"/>
            <w:r>
              <w:rPr>
                <w:sz w:val="19"/>
                <w:szCs w:val="19"/>
              </w:rPr>
              <w:t>Amzeeq</w:t>
            </w:r>
            <w:proofErr w:type="spellEnd"/>
            <w:r>
              <w:rPr>
                <w:sz w:val="19"/>
                <w:szCs w:val="19"/>
              </w:rPr>
              <w:t xml:space="preserve">, </w:t>
            </w:r>
            <w:proofErr w:type="spellStart"/>
            <w:r>
              <w:rPr>
                <w:sz w:val="19"/>
                <w:szCs w:val="19"/>
              </w:rPr>
              <w:t>Zilxi</w:t>
            </w:r>
            <w:proofErr w:type="spellEnd"/>
            <w:r>
              <w:rPr>
                <w:sz w:val="19"/>
                <w:szCs w:val="19"/>
              </w:rPr>
              <w:t xml:space="preserve">, Accutane, </w:t>
            </w:r>
            <w:proofErr w:type="spellStart"/>
            <w:r>
              <w:rPr>
                <w:sz w:val="19"/>
                <w:szCs w:val="19"/>
              </w:rPr>
              <w:t>Targadox</w:t>
            </w:r>
            <w:proofErr w:type="spellEnd"/>
            <w:r>
              <w:rPr>
                <w:sz w:val="19"/>
                <w:szCs w:val="19"/>
              </w:rPr>
              <w:t xml:space="preserve">, </w:t>
            </w:r>
            <w:proofErr w:type="spellStart"/>
            <w:r>
              <w:rPr>
                <w:sz w:val="19"/>
                <w:szCs w:val="19"/>
              </w:rPr>
              <w:t>Ximino</w:t>
            </w:r>
            <w:proofErr w:type="spellEnd"/>
            <w:r>
              <w:rPr>
                <w:sz w:val="19"/>
                <w:szCs w:val="19"/>
              </w:rPr>
              <w:t xml:space="preserve"> + one additional)</w:t>
            </w:r>
          </w:p>
        </w:tc>
      </w:tr>
      <w:tr w:rsidR="00181921" w14:paraId="0E8D8DF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60B0F60" w14:textId="77777777" w:rsidR="00181921" w:rsidRDefault="00000000">
            <w:r>
              <w:rPr>
                <w:b/>
                <w:bCs/>
                <w:color w:val="1B3A5C"/>
                <w:sz w:val="19"/>
                <w:szCs w:val="19"/>
              </w:rPr>
              <w:t>Key Growth Driver</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59D6AE" w14:textId="77777777" w:rsidR="00181921" w:rsidRDefault="00000000">
            <w:proofErr w:type="spellStart"/>
            <w:r>
              <w:rPr>
                <w:sz w:val="19"/>
                <w:szCs w:val="19"/>
              </w:rPr>
              <w:t>Emrosi</w:t>
            </w:r>
            <w:proofErr w:type="spellEnd"/>
            <w:r>
              <w:rPr>
                <w:sz w:val="19"/>
                <w:szCs w:val="19"/>
              </w:rPr>
              <w:t xml:space="preserve">™ (minocycline ER 40mg) — FDA approved Nov 1, 2024; launched late Q1 2025; oral rosacea treatment statistically superior to standard of care </w:t>
            </w:r>
            <w:proofErr w:type="spellStart"/>
            <w:r>
              <w:rPr>
                <w:sz w:val="19"/>
                <w:szCs w:val="19"/>
              </w:rPr>
              <w:t>Oracea</w:t>
            </w:r>
            <w:proofErr w:type="spellEnd"/>
          </w:p>
        </w:tc>
      </w:tr>
      <w:tr w:rsidR="00181921" w14:paraId="64A12C2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78C9592" w14:textId="77777777" w:rsidR="00181921" w:rsidRDefault="00000000">
            <w:r>
              <w:rPr>
                <w:b/>
                <w:bCs/>
                <w:color w:val="1B3A5C"/>
                <w:sz w:val="19"/>
                <w:szCs w:val="19"/>
              </w:rPr>
              <w:t>Current Stock Price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52F582" w14:textId="77777777" w:rsidR="00181921" w:rsidRDefault="00000000">
            <w:r>
              <w:rPr>
                <w:sz w:val="19"/>
                <w:szCs w:val="19"/>
              </w:rPr>
              <w:t>~$7.45 (as of early Jan 2026); 1-year return: +86.25% vs S&amp;P +16.87%</w:t>
            </w:r>
          </w:p>
        </w:tc>
      </w:tr>
      <w:tr w:rsidR="00181921" w14:paraId="60F1109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628C425" w14:textId="77777777" w:rsidR="00181921" w:rsidRDefault="00000000">
            <w:r>
              <w:rPr>
                <w:b/>
                <w:bCs/>
                <w:color w:val="1B3A5C"/>
                <w:sz w:val="19"/>
                <w:szCs w:val="19"/>
              </w:rPr>
              <w:t>Analyst Coverage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F97457" w14:textId="77777777" w:rsidR="00181921" w:rsidRDefault="00000000">
            <w:r>
              <w:rPr>
                <w:sz w:val="19"/>
                <w:szCs w:val="19"/>
              </w:rPr>
              <w:t>HC Wainwright: Buy, $16 PT; avg consensus ~$13.50</w:t>
            </w:r>
          </w:p>
        </w:tc>
      </w:tr>
    </w:tbl>
    <w:p w14:paraId="1B162250" w14:textId="77777777" w:rsidR="00181921" w:rsidRDefault="00181921">
      <w:pPr>
        <w:spacing w:before="80" w:after="80"/>
      </w:pPr>
    </w:p>
    <w:p w14:paraId="3B2F060B" w14:textId="77777777" w:rsidR="00181921" w:rsidRDefault="00000000">
      <w:pPr>
        <w:pStyle w:val="Heading2"/>
      </w:pPr>
      <w:proofErr w:type="gramStart"/>
      <w:r>
        <w:t>2.2  Key</w:t>
      </w:r>
      <w:proofErr w:type="gramEnd"/>
      <w:r>
        <w:t xml:space="preserve"> Financial Metrics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15"/>
        <w:gridCol w:w="1715"/>
        <w:gridCol w:w="1715"/>
        <w:gridCol w:w="1715"/>
      </w:tblGrid>
      <w:tr w:rsidR="00181921" w14:paraId="44D02674"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1607A991" w14:textId="77777777" w:rsidR="00181921" w:rsidRDefault="00000000">
            <w:r>
              <w:rPr>
                <w:b/>
                <w:bCs/>
                <w:color w:val="FFFFFF"/>
                <w:sz w:val="18"/>
                <w:szCs w:val="18"/>
              </w:rPr>
              <w:t>Metric</w:t>
            </w:r>
          </w:p>
        </w:tc>
        <w:tc>
          <w:tcPr>
            <w:tcW w:w="1715"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3F00E3C9" w14:textId="77777777" w:rsidR="00181921" w:rsidRDefault="00000000">
            <w:r>
              <w:rPr>
                <w:b/>
                <w:bCs/>
                <w:color w:val="FFFFFF"/>
                <w:sz w:val="18"/>
                <w:szCs w:val="18"/>
              </w:rPr>
              <w:t>Q1 2025</w:t>
            </w:r>
          </w:p>
        </w:tc>
        <w:tc>
          <w:tcPr>
            <w:tcW w:w="1715"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202F7422" w14:textId="77777777" w:rsidR="00181921" w:rsidRDefault="00000000">
            <w:r>
              <w:rPr>
                <w:b/>
                <w:bCs/>
                <w:color w:val="FFFFFF"/>
                <w:sz w:val="18"/>
                <w:szCs w:val="18"/>
              </w:rPr>
              <w:t>Q2 2025</w:t>
            </w:r>
          </w:p>
        </w:tc>
        <w:tc>
          <w:tcPr>
            <w:tcW w:w="1715"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5786F539" w14:textId="77777777" w:rsidR="00181921" w:rsidRDefault="00000000">
            <w:r>
              <w:rPr>
                <w:b/>
                <w:bCs/>
                <w:color w:val="FFFFFF"/>
                <w:sz w:val="18"/>
                <w:szCs w:val="18"/>
              </w:rPr>
              <w:t>Q3 2025</w:t>
            </w:r>
          </w:p>
        </w:tc>
        <w:tc>
          <w:tcPr>
            <w:tcW w:w="1715"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6F7A6060" w14:textId="77777777" w:rsidR="00181921" w:rsidRDefault="00000000">
            <w:r>
              <w:rPr>
                <w:b/>
                <w:bCs/>
                <w:color w:val="FFFFFF"/>
                <w:sz w:val="18"/>
                <w:szCs w:val="18"/>
              </w:rPr>
              <w:t>Q3 2024 YoY</w:t>
            </w:r>
          </w:p>
        </w:tc>
      </w:tr>
      <w:tr w:rsidR="00181921" w14:paraId="2711DE90"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060196B" w14:textId="77777777" w:rsidR="00181921" w:rsidRDefault="00000000">
            <w:r>
              <w:rPr>
                <w:b/>
                <w:bCs/>
                <w:sz w:val="18"/>
                <w:szCs w:val="18"/>
              </w:rPr>
              <w:t>Total Revenue</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1BBD938" w14:textId="77777777" w:rsidR="00181921" w:rsidRDefault="00000000">
            <w:pPr>
              <w:jc w:val="center"/>
            </w:pPr>
            <w:r>
              <w:rPr>
                <w:sz w:val="18"/>
                <w:szCs w:val="18"/>
              </w:rPr>
              <w:t>$13.1M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E88E76E" w14:textId="77777777" w:rsidR="00181921" w:rsidRDefault="00000000">
            <w:pPr>
              <w:jc w:val="center"/>
            </w:pPr>
            <w:r>
              <w:rPr>
                <w:sz w:val="18"/>
                <w:szCs w:val="18"/>
              </w:rPr>
              <w:t>~$14.6M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5231DA7" w14:textId="77777777" w:rsidR="00181921" w:rsidRDefault="00000000">
            <w:pPr>
              <w:jc w:val="center"/>
            </w:pPr>
            <w:r>
              <w:rPr>
                <w:sz w:val="18"/>
                <w:szCs w:val="18"/>
              </w:rPr>
              <w:t>$17.6M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2F3533D2" w14:textId="77777777" w:rsidR="00181921" w:rsidRDefault="00000000">
            <w:pPr>
              <w:jc w:val="center"/>
            </w:pPr>
            <w:r>
              <w:rPr>
                <w:sz w:val="18"/>
                <w:szCs w:val="18"/>
              </w:rPr>
              <w:t>$14.6M (+21%)</w:t>
            </w:r>
          </w:p>
        </w:tc>
      </w:tr>
      <w:tr w:rsidR="00181921" w14:paraId="34279FC5"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7393FF48" w14:textId="77777777" w:rsidR="00181921" w:rsidRDefault="00000000">
            <w:proofErr w:type="spellStart"/>
            <w:r>
              <w:rPr>
                <w:b/>
                <w:bCs/>
                <w:sz w:val="18"/>
                <w:szCs w:val="18"/>
              </w:rPr>
              <w:t>Emrosi</w:t>
            </w:r>
            <w:proofErr w:type="spellEnd"/>
            <w:r>
              <w:rPr>
                <w:b/>
                <w:bCs/>
                <w:sz w:val="18"/>
                <w:szCs w:val="18"/>
              </w:rPr>
              <w:t xml:space="preserve"> Revenue</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FB561DC" w14:textId="77777777" w:rsidR="00181921" w:rsidRDefault="00000000">
            <w:pPr>
              <w:jc w:val="center"/>
            </w:pPr>
            <w:r>
              <w:rPr>
                <w:sz w:val="18"/>
                <w:szCs w:val="18"/>
              </w:rPr>
              <w:t>~$0.5M (launch)</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3C77F7FC" w14:textId="77777777" w:rsidR="00181921" w:rsidRDefault="00000000">
            <w:pPr>
              <w:jc w:val="center"/>
            </w:pPr>
            <w:r>
              <w:rPr>
                <w:sz w:val="18"/>
                <w:szCs w:val="18"/>
              </w:rPr>
              <w:t>$2.8M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17147D3" w14:textId="77777777" w:rsidR="00181921" w:rsidRDefault="00000000">
            <w:pPr>
              <w:jc w:val="center"/>
            </w:pPr>
            <w:r>
              <w:rPr>
                <w:sz w:val="18"/>
                <w:szCs w:val="18"/>
              </w:rPr>
              <w:t>$4.9M (+75% QoQ)</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1DD5C38" w14:textId="77777777" w:rsidR="00181921" w:rsidRDefault="00000000">
            <w:pPr>
              <w:jc w:val="center"/>
            </w:pPr>
            <w:r>
              <w:rPr>
                <w:sz w:val="18"/>
                <w:szCs w:val="18"/>
              </w:rPr>
              <w:t>—</w:t>
            </w:r>
          </w:p>
        </w:tc>
      </w:tr>
      <w:tr w:rsidR="00181921" w14:paraId="0EB821C6"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6F2910B8" w14:textId="77777777" w:rsidR="00181921" w:rsidRDefault="00000000">
            <w:proofErr w:type="spellStart"/>
            <w:r>
              <w:rPr>
                <w:b/>
                <w:bCs/>
                <w:sz w:val="18"/>
                <w:szCs w:val="18"/>
              </w:rPr>
              <w:t>Emrosi</w:t>
            </w:r>
            <w:proofErr w:type="spellEnd"/>
            <w:r>
              <w:rPr>
                <w:b/>
                <w:bCs/>
                <w:sz w:val="18"/>
                <w:szCs w:val="18"/>
              </w:rPr>
              <w:t xml:space="preserve"> Total Rx</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5735FFA" w14:textId="77777777" w:rsidR="00181921" w:rsidRDefault="00000000">
            <w:pPr>
              <w:jc w:val="center"/>
            </w:pPr>
            <w:r>
              <w:rPr>
                <w:sz w:val="18"/>
                <w:szCs w:val="18"/>
              </w:rPr>
              <w:t>Initial fills</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635BA7D" w14:textId="77777777" w:rsidR="00181921" w:rsidRDefault="00000000">
            <w:pPr>
              <w:jc w:val="center"/>
            </w:pPr>
            <w:r>
              <w:rPr>
                <w:sz w:val="18"/>
                <w:szCs w:val="18"/>
              </w:rPr>
              <w:t>7,394</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63FF785" w14:textId="77777777" w:rsidR="00181921" w:rsidRDefault="00000000">
            <w:pPr>
              <w:jc w:val="center"/>
            </w:pPr>
            <w:r>
              <w:rPr>
                <w:sz w:val="18"/>
                <w:szCs w:val="18"/>
              </w:rPr>
              <w:t>18,198 (+146%)</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F07864D" w14:textId="77777777" w:rsidR="00181921" w:rsidRDefault="00000000">
            <w:pPr>
              <w:jc w:val="center"/>
            </w:pPr>
            <w:r>
              <w:rPr>
                <w:sz w:val="18"/>
                <w:szCs w:val="18"/>
              </w:rPr>
              <w:t>—</w:t>
            </w:r>
          </w:p>
        </w:tc>
      </w:tr>
      <w:tr w:rsidR="00181921" w14:paraId="1399A676"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8F46EB0" w14:textId="77777777" w:rsidR="00181921" w:rsidRDefault="00000000">
            <w:r>
              <w:rPr>
                <w:b/>
                <w:bCs/>
                <w:sz w:val="18"/>
                <w:szCs w:val="18"/>
              </w:rPr>
              <w:t>Gross Margin</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44733E5" w14:textId="77777777" w:rsidR="00181921" w:rsidRDefault="00000000">
            <w:pPr>
              <w:jc w:val="center"/>
            </w:pPr>
            <w:r>
              <w:rPr>
                <w:sz w:val="18"/>
                <w:szCs w:val="18"/>
              </w:rPr>
              <w:t>63.5%</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A9ECFDB" w14:textId="77777777" w:rsidR="00181921" w:rsidRDefault="00000000">
            <w:pPr>
              <w:jc w:val="center"/>
            </w:pPr>
            <w:r>
              <w:rPr>
                <w:sz w:val="18"/>
                <w:szCs w:val="18"/>
              </w:rPr>
              <w:t>67.1%</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998BB1B" w14:textId="77777777" w:rsidR="00181921" w:rsidRDefault="00000000">
            <w:pPr>
              <w:jc w:val="center"/>
            </w:pPr>
            <w:r>
              <w:rPr>
                <w:sz w:val="18"/>
                <w:szCs w:val="18"/>
              </w:rPr>
              <w:t>67.4%</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34EDDA3" w14:textId="77777777" w:rsidR="00181921" w:rsidRDefault="00000000">
            <w:pPr>
              <w:jc w:val="center"/>
            </w:pPr>
            <w:r>
              <w:rPr>
                <w:sz w:val="18"/>
                <w:szCs w:val="18"/>
              </w:rPr>
              <w:t>69.4%</w:t>
            </w:r>
          </w:p>
        </w:tc>
      </w:tr>
      <w:tr w:rsidR="00181921" w14:paraId="1B65A78A"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0893B418" w14:textId="77777777" w:rsidR="00181921" w:rsidRDefault="00000000">
            <w:r>
              <w:rPr>
                <w:b/>
                <w:bCs/>
                <w:sz w:val="18"/>
                <w:szCs w:val="18"/>
              </w:rPr>
              <w:t>SG&amp;A</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2570AB2D" w14:textId="77777777" w:rsidR="00181921" w:rsidRDefault="00000000">
            <w:pPr>
              <w:jc w:val="center"/>
            </w:pPr>
            <w:r>
              <w:rPr>
                <w:sz w:val="18"/>
                <w:szCs w:val="18"/>
              </w:rPr>
              <w:t>~$12.0M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E63A880" w14:textId="77777777" w:rsidR="00181921" w:rsidRDefault="00000000">
            <w:pPr>
              <w:jc w:val="center"/>
            </w:pPr>
            <w:r>
              <w:rPr>
                <w:sz w:val="18"/>
                <w:szCs w:val="18"/>
              </w:rPr>
              <w:t>~$11.9M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0441776" w14:textId="77777777" w:rsidR="00181921" w:rsidRDefault="00000000">
            <w:pPr>
              <w:jc w:val="center"/>
            </w:pPr>
            <w:r>
              <w:rPr>
                <w:sz w:val="18"/>
                <w:szCs w:val="18"/>
              </w:rPr>
              <w:t>$12.1M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F44BF24" w14:textId="77777777" w:rsidR="00181921" w:rsidRDefault="00000000">
            <w:pPr>
              <w:jc w:val="center"/>
            </w:pPr>
            <w:r>
              <w:rPr>
                <w:sz w:val="18"/>
                <w:szCs w:val="18"/>
              </w:rPr>
              <w:t>$11.4M (+6%)</w:t>
            </w:r>
          </w:p>
        </w:tc>
      </w:tr>
      <w:tr w:rsidR="00181921" w14:paraId="2B2C41D1"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5D92ABB" w14:textId="77777777" w:rsidR="00181921" w:rsidRDefault="00000000">
            <w:r>
              <w:rPr>
                <w:b/>
                <w:bCs/>
                <w:sz w:val="18"/>
                <w:szCs w:val="18"/>
              </w:rPr>
              <w:t>Adj. EBITDA</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7491A5C" w14:textId="77777777" w:rsidR="00181921" w:rsidRDefault="00000000">
            <w:pPr>
              <w:jc w:val="center"/>
            </w:pPr>
            <w:r>
              <w:rPr>
                <w:sz w:val="18"/>
                <w:szCs w:val="18"/>
              </w:rPr>
              <w:t>–$0.9M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A84E767" w14:textId="77777777" w:rsidR="00181921" w:rsidRDefault="00000000">
            <w:pPr>
              <w:jc w:val="center"/>
            </w:pPr>
            <w:r>
              <w:rPr>
                <w:sz w:val="18"/>
                <w:szCs w:val="18"/>
              </w:rPr>
              <w:t>~$0.0M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7AE4C2A" w14:textId="77777777" w:rsidR="00181921" w:rsidRDefault="00000000">
            <w:pPr>
              <w:jc w:val="center"/>
            </w:pPr>
            <w:r>
              <w:rPr>
                <w:sz w:val="18"/>
                <w:szCs w:val="18"/>
              </w:rPr>
              <w:t>+$1.7M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4AC9065" w14:textId="77777777" w:rsidR="00181921" w:rsidRDefault="00000000">
            <w:pPr>
              <w:jc w:val="center"/>
            </w:pPr>
            <w:r>
              <w:rPr>
                <w:sz w:val="18"/>
                <w:szCs w:val="18"/>
              </w:rPr>
              <w:t>+$0.3M</w:t>
            </w:r>
          </w:p>
        </w:tc>
      </w:tr>
      <w:tr w:rsidR="00181921" w14:paraId="4365AB71"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5BE5C192" w14:textId="77777777" w:rsidR="00181921" w:rsidRDefault="00000000">
            <w:r>
              <w:rPr>
                <w:b/>
                <w:bCs/>
                <w:sz w:val="18"/>
                <w:szCs w:val="18"/>
              </w:rPr>
              <w:t>GAAP Net Loss/</w:t>
            </w:r>
            <w:proofErr w:type="spellStart"/>
            <w:r>
              <w:rPr>
                <w:b/>
                <w:bCs/>
                <w:sz w:val="18"/>
                <w:szCs w:val="18"/>
              </w:rPr>
              <w:t>sh</w:t>
            </w:r>
            <w:proofErr w:type="spellEnd"/>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83FE54B" w14:textId="77777777" w:rsidR="00181921" w:rsidRDefault="00000000">
            <w:pPr>
              <w:jc w:val="center"/>
            </w:pPr>
            <w:r>
              <w:rPr>
                <w:sz w:val="18"/>
                <w:szCs w:val="18"/>
              </w:rPr>
              <w:t>–$0.18</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64C2D42" w14:textId="77777777" w:rsidR="00181921" w:rsidRDefault="00000000">
            <w:pPr>
              <w:jc w:val="center"/>
            </w:pPr>
            <w:r>
              <w:rPr>
                <w:sz w:val="18"/>
                <w:szCs w:val="18"/>
              </w:rPr>
              <w:t>–$0.16</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37133F7" w14:textId="77777777" w:rsidR="00181921" w:rsidRDefault="00000000">
            <w:pPr>
              <w:jc w:val="center"/>
            </w:pPr>
            <w:r>
              <w:rPr>
                <w:sz w:val="18"/>
                <w:szCs w:val="18"/>
              </w:rPr>
              <w:t>–$0.09</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78E34F49" w14:textId="77777777" w:rsidR="00181921" w:rsidRDefault="00000000">
            <w:pPr>
              <w:jc w:val="center"/>
            </w:pPr>
            <w:r>
              <w:rPr>
                <w:sz w:val="18"/>
                <w:szCs w:val="18"/>
              </w:rPr>
              <w:t>–$0.12</w:t>
            </w:r>
          </w:p>
        </w:tc>
      </w:tr>
      <w:tr w:rsidR="00181921" w14:paraId="554F94EC"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2E6ED4B6" w14:textId="77777777" w:rsidR="00181921" w:rsidRDefault="00000000">
            <w:r>
              <w:rPr>
                <w:b/>
                <w:bCs/>
                <w:sz w:val="18"/>
                <w:szCs w:val="18"/>
              </w:rPr>
              <w:t>Cash &amp; Equiv.</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CE3089B" w14:textId="77777777" w:rsidR="00181921" w:rsidRDefault="00000000">
            <w:pPr>
              <w:jc w:val="center"/>
            </w:pPr>
            <w:r>
              <w:rPr>
                <w:sz w:val="18"/>
                <w:szCs w:val="18"/>
              </w:rPr>
              <w:t>—</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CCE0EE1" w14:textId="77777777" w:rsidR="00181921" w:rsidRDefault="00000000">
            <w:pPr>
              <w:jc w:val="center"/>
            </w:pPr>
            <w:r>
              <w:rPr>
                <w:sz w:val="18"/>
                <w:szCs w:val="18"/>
              </w:rPr>
              <w:t>—</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81DAF38" w14:textId="77777777" w:rsidR="00181921" w:rsidRDefault="00000000">
            <w:pPr>
              <w:jc w:val="center"/>
            </w:pPr>
            <w:r>
              <w:rPr>
                <w:sz w:val="18"/>
                <w:szCs w:val="18"/>
              </w:rPr>
              <w:t>$24.9M</w:t>
            </w:r>
          </w:p>
        </w:tc>
        <w:tc>
          <w:tcPr>
            <w:tcW w:w="1715"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5D7DD3F" w14:textId="77777777" w:rsidR="00181921" w:rsidRDefault="00000000">
            <w:pPr>
              <w:jc w:val="center"/>
            </w:pPr>
            <w:r>
              <w:rPr>
                <w:sz w:val="18"/>
                <w:szCs w:val="18"/>
              </w:rPr>
              <w:t>$20.3M (12/31/24)</w:t>
            </w:r>
          </w:p>
        </w:tc>
      </w:tr>
    </w:tbl>
    <w:p w14:paraId="6911162C" w14:textId="77777777" w:rsidR="00181921" w:rsidRDefault="00181921">
      <w:pPr>
        <w:spacing w:before="40" w:after="40"/>
      </w:pPr>
    </w:p>
    <w:p w14:paraId="4F8C7A2A" w14:textId="77777777" w:rsidR="00181921" w:rsidRDefault="00000000">
      <w:pPr>
        <w:spacing w:before="40" w:after="40"/>
      </w:pPr>
      <w:r>
        <w:rPr>
          <w:b/>
          <w:bCs/>
          <w:color w:val="1B3A5C"/>
        </w:rPr>
        <w:t>Incremental Margin Analysis (9-month 2025 vs. 9-month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81921" w14:paraId="71547EB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B37717A" w14:textId="77777777" w:rsidR="00181921" w:rsidRDefault="00000000">
            <w:r>
              <w:rPr>
                <w:b/>
                <w:bCs/>
                <w:color w:val="FFFFFF"/>
                <w:sz w:val="19"/>
                <w:szCs w:val="19"/>
              </w:rPr>
              <w:t>Metric</w:t>
            </w:r>
          </w:p>
        </w:tc>
        <w:tc>
          <w:tcPr>
            <w:tcW w:w="220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79093573" w14:textId="77777777" w:rsidR="00181921" w:rsidRDefault="00000000">
            <w:r>
              <w:rPr>
                <w:b/>
                <w:bCs/>
                <w:color w:val="FFFFFF"/>
                <w:sz w:val="19"/>
                <w:szCs w:val="19"/>
              </w:rPr>
              <w:t>Calculation</w:t>
            </w:r>
          </w:p>
        </w:tc>
      </w:tr>
      <w:tr w:rsidR="00181921" w14:paraId="7DC3ACD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18D9808" w14:textId="77777777" w:rsidR="00181921" w:rsidRDefault="00000000">
            <w:proofErr w:type="spellStart"/>
            <w:r>
              <w:rPr>
                <w:b/>
                <w:bCs/>
                <w:color w:val="FFFFFF"/>
                <w:sz w:val="19"/>
                <w:szCs w:val="19"/>
              </w:rPr>
              <w:t>ΔRevenue</w:t>
            </w:r>
            <w:proofErr w:type="spellEnd"/>
            <w:r>
              <w:rPr>
                <w:b/>
                <w:bCs/>
                <w:color w:val="FFFFFF"/>
                <w:sz w:val="19"/>
                <w:szCs w:val="19"/>
              </w:rPr>
              <w:t xml:space="preserve"> (9M YoY)</w:t>
            </w:r>
          </w:p>
        </w:tc>
        <w:tc>
          <w:tcPr>
            <w:tcW w:w="220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400E4040" w14:textId="77777777" w:rsidR="00181921" w:rsidRDefault="00000000">
            <w:r>
              <w:rPr>
                <w:b/>
                <w:bCs/>
                <w:color w:val="FFFFFF"/>
                <w:sz w:val="19"/>
                <w:szCs w:val="19"/>
              </w:rPr>
              <w:t>$45.8M – $42.5M</w:t>
            </w:r>
          </w:p>
        </w:tc>
      </w:tr>
      <w:tr w:rsidR="00181921" w14:paraId="7B53AD5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6C9B866" w14:textId="77777777" w:rsidR="00181921" w:rsidRDefault="00000000">
            <w:r>
              <w:rPr>
                <w:b/>
                <w:bCs/>
                <w:color w:val="FFFFFF"/>
                <w:sz w:val="19"/>
                <w:szCs w:val="19"/>
              </w:rPr>
              <w:t>Incr. Gross Margin</w:t>
            </w:r>
          </w:p>
        </w:tc>
        <w:tc>
          <w:tcPr>
            <w:tcW w:w="220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13B3FF3E" w14:textId="77777777" w:rsidR="00181921" w:rsidRDefault="00000000">
            <w:proofErr w:type="spellStart"/>
            <w:r>
              <w:rPr>
                <w:b/>
                <w:bCs/>
                <w:color w:val="FFFFFF"/>
                <w:sz w:val="19"/>
                <w:szCs w:val="19"/>
              </w:rPr>
              <w:t>ΔGross</w:t>
            </w:r>
            <w:proofErr w:type="spellEnd"/>
            <w:r>
              <w:rPr>
                <w:b/>
                <w:bCs/>
                <w:color w:val="FFFFFF"/>
                <w:sz w:val="19"/>
                <w:szCs w:val="19"/>
              </w:rPr>
              <w:t xml:space="preserve"> Profit / </w:t>
            </w:r>
            <w:proofErr w:type="spellStart"/>
            <w:r>
              <w:rPr>
                <w:b/>
                <w:bCs/>
                <w:color w:val="FFFFFF"/>
                <w:sz w:val="19"/>
                <w:szCs w:val="19"/>
              </w:rPr>
              <w:t>ΔRevenue</w:t>
            </w:r>
            <w:proofErr w:type="spellEnd"/>
          </w:p>
        </w:tc>
      </w:tr>
      <w:tr w:rsidR="00181921" w14:paraId="67C9F1E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42E9955" w14:textId="77777777" w:rsidR="00181921" w:rsidRDefault="00000000">
            <w:r>
              <w:rPr>
                <w:b/>
                <w:bCs/>
                <w:color w:val="FFFFFF"/>
                <w:sz w:val="19"/>
                <w:szCs w:val="19"/>
              </w:rPr>
              <w:t xml:space="preserve">Incr. </w:t>
            </w:r>
            <w:proofErr w:type="spellStart"/>
            <w:r>
              <w:rPr>
                <w:b/>
                <w:bCs/>
                <w:color w:val="FFFFFF"/>
                <w:sz w:val="19"/>
                <w:szCs w:val="19"/>
              </w:rPr>
              <w:t>OpEx</w:t>
            </w:r>
            <w:proofErr w:type="spellEnd"/>
            <w:r>
              <w:rPr>
                <w:b/>
                <w:bCs/>
                <w:color w:val="FFFFFF"/>
                <w:sz w:val="19"/>
                <w:szCs w:val="19"/>
              </w:rPr>
              <w:t xml:space="preserve"> Ratio</w:t>
            </w:r>
          </w:p>
        </w:tc>
        <w:tc>
          <w:tcPr>
            <w:tcW w:w="220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1ABD35E9" w14:textId="77777777" w:rsidR="00181921" w:rsidRDefault="00000000">
            <w:r>
              <w:rPr>
                <w:b/>
                <w:bCs/>
                <w:color w:val="FFFFFF"/>
                <w:sz w:val="19"/>
                <w:szCs w:val="19"/>
              </w:rPr>
              <w:t xml:space="preserve">ΔSG&amp;A / </w:t>
            </w:r>
            <w:proofErr w:type="spellStart"/>
            <w:r>
              <w:rPr>
                <w:b/>
                <w:bCs/>
                <w:color w:val="FFFFFF"/>
                <w:sz w:val="19"/>
                <w:szCs w:val="19"/>
              </w:rPr>
              <w:t>ΔRevenue</w:t>
            </w:r>
            <w:proofErr w:type="spellEnd"/>
          </w:p>
        </w:tc>
      </w:tr>
      <w:tr w:rsidR="00181921" w14:paraId="29CE721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4952F979" w14:textId="77777777" w:rsidR="00181921" w:rsidRDefault="00000000">
            <w:r>
              <w:rPr>
                <w:b/>
                <w:bCs/>
                <w:color w:val="FFFFFF"/>
                <w:sz w:val="19"/>
                <w:szCs w:val="19"/>
              </w:rPr>
              <w:lastRenderedPageBreak/>
              <w:t>Breakeven Revenue (</w:t>
            </w:r>
            <w:proofErr w:type="spellStart"/>
            <w:r>
              <w:rPr>
                <w:b/>
                <w:bCs/>
                <w:color w:val="FFFFFF"/>
                <w:sz w:val="19"/>
                <w:szCs w:val="19"/>
              </w:rPr>
              <w:t>Qtrly</w:t>
            </w:r>
            <w:proofErr w:type="spellEnd"/>
            <w:r>
              <w:rPr>
                <w:b/>
                <w:bCs/>
                <w:color w:val="FFFFFF"/>
                <w:sz w:val="19"/>
                <w:szCs w:val="19"/>
              </w:rPr>
              <w:t>)</w:t>
            </w:r>
          </w:p>
        </w:tc>
        <w:tc>
          <w:tcPr>
            <w:tcW w:w="220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0F3971C6" w14:textId="77777777" w:rsidR="00181921" w:rsidRDefault="00000000">
            <w:r>
              <w:rPr>
                <w:b/>
                <w:bCs/>
                <w:color w:val="FFFFFF"/>
                <w:sz w:val="19"/>
                <w:szCs w:val="19"/>
              </w:rPr>
              <w:t xml:space="preserve">~$13.5M </w:t>
            </w:r>
            <w:proofErr w:type="spellStart"/>
            <w:r>
              <w:rPr>
                <w:b/>
                <w:bCs/>
                <w:color w:val="FFFFFF"/>
                <w:sz w:val="19"/>
                <w:szCs w:val="19"/>
              </w:rPr>
              <w:t>OpEx</w:t>
            </w:r>
            <w:proofErr w:type="spellEnd"/>
            <w:r>
              <w:rPr>
                <w:b/>
                <w:bCs/>
                <w:color w:val="FFFFFF"/>
                <w:sz w:val="19"/>
                <w:szCs w:val="19"/>
              </w:rPr>
              <w:t xml:space="preserve"> / 67.4% GM</w:t>
            </w:r>
          </w:p>
        </w:tc>
      </w:tr>
      <w:tr w:rsidR="00181921" w14:paraId="2046691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6FFC199F" w14:textId="77777777" w:rsidR="00181921" w:rsidRDefault="00000000">
            <w:r>
              <w:rPr>
                <w:b/>
                <w:bCs/>
                <w:color w:val="FFFFFF"/>
                <w:sz w:val="19"/>
                <w:szCs w:val="19"/>
              </w:rPr>
              <w:t>Cash Runway</w:t>
            </w:r>
          </w:p>
        </w:tc>
        <w:tc>
          <w:tcPr>
            <w:tcW w:w="2200" w:type="dxa"/>
            <w:tcBorders>
              <w:top w:val="single" w:sz="1" w:space="0" w:color="E0E0E0"/>
              <w:left w:val="single" w:sz="1" w:space="0" w:color="E0E0E0"/>
              <w:bottom w:val="single" w:sz="1" w:space="0" w:color="E0E0E0"/>
              <w:right w:val="single" w:sz="1" w:space="0" w:color="E0E0E0"/>
            </w:tcBorders>
            <w:shd w:val="clear" w:color="auto" w:fill="1A6B72"/>
            <w:tcMar>
              <w:top w:w="80" w:type="dxa"/>
              <w:left w:w="120" w:type="dxa"/>
              <w:bottom w:w="80" w:type="dxa"/>
              <w:right w:w="120" w:type="dxa"/>
            </w:tcMar>
          </w:tcPr>
          <w:p w14:paraId="356FE239" w14:textId="77777777" w:rsidR="00181921" w:rsidRDefault="00000000">
            <w:r>
              <w:rPr>
                <w:b/>
                <w:bCs/>
                <w:color w:val="FFFFFF"/>
                <w:sz w:val="19"/>
                <w:szCs w:val="19"/>
              </w:rPr>
              <w:t>$24.9M / ~$0.5M burn (Q3 trend)</w:t>
            </w:r>
          </w:p>
        </w:tc>
      </w:tr>
    </w:tbl>
    <w:p w14:paraId="483B7785" w14:textId="77777777" w:rsidR="00181921" w:rsidRDefault="00181921">
      <w:pPr>
        <w:spacing w:before="80" w:after="80"/>
      </w:pPr>
    </w:p>
    <w:p w14:paraId="2C64F811" w14:textId="77777777" w:rsidR="00181921" w:rsidRDefault="00000000">
      <w:pPr>
        <w:pStyle w:val="Heading1"/>
      </w:pPr>
      <w:r>
        <w:t>PILLAR SCORING: Q1 – Q10</w:t>
      </w:r>
    </w:p>
    <w:p w14:paraId="388D7A58" w14:textId="77777777" w:rsidR="00181921" w:rsidRDefault="00181921">
      <w:pPr>
        <w:pBdr>
          <w:bottom w:val="single" w:sz="6" w:space="1" w:color="1B3A5C"/>
        </w:pBdr>
        <w:spacing w:before="80" w:after="80"/>
      </w:pPr>
    </w:p>
    <w:p w14:paraId="269B5777" w14:textId="77777777" w:rsidR="00181921" w:rsidRDefault="0018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174292E3"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30772D60" w14:textId="77777777" w:rsidR="00181921" w:rsidRDefault="00000000">
            <w:r>
              <w:rPr>
                <w:b/>
                <w:bCs/>
                <w:color w:val="1B3A5C"/>
              </w:rPr>
              <w:t>Q1 | PRICING POWER &amp; REIMBURSEMENT STRENGTH</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80" w:type="dxa"/>
              <w:left w:w="120" w:type="dxa"/>
              <w:bottom w:w="80" w:type="dxa"/>
              <w:right w:w="120" w:type="dxa"/>
            </w:tcMar>
            <w:vAlign w:val="center"/>
          </w:tcPr>
          <w:p w14:paraId="671477BE" w14:textId="77777777" w:rsidR="00181921" w:rsidRDefault="00000000">
            <w:pPr>
              <w:jc w:val="center"/>
            </w:pPr>
            <w:r>
              <w:rPr>
                <w:b/>
                <w:bCs/>
                <w:color w:val="FFFFFF"/>
                <w:sz w:val="22"/>
                <w:szCs w:val="22"/>
              </w:rPr>
              <w:t>3 / 5</w:t>
            </w:r>
          </w:p>
        </w:tc>
      </w:tr>
    </w:tbl>
    <w:p w14:paraId="7009C04A" w14:textId="77777777" w:rsidR="00181921" w:rsidRDefault="00181921">
      <w:pPr>
        <w:spacing w:before="40" w:after="40"/>
      </w:pPr>
    </w:p>
    <w:p w14:paraId="4122CF11" w14:textId="77777777" w:rsidR="00181921" w:rsidRDefault="00000000">
      <w:pPr>
        <w:spacing w:before="40" w:after="40"/>
      </w:pPr>
      <w:r>
        <w:rPr>
          <w:b/>
          <w:bCs/>
        </w:rPr>
        <w:t>Evidence:</w:t>
      </w:r>
    </w:p>
    <w:p w14:paraId="6F6EA680" w14:textId="77777777" w:rsidR="00181921" w:rsidRDefault="00000000">
      <w:pPr>
        <w:pStyle w:val="ListParagraph"/>
        <w:numPr>
          <w:ilvl w:val="0"/>
          <w:numId w:val="2"/>
        </w:numPr>
        <w:spacing w:before="30" w:after="30"/>
      </w:pPr>
      <w:proofErr w:type="spellStart"/>
      <w:r>
        <w:t>Emrosi</w:t>
      </w:r>
      <w:proofErr w:type="spellEnd"/>
      <w:r>
        <w:t xml:space="preserve"> WAC pricing in the ~$950/month range (management guided 'similar ballpark to </w:t>
      </w:r>
      <w:proofErr w:type="spellStart"/>
      <w:r>
        <w:t>Oracea</w:t>
      </w:r>
      <w:proofErr w:type="spellEnd"/>
      <w:r>
        <w:t xml:space="preserve">' </w:t>
      </w:r>
      <w:proofErr w:type="gramStart"/>
      <w:r>
        <w:t>at</w:t>
      </w:r>
      <w:proofErr w:type="gramEnd"/>
      <w:r>
        <w:t xml:space="preserve"> approval)</w:t>
      </w:r>
    </w:p>
    <w:p w14:paraId="02F668DA" w14:textId="77777777" w:rsidR="00181921" w:rsidRDefault="00000000">
      <w:pPr>
        <w:pStyle w:val="ListParagraph"/>
        <w:numPr>
          <w:ilvl w:val="0"/>
          <w:numId w:val="2"/>
        </w:numPr>
        <w:spacing w:before="30" w:after="30"/>
      </w:pPr>
      <w:r>
        <w:t>Payer coverage: &gt;100M of 187M commercial lives covered as of Q3 2025; contracted with 2 of 3 largest GPOs; 3rd GPO expected early 2026</w:t>
      </w:r>
    </w:p>
    <w:p w14:paraId="4221197C" w14:textId="77777777" w:rsidR="00181921" w:rsidRDefault="00000000">
      <w:pPr>
        <w:pStyle w:val="ListParagraph"/>
        <w:numPr>
          <w:ilvl w:val="0"/>
          <w:numId w:val="2"/>
        </w:numPr>
        <w:spacing w:before="30" w:after="30"/>
      </w:pPr>
      <w:r>
        <w:t>Gross-to-net not disclosed — management explicitly declined to provide G2N guidance on Q3 2025 earnings call, citing evolving reimbursement dynamics</w:t>
      </w:r>
    </w:p>
    <w:p w14:paraId="0ADB7CEC" w14:textId="77777777" w:rsidR="00181921" w:rsidRDefault="00000000">
      <w:pPr>
        <w:pStyle w:val="ListParagraph"/>
        <w:numPr>
          <w:ilvl w:val="0"/>
          <w:numId w:val="2"/>
        </w:numPr>
        <w:spacing w:before="30" w:after="30"/>
      </w:pPr>
      <w:r>
        <w:t xml:space="preserve">10–14% royalty obligation on </w:t>
      </w:r>
      <w:proofErr w:type="spellStart"/>
      <w:r>
        <w:t>Emrosi</w:t>
      </w:r>
      <w:proofErr w:type="spellEnd"/>
      <w:r>
        <w:t xml:space="preserve"> net sales to Dr. Reddy's creates a structural margin ceiling unique to specialty pharma context (automatically reduces net revenue realization vs. fully-owned assets)</w:t>
      </w:r>
    </w:p>
    <w:p w14:paraId="2154302B" w14:textId="77777777" w:rsidR="00181921" w:rsidRDefault="00000000">
      <w:pPr>
        <w:pStyle w:val="ListParagraph"/>
        <w:numPr>
          <w:ilvl w:val="0"/>
          <w:numId w:val="2"/>
        </w:numPr>
        <w:spacing w:before="30" w:after="30"/>
      </w:pPr>
      <w:r>
        <w:t xml:space="preserve">Generic </w:t>
      </w:r>
      <w:proofErr w:type="spellStart"/>
      <w:r>
        <w:t>Oracea</w:t>
      </w:r>
      <w:proofErr w:type="spellEnd"/>
      <w:r>
        <w:t xml:space="preserve"> now launched — introduces competitive pricing pressure on branded oral rosacea segment; </w:t>
      </w:r>
      <w:proofErr w:type="spellStart"/>
      <w:r>
        <w:t>Emrosi</w:t>
      </w:r>
      <w:proofErr w:type="spellEnd"/>
      <w:r>
        <w:t xml:space="preserve"> must justify premium on head-to-head clinical superiority</w:t>
      </w:r>
    </w:p>
    <w:p w14:paraId="35C8B192" w14:textId="77777777" w:rsidR="00181921" w:rsidRDefault="00000000">
      <w:pPr>
        <w:pStyle w:val="ListParagraph"/>
        <w:numPr>
          <w:ilvl w:val="0"/>
          <w:numId w:val="2"/>
        </w:numPr>
        <w:spacing w:before="30" w:after="30"/>
      </w:pPr>
      <w:r>
        <w:t xml:space="preserve">Copay assistance program in place for </w:t>
      </w:r>
      <w:proofErr w:type="spellStart"/>
      <w:r>
        <w:t>Emrosi</w:t>
      </w:r>
      <w:proofErr w:type="spellEnd"/>
      <w:r>
        <w:t xml:space="preserve"> (standard specialty pharma access tool); exposure level undisclosed</w:t>
      </w:r>
    </w:p>
    <w:p w14:paraId="6F51009C" w14:textId="77777777" w:rsidR="00181921" w:rsidRDefault="00181921">
      <w:pPr>
        <w:spacing w:before="30" w:after="30"/>
      </w:pPr>
    </w:p>
    <w:p w14:paraId="119140F5" w14:textId="77777777" w:rsidR="00181921" w:rsidRDefault="00000000">
      <w:pPr>
        <w:spacing w:before="40" w:after="40"/>
      </w:pPr>
      <w:r>
        <w:rPr>
          <w:i/>
          <w:iCs/>
        </w:rPr>
        <w:t xml:space="preserve">Score Rationale: Adequate payer access trajectory with meaningful GPO wins, but G2N opacity is a genuine risk signal. Royalty obligation creates a structural margin constraint. Generic </w:t>
      </w:r>
      <w:proofErr w:type="spellStart"/>
      <w:r>
        <w:rPr>
          <w:i/>
          <w:iCs/>
        </w:rPr>
        <w:t>Oracea</w:t>
      </w:r>
      <w:proofErr w:type="spellEnd"/>
      <w:r>
        <w:rPr>
          <w:i/>
          <w:iCs/>
        </w:rPr>
        <w:t xml:space="preserve"> launch introduces pricing ceiling pressure. Score 3 — market </w:t>
      </w:r>
      <w:proofErr w:type="gramStart"/>
      <w:r>
        <w:rPr>
          <w:i/>
          <w:iCs/>
        </w:rPr>
        <w:t>standard;</w:t>
      </w:r>
      <w:proofErr w:type="gramEnd"/>
      <w:r>
        <w:rPr>
          <w:i/>
          <w:iCs/>
        </w:rPr>
        <w:t xml:space="preserve"> not a competitive advantage.</w:t>
      </w:r>
    </w:p>
    <w:p w14:paraId="0C75BA38"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7DA47294"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1B75A733" w14:textId="77777777" w:rsidR="00181921" w:rsidRDefault="00000000">
            <w:r>
              <w:rPr>
                <w:b/>
                <w:bCs/>
                <w:color w:val="1B3A5C"/>
              </w:rPr>
              <w:t>Q2 | CLINICAL DIFFERENTIATION &amp; STICKINESS</w:t>
            </w:r>
          </w:p>
        </w:tc>
        <w:tc>
          <w:tcPr>
            <w:tcW w:w="1800" w:type="dxa"/>
            <w:tcBorders>
              <w:top w:val="none" w:sz="0" w:space="0" w:color="FFFFFF"/>
              <w:left w:val="none" w:sz="0" w:space="0" w:color="FFFFFF"/>
              <w:bottom w:val="none" w:sz="0" w:space="0" w:color="FFFFFF"/>
              <w:right w:val="none" w:sz="0" w:space="0" w:color="FFFFFF"/>
            </w:tcBorders>
            <w:shd w:val="clear" w:color="auto" w:fill="1F6B3A"/>
            <w:tcMar>
              <w:top w:w="80" w:type="dxa"/>
              <w:left w:w="120" w:type="dxa"/>
              <w:bottom w:w="80" w:type="dxa"/>
              <w:right w:w="120" w:type="dxa"/>
            </w:tcMar>
            <w:vAlign w:val="center"/>
          </w:tcPr>
          <w:p w14:paraId="0B9C137E" w14:textId="77777777" w:rsidR="00181921" w:rsidRDefault="00000000">
            <w:pPr>
              <w:jc w:val="center"/>
            </w:pPr>
            <w:r>
              <w:rPr>
                <w:b/>
                <w:bCs/>
                <w:color w:val="FFFFFF"/>
                <w:sz w:val="22"/>
                <w:szCs w:val="22"/>
              </w:rPr>
              <w:t>4 / 5</w:t>
            </w:r>
          </w:p>
        </w:tc>
      </w:tr>
    </w:tbl>
    <w:p w14:paraId="28CCA59B" w14:textId="77777777" w:rsidR="00181921" w:rsidRDefault="00181921">
      <w:pPr>
        <w:spacing w:before="40" w:after="40"/>
      </w:pPr>
    </w:p>
    <w:p w14:paraId="4DF9FF4D" w14:textId="77777777" w:rsidR="00181921" w:rsidRDefault="00000000">
      <w:pPr>
        <w:spacing w:before="40" w:after="40"/>
      </w:pPr>
      <w:r>
        <w:rPr>
          <w:b/>
          <w:bCs/>
        </w:rPr>
        <w:t>Evidence:</w:t>
      </w:r>
    </w:p>
    <w:p w14:paraId="0AC41E91" w14:textId="77777777" w:rsidR="00181921" w:rsidRDefault="00000000">
      <w:pPr>
        <w:pStyle w:val="ListParagraph"/>
        <w:numPr>
          <w:ilvl w:val="0"/>
          <w:numId w:val="2"/>
        </w:numPr>
        <w:spacing w:before="30" w:after="30"/>
      </w:pPr>
      <w:r>
        <w:t xml:space="preserve">Statistically superior to both </w:t>
      </w:r>
      <w:proofErr w:type="spellStart"/>
      <w:r>
        <w:t>Oracea</w:t>
      </w:r>
      <w:proofErr w:type="spellEnd"/>
      <w:r>
        <w:t xml:space="preserve"> (doxycycline 40mg) AND placebo in both Phase 3 trials (MVOR-1 and MVOR-</w:t>
      </w:r>
      <w:proofErr w:type="gramStart"/>
      <w:r>
        <w:t>2) —</w:t>
      </w:r>
      <w:proofErr w:type="gramEnd"/>
      <w:r>
        <w:t xml:space="preserve"> a head-to-head active comparator design is unusually rigorous for specialty derm</w:t>
      </w:r>
    </w:p>
    <w:p w14:paraId="20D5623E" w14:textId="77777777" w:rsidR="00181921" w:rsidRDefault="00000000">
      <w:pPr>
        <w:pStyle w:val="ListParagraph"/>
        <w:numPr>
          <w:ilvl w:val="0"/>
          <w:numId w:val="2"/>
        </w:numPr>
        <w:spacing w:before="30" w:after="30"/>
      </w:pPr>
      <w:r>
        <w:t>Pooled Phase 3 data (Oct 2025, Fall Clinical Derm Conference): IGA success 62.7% (</w:t>
      </w:r>
      <w:proofErr w:type="spellStart"/>
      <w:r>
        <w:t>Emrosi</w:t>
      </w:r>
      <w:proofErr w:type="spellEnd"/>
      <w:r>
        <w:t>) vs. 39.0% (</w:t>
      </w:r>
      <w:proofErr w:type="spellStart"/>
      <w:r>
        <w:t>Oracea</w:t>
      </w:r>
      <w:proofErr w:type="spellEnd"/>
      <w:r>
        <w:t>) vs. 28.2% (placebo); p&lt;0.001 for all comparisons</w:t>
      </w:r>
    </w:p>
    <w:p w14:paraId="35269587" w14:textId="77777777" w:rsidR="00181921" w:rsidRDefault="00000000">
      <w:pPr>
        <w:pStyle w:val="ListParagraph"/>
        <w:numPr>
          <w:ilvl w:val="0"/>
          <w:numId w:val="2"/>
        </w:numPr>
        <w:spacing w:before="30" w:after="30"/>
      </w:pPr>
      <w:r>
        <w:t xml:space="preserve">Published in JAMA Dermatology (March </w:t>
      </w:r>
      <w:proofErr w:type="gramStart"/>
      <w:r>
        <w:t>2025) —</w:t>
      </w:r>
      <w:proofErr w:type="gramEnd"/>
      <w:r>
        <w:t xml:space="preserve"> peer-reviewed publication adds credibility and drives guideline inclusion</w:t>
      </w:r>
    </w:p>
    <w:p w14:paraId="24432DF1" w14:textId="77777777" w:rsidR="00181921" w:rsidRDefault="00000000">
      <w:pPr>
        <w:pStyle w:val="ListParagraph"/>
        <w:numPr>
          <w:ilvl w:val="0"/>
          <w:numId w:val="2"/>
        </w:numPr>
        <w:spacing w:before="30" w:after="30"/>
      </w:pPr>
      <w:r>
        <w:t>Included in updated National Rosacea Society treatment algorithms — a key commercial inflection trigger</w:t>
      </w:r>
    </w:p>
    <w:p w14:paraId="40463E7B" w14:textId="77777777" w:rsidR="00181921" w:rsidRDefault="00000000">
      <w:pPr>
        <w:pStyle w:val="ListParagraph"/>
        <w:numPr>
          <w:ilvl w:val="0"/>
          <w:numId w:val="2"/>
        </w:numPr>
        <w:spacing w:before="30" w:after="30"/>
      </w:pPr>
      <w:r>
        <w:t>Chronic condition (rosacea is lifelong and recurrent) creates prescription refill stickiness once patient achieves response</w:t>
      </w:r>
    </w:p>
    <w:p w14:paraId="61D7DCE8" w14:textId="77777777" w:rsidR="00181921" w:rsidRDefault="00000000">
      <w:pPr>
        <w:pStyle w:val="ListParagraph"/>
        <w:numPr>
          <w:ilvl w:val="0"/>
          <w:numId w:val="2"/>
        </w:numPr>
        <w:spacing w:before="30" w:after="30"/>
      </w:pPr>
      <w:r>
        <w:t xml:space="preserve">Lowest-dose oral minocycline available (10mg IR + 30mg </w:t>
      </w:r>
      <w:proofErr w:type="gramStart"/>
      <w:r>
        <w:t>ER) —</w:t>
      </w:r>
      <w:proofErr w:type="gramEnd"/>
      <w:r>
        <w:t xml:space="preserve"> differentiates from generic minocycline compounding on dose specificity</w:t>
      </w:r>
    </w:p>
    <w:p w14:paraId="3142A386" w14:textId="77777777" w:rsidR="00181921" w:rsidRDefault="00000000">
      <w:pPr>
        <w:pStyle w:val="ListParagraph"/>
        <w:numPr>
          <w:ilvl w:val="0"/>
          <w:numId w:val="2"/>
        </w:numPr>
        <w:spacing w:before="30" w:after="30"/>
      </w:pPr>
      <w:r>
        <w:t>Limitation: FDA label does not include erythema (redness) reduction claim — this was an investor concern at approval and limits label breadth vs. initial expectations</w:t>
      </w:r>
    </w:p>
    <w:p w14:paraId="64880D17" w14:textId="77777777" w:rsidR="00181921" w:rsidRDefault="00181921">
      <w:pPr>
        <w:spacing w:before="30" w:after="30"/>
      </w:pPr>
    </w:p>
    <w:p w14:paraId="526B1B26" w14:textId="77777777" w:rsidR="00181921" w:rsidRDefault="00000000">
      <w:pPr>
        <w:spacing w:before="40" w:after="40"/>
      </w:pPr>
      <w:r>
        <w:rPr>
          <w:i/>
          <w:iCs/>
        </w:rPr>
        <w:t>Score Rationale: Genuinely differentiated clinical profile with head-to-head superiority data in a peer-reviewed journal, now embedded in society guidelines. The lack of erythema label claim is a real constraint but not thesis-breaking given IGA superiority data. Score 4.</w:t>
      </w:r>
    </w:p>
    <w:p w14:paraId="71FD5AF1"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7E26E95F"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1F96BD19" w14:textId="77777777" w:rsidR="00181921" w:rsidRDefault="00000000">
            <w:r>
              <w:rPr>
                <w:b/>
                <w:bCs/>
                <w:color w:val="1B3A5C"/>
              </w:rPr>
              <w:t>Q3 | MOAT DYNAMICS &amp; IP PROTECTION</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80" w:type="dxa"/>
              <w:left w:w="120" w:type="dxa"/>
              <w:bottom w:w="80" w:type="dxa"/>
              <w:right w:w="120" w:type="dxa"/>
            </w:tcMar>
            <w:vAlign w:val="center"/>
          </w:tcPr>
          <w:p w14:paraId="74E13122" w14:textId="77777777" w:rsidR="00181921" w:rsidRDefault="00000000">
            <w:pPr>
              <w:jc w:val="center"/>
            </w:pPr>
            <w:r>
              <w:rPr>
                <w:b/>
                <w:bCs/>
                <w:color w:val="FFFFFF"/>
                <w:sz w:val="22"/>
                <w:szCs w:val="22"/>
              </w:rPr>
              <w:t>3 / 5</w:t>
            </w:r>
          </w:p>
        </w:tc>
      </w:tr>
    </w:tbl>
    <w:p w14:paraId="35D3E3D0" w14:textId="77777777" w:rsidR="00181921" w:rsidRDefault="00181921">
      <w:pPr>
        <w:spacing w:before="40" w:after="40"/>
      </w:pPr>
    </w:p>
    <w:p w14:paraId="1CD7779C" w14:textId="77777777" w:rsidR="00181921" w:rsidRDefault="00000000">
      <w:pPr>
        <w:spacing w:before="40" w:after="40"/>
      </w:pPr>
      <w:r>
        <w:rPr>
          <w:b/>
          <w:bCs/>
        </w:rPr>
        <w:t>Evidence:</w:t>
      </w:r>
    </w:p>
    <w:p w14:paraId="1114555F" w14:textId="77777777" w:rsidR="00181921" w:rsidRDefault="00000000">
      <w:pPr>
        <w:pStyle w:val="ListParagraph"/>
        <w:numPr>
          <w:ilvl w:val="0"/>
          <w:numId w:val="2"/>
        </w:numPr>
        <w:spacing w:before="30" w:after="30"/>
      </w:pPr>
      <w:r>
        <w:t>Emrosi: 3 issued US patents + 1 pending; proprietary modified-release formulation (10mg IR / 30mg ER) differentiates from compounded generic minocycline on dose engineering</w:t>
      </w:r>
    </w:p>
    <w:p w14:paraId="541BCBBE" w14:textId="77777777" w:rsidR="00181921" w:rsidRDefault="00000000">
      <w:pPr>
        <w:pStyle w:val="ListParagraph"/>
        <w:numPr>
          <w:ilvl w:val="0"/>
          <w:numId w:val="2"/>
        </w:numPr>
        <w:spacing w:before="30" w:after="30"/>
      </w:pPr>
      <w:proofErr w:type="spellStart"/>
      <w:r>
        <w:t>Qbrexza</w:t>
      </w:r>
      <w:proofErr w:type="spellEnd"/>
      <w:r>
        <w:t xml:space="preserve">: 8 patents; </w:t>
      </w:r>
      <w:proofErr w:type="spellStart"/>
      <w:r>
        <w:t>Padagis</w:t>
      </w:r>
      <w:proofErr w:type="spellEnd"/>
      <w:r>
        <w:t xml:space="preserve"> Para IV settlement bars generic until Aug 15, 2030; </w:t>
      </w:r>
      <w:proofErr w:type="spellStart"/>
      <w:r>
        <w:t>DrugPatentWatch</w:t>
      </w:r>
      <w:proofErr w:type="spellEnd"/>
      <w:r>
        <w:t xml:space="preserve"> estimates full expiry protection through Feb 28, 2033</w:t>
      </w:r>
    </w:p>
    <w:p w14:paraId="496414A2" w14:textId="77777777" w:rsidR="00181921" w:rsidRDefault="00000000">
      <w:pPr>
        <w:pStyle w:val="ListParagraph"/>
        <w:numPr>
          <w:ilvl w:val="0"/>
          <w:numId w:val="2"/>
        </w:numPr>
        <w:spacing w:before="30" w:after="30"/>
      </w:pPr>
      <w:proofErr w:type="spellStart"/>
      <w:r>
        <w:t>Amzeeq</w:t>
      </w:r>
      <w:proofErr w:type="spellEnd"/>
      <w:r>
        <w:t xml:space="preserve">: </w:t>
      </w:r>
      <w:proofErr w:type="spellStart"/>
      <w:r>
        <w:t>Padagis</w:t>
      </w:r>
      <w:proofErr w:type="spellEnd"/>
      <w:r>
        <w:t xml:space="preserve"> settlement bars generic until July 1, 2031</w:t>
      </w:r>
    </w:p>
    <w:p w14:paraId="1F78782D" w14:textId="77777777" w:rsidR="00181921" w:rsidRDefault="00000000">
      <w:pPr>
        <w:pStyle w:val="ListParagraph"/>
        <w:numPr>
          <w:ilvl w:val="0"/>
          <w:numId w:val="2"/>
        </w:numPr>
        <w:spacing w:before="30" w:after="30"/>
      </w:pPr>
      <w:proofErr w:type="spellStart"/>
      <w:r>
        <w:t>Zilxi</w:t>
      </w:r>
      <w:proofErr w:type="spellEnd"/>
      <w:r>
        <w:t xml:space="preserve">: </w:t>
      </w:r>
      <w:proofErr w:type="spellStart"/>
      <w:r>
        <w:t>Padagis</w:t>
      </w:r>
      <w:proofErr w:type="spellEnd"/>
      <w:r>
        <w:t xml:space="preserve"> settlement bars generic until April 1, 2027 — NEAR-TERM CLIFF (~13 months from analysis date)</w:t>
      </w:r>
    </w:p>
    <w:p w14:paraId="6BA70A58" w14:textId="77777777" w:rsidR="00181921" w:rsidRDefault="00000000">
      <w:pPr>
        <w:pStyle w:val="ListParagraph"/>
        <w:numPr>
          <w:ilvl w:val="0"/>
          <w:numId w:val="2"/>
        </w:numPr>
        <w:spacing w:before="30" w:after="30"/>
      </w:pPr>
      <w:r>
        <w:t xml:space="preserve">Critical compounding pharmacy risk: Minocycline is a widely available generic antibiotic molecule. Compounding pharmacies can legally compound minocycline in custom formulations. </w:t>
      </w:r>
      <w:proofErr w:type="spellStart"/>
      <w:r>
        <w:t>Emrosi's</w:t>
      </w:r>
      <w:proofErr w:type="spellEnd"/>
      <w:r>
        <w:t xml:space="preserve"> protection relies on the proprietary IR/ER delivery system, but enforcement against compounders is limited under FDCA Section 503A/B frameworks</w:t>
      </w:r>
    </w:p>
    <w:p w14:paraId="0244D46C" w14:textId="77777777" w:rsidR="00181921" w:rsidRDefault="00000000">
      <w:pPr>
        <w:pStyle w:val="ListParagraph"/>
        <w:numPr>
          <w:ilvl w:val="0"/>
          <w:numId w:val="2"/>
        </w:numPr>
        <w:spacing w:before="30" w:after="30"/>
      </w:pPr>
      <w:r>
        <w:t>RWE moat: Limited — no disclosed real-world evidence program or outcomes data strategy</w:t>
      </w:r>
    </w:p>
    <w:p w14:paraId="2595EFDA" w14:textId="77777777" w:rsidR="00181921" w:rsidRDefault="00181921">
      <w:pPr>
        <w:spacing w:before="30" w:after="30"/>
      </w:pPr>
    </w:p>
    <w:p w14:paraId="041F5605" w14:textId="77777777" w:rsidR="00181921" w:rsidRDefault="00000000">
      <w:pPr>
        <w:spacing w:before="40" w:after="40"/>
      </w:pPr>
      <w:r>
        <w:rPr>
          <w:i/>
          <w:iCs/>
        </w:rPr>
        <w:t>Score Rationale: Adequate patent protection on core assets (</w:t>
      </w:r>
      <w:proofErr w:type="spellStart"/>
      <w:r>
        <w:rPr>
          <w:i/>
          <w:iCs/>
        </w:rPr>
        <w:t>Qbrexza</w:t>
      </w:r>
      <w:proofErr w:type="spellEnd"/>
      <w:r>
        <w:rPr>
          <w:i/>
          <w:iCs/>
        </w:rPr>
        <w:t xml:space="preserve">, </w:t>
      </w:r>
      <w:proofErr w:type="spellStart"/>
      <w:r>
        <w:rPr>
          <w:i/>
          <w:iCs/>
        </w:rPr>
        <w:t>Amzeeq</w:t>
      </w:r>
      <w:proofErr w:type="spellEnd"/>
      <w:r>
        <w:rPr>
          <w:i/>
          <w:iCs/>
        </w:rPr>
        <w:t xml:space="preserve">, Emrosi) with clear settlement dates providing investment planning visibility. </w:t>
      </w:r>
      <w:proofErr w:type="spellStart"/>
      <w:r>
        <w:rPr>
          <w:i/>
          <w:iCs/>
        </w:rPr>
        <w:t>Zilxi's</w:t>
      </w:r>
      <w:proofErr w:type="spellEnd"/>
      <w:r>
        <w:rPr>
          <w:i/>
          <w:iCs/>
        </w:rPr>
        <w:t xml:space="preserve"> April 2027 generic entry is an imminent headwind. </w:t>
      </w:r>
      <w:proofErr w:type="spellStart"/>
      <w:r>
        <w:rPr>
          <w:i/>
          <w:iCs/>
        </w:rPr>
        <w:t>Emrosi's</w:t>
      </w:r>
      <w:proofErr w:type="spellEnd"/>
      <w:r>
        <w:rPr>
          <w:i/>
          <w:iCs/>
        </w:rPr>
        <w:t xml:space="preserve"> compounding pharmacy exposure is the most material unquantified risk. Score 3.</w:t>
      </w:r>
    </w:p>
    <w:p w14:paraId="41339D70"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39844455"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742B9E30" w14:textId="77777777" w:rsidR="00181921" w:rsidRDefault="00000000">
            <w:r>
              <w:rPr>
                <w:b/>
                <w:bCs/>
                <w:color w:val="1B3A5C"/>
              </w:rPr>
              <w:t>Q4 | UNIT ECONOMICS &amp; GROSS MARGIN TRAJECTORY</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80" w:type="dxa"/>
              <w:left w:w="120" w:type="dxa"/>
              <w:bottom w:w="80" w:type="dxa"/>
              <w:right w:w="120" w:type="dxa"/>
            </w:tcMar>
            <w:vAlign w:val="center"/>
          </w:tcPr>
          <w:p w14:paraId="486082BC" w14:textId="77777777" w:rsidR="00181921" w:rsidRDefault="00000000">
            <w:pPr>
              <w:jc w:val="center"/>
            </w:pPr>
            <w:r>
              <w:rPr>
                <w:b/>
                <w:bCs/>
                <w:color w:val="FFFFFF"/>
                <w:sz w:val="22"/>
                <w:szCs w:val="22"/>
              </w:rPr>
              <w:t>3 / 5</w:t>
            </w:r>
          </w:p>
        </w:tc>
      </w:tr>
    </w:tbl>
    <w:p w14:paraId="223E4926" w14:textId="77777777" w:rsidR="00181921" w:rsidRDefault="00181921">
      <w:pPr>
        <w:spacing w:before="40" w:after="40"/>
      </w:pPr>
    </w:p>
    <w:p w14:paraId="4A88E93B" w14:textId="77777777" w:rsidR="00181921" w:rsidRDefault="00000000">
      <w:pPr>
        <w:spacing w:before="40" w:after="40"/>
      </w:pPr>
      <w:r>
        <w:rPr>
          <w:b/>
          <w:bCs/>
        </w:rPr>
        <w:t>Evidence:</w:t>
      </w:r>
    </w:p>
    <w:p w14:paraId="01685FA5" w14:textId="77777777" w:rsidR="00181921" w:rsidRDefault="00000000">
      <w:pPr>
        <w:pStyle w:val="ListParagraph"/>
        <w:numPr>
          <w:ilvl w:val="0"/>
          <w:numId w:val="2"/>
        </w:numPr>
        <w:spacing w:before="30" w:after="30"/>
      </w:pPr>
      <w:r>
        <w:t xml:space="preserve">Gross margin trajectory improving: Q1 2025 63.5% → Q2 67.1% → Q3 </w:t>
      </w:r>
      <w:proofErr w:type="gramStart"/>
      <w:r>
        <w:t>67.4% —</w:t>
      </w:r>
      <w:proofErr w:type="gramEnd"/>
      <w:r>
        <w:t xml:space="preserve"> consistent quarterly improvement driven by Emrosi/</w:t>
      </w:r>
      <w:proofErr w:type="spellStart"/>
      <w:r>
        <w:t>Qbrexza</w:t>
      </w:r>
      <w:proofErr w:type="spellEnd"/>
      <w:r>
        <w:t xml:space="preserve"> mix shift</w:t>
      </w:r>
    </w:p>
    <w:p w14:paraId="1C29DCF0" w14:textId="77777777" w:rsidR="00181921" w:rsidRDefault="00000000">
      <w:pPr>
        <w:pStyle w:val="ListParagraph"/>
        <w:numPr>
          <w:ilvl w:val="0"/>
          <w:numId w:val="2"/>
        </w:numPr>
        <w:spacing w:before="30" w:after="30"/>
      </w:pPr>
      <w:r>
        <w:t xml:space="preserve">Q3 2024 gross margin was </w:t>
      </w:r>
      <w:proofErr w:type="gramStart"/>
      <w:r>
        <w:t>69.4% —</w:t>
      </w:r>
      <w:proofErr w:type="gramEnd"/>
      <w:r>
        <w:t xml:space="preserve"> current Q3 2025 margin (67.4%) is 200bps below prior year, partly explained by favorable one-time adjustments in Q3 2024</w:t>
      </w:r>
    </w:p>
    <w:p w14:paraId="0D0DAC2C" w14:textId="77777777" w:rsidR="00181921" w:rsidRDefault="00000000">
      <w:pPr>
        <w:pStyle w:val="ListParagraph"/>
        <w:numPr>
          <w:ilvl w:val="0"/>
          <w:numId w:val="2"/>
        </w:numPr>
        <w:spacing w:before="30" w:after="30"/>
      </w:pPr>
      <w:r>
        <w:t xml:space="preserve">Target gross margin at scale: management has not provided explicit guidance; peer specialty pharma benchmarks suggest 70–75% achievable at </w:t>
      </w:r>
      <w:proofErr w:type="spellStart"/>
      <w:r>
        <w:t>Emrosi</w:t>
      </w:r>
      <w:proofErr w:type="spellEnd"/>
      <w:r>
        <w:t xml:space="preserve"> maturity</w:t>
      </w:r>
    </w:p>
    <w:p w14:paraId="6092CFD0" w14:textId="77777777" w:rsidR="00181921" w:rsidRDefault="00000000">
      <w:pPr>
        <w:pStyle w:val="ListParagraph"/>
        <w:numPr>
          <w:ilvl w:val="0"/>
          <w:numId w:val="2"/>
        </w:numPr>
        <w:spacing w:before="30" w:after="30"/>
      </w:pPr>
      <w:r>
        <w:t xml:space="preserve">Structural royalty ceiling: 10–14% </w:t>
      </w:r>
      <w:proofErr w:type="spellStart"/>
      <w:r>
        <w:t>Emrosi</w:t>
      </w:r>
      <w:proofErr w:type="spellEnd"/>
      <w:r>
        <w:t xml:space="preserve"> royalty to Dr. Reddy's directly reduces net revenue realization, capping gross margin expansion vs. fully-owned assets</w:t>
      </w:r>
    </w:p>
    <w:p w14:paraId="7B3B4D1E" w14:textId="77777777" w:rsidR="00181921" w:rsidRDefault="00000000">
      <w:pPr>
        <w:pStyle w:val="ListParagraph"/>
        <w:numPr>
          <w:ilvl w:val="0"/>
          <w:numId w:val="2"/>
        </w:numPr>
        <w:spacing w:before="30" w:after="30"/>
      </w:pPr>
      <w:r>
        <w:t xml:space="preserve">Legacy </w:t>
      </w:r>
      <w:proofErr w:type="gramStart"/>
      <w:r>
        <w:t>product</w:t>
      </w:r>
      <w:proofErr w:type="gramEnd"/>
      <w:r>
        <w:t xml:space="preserve"> drag: Accutane generic competition continues; </w:t>
      </w:r>
      <w:proofErr w:type="spellStart"/>
      <w:r>
        <w:t>Targadox</w:t>
      </w:r>
      <w:proofErr w:type="spellEnd"/>
      <w:r>
        <w:t>/</w:t>
      </w:r>
      <w:proofErr w:type="spellStart"/>
      <w:r>
        <w:t>Ximino</w:t>
      </w:r>
      <w:proofErr w:type="spellEnd"/>
      <w:r>
        <w:t xml:space="preserve"> carrying lower margins than </w:t>
      </w:r>
      <w:proofErr w:type="spellStart"/>
      <w:r>
        <w:t>Emrosi</w:t>
      </w:r>
      <w:proofErr w:type="spellEnd"/>
      <w:r>
        <w:t>/</w:t>
      </w:r>
      <w:proofErr w:type="spellStart"/>
      <w:r>
        <w:t>Qbrexza</w:t>
      </w:r>
      <w:proofErr w:type="spellEnd"/>
      <w:r>
        <w:t>; mix shift toward higher-margin products is the natural tailwind</w:t>
      </w:r>
    </w:p>
    <w:p w14:paraId="2D0A654C" w14:textId="77777777" w:rsidR="00181921" w:rsidRDefault="00181921">
      <w:pPr>
        <w:spacing w:before="30" w:after="30"/>
      </w:pPr>
    </w:p>
    <w:p w14:paraId="02DCCF95" w14:textId="77777777" w:rsidR="00181921" w:rsidRDefault="00000000">
      <w:pPr>
        <w:spacing w:before="40" w:after="40"/>
      </w:pPr>
      <w:r>
        <w:rPr>
          <w:i/>
          <w:iCs/>
        </w:rPr>
        <w:t xml:space="preserve">Score Rationale: Improving trajectory with a clear product-mix tailwind. The 10–14% royalty obligation is a genuine gross margin ceiling </w:t>
      </w:r>
      <w:proofErr w:type="gramStart"/>
      <w:r>
        <w:rPr>
          <w:i/>
          <w:iCs/>
        </w:rPr>
        <w:t>not present</w:t>
      </w:r>
      <w:proofErr w:type="gramEnd"/>
      <w:r>
        <w:rPr>
          <w:i/>
          <w:iCs/>
        </w:rPr>
        <w:t xml:space="preserve"> in comparable fully-owned portfolios. Legacy drag will persist through </w:t>
      </w:r>
      <w:proofErr w:type="spellStart"/>
      <w:r>
        <w:rPr>
          <w:i/>
          <w:iCs/>
        </w:rPr>
        <w:t>Zilxi's</w:t>
      </w:r>
      <w:proofErr w:type="spellEnd"/>
      <w:r>
        <w:rPr>
          <w:i/>
          <w:iCs/>
        </w:rPr>
        <w:t xml:space="preserve"> genericization in 2027. Score 3.</w:t>
      </w:r>
    </w:p>
    <w:p w14:paraId="6C1438BB"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031B1BDC"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5ED14137" w14:textId="77777777" w:rsidR="00181921" w:rsidRDefault="00000000">
            <w:r>
              <w:rPr>
                <w:b/>
                <w:bCs/>
                <w:color w:val="1B3A5C"/>
              </w:rPr>
              <w:t>Q5 | INCREMENTAL OPERATING MARGIN &amp; PATH TO BREAKEVEN</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80" w:type="dxa"/>
              <w:left w:w="120" w:type="dxa"/>
              <w:bottom w:w="80" w:type="dxa"/>
              <w:right w:w="120" w:type="dxa"/>
            </w:tcMar>
            <w:vAlign w:val="center"/>
          </w:tcPr>
          <w:p w14:paraId="1CBFBF50" w14:textId="77777777" w:rsidR="00181921" w:rsidRDefault="00000000">
            <w:pPr>
              <w:jc w:val="center"/>
            </w:pPr>
            <w:r>
              <w:rPr>
                <w:b/>
                <w:bCs/>
                <w:color w:val="FFFFFF"/>
                <w:sz w:val="22"/>
                <w:szCs w:val="22"/>
              </w:rPr>
              <w:t>3 / 5</w:t>
            </w:r>
          </w:p>
        </w:tc>
      </w:tr>
    </w:tbl>
    <w:p w14:paraId="42087873" w14:textId="77777777" w:rsidR="00181921" w:rsidRDefault="00181921">
      <w:pPr>
        <w:spacing w:before="40" w:after="40"/>
      </w:pPr>
    </w:p>
    <w:p w14:paraId="5A01B017" w14:textId="77777777" w:rsidR="00181921" w:rsidRDefault="00000000">
      <w:pPr>
        <w:spacing w:before="40" w:after="40"/>
      </w:pPr>
      <w:r>
        <w:rPr>
          <w:b/>
          <w:bCs/>
        </w:rPr>
        <w:t>Evidence:</w:t>
      </w:r>
    </w:p>
    <w:p w14:paraId="0DCD4ACF" w14:textId="77777777" w:rsidR="00181921" w:rsidRDefault="00000000">
      <w:pPr>
        <w:pStyle w:val="ListParagraph"/>
        <w:numPr>
          <w:ilvl w:val="0"/>
          <w:numId w:val="2"/>
        </w:numPr>
        <w:spacing w:before="30" w:after="30"/>
      </w:pPr>
      <w:r>
        <w:t>Revenue grew 21% YoY in Q3 2025 ($17.6M vs. $14.6M) while SG&amp;A grew only 6% ($12.1M vs. $11.4</w:t>
      </w:r>
      <w:proofErr w:type="gramStart"/>
      <w:r>
        <w:t>M) —</w:t>
      </w:r>
      <w:proofErr w:type="gramEnd"/>
      <w:r>
        <w:t xml:space="preserve"> visible operating leverage from fixed salesforce cost structure</w:t>
      </w:r>
    </w:p>
    <w:p w14:paraId="17BBA29F" w14:textId="77777777" w:rsidR="00181921" w:rsidRDefault="00000000">
      <w:pPr>
        <w:pStyle w:val="ListParagraph"/>
        <w:numPr>
          <w:ilvl w:val="0"/>
          <w:numId w:val="2"/>
        </w:numPr>
        <w:spacing w:before="30" w:after="30"/>
      </w:pPr>
      <w:r>
        <w:t xml:space="preserve">Incremental </w:t>
      </w:r>
      <w:proofErr w:type="spellStart"/>
      <w:r>
        <w:t>OpEx</w:t>
      </w:r>
      <w:proofErr w:type="spellEnd"/>
      <w:r>
        <w:t xml:space="preserve"> Ratio (9M 2025 vs. 9M 2024): ΔSG&amp;A ~+$0.9M on </w:t>
      </w:r>
      <w:proofErr w:type="spellStart"/>
      <w:r>
        <w:t>ΔRevenue</w:t>
      </w:r>
      <w:proofErr w:type="spellEnd"/>
      <w:r>
        <w:t xml:space="preserve"> ~$3.3M = ~27% incremental </w:t>
      </w:r>
      <w:proofErr w:type="spellStart"/>
      <w:r>
        <w:t>OpEx</w:t>
      </w:r>
      <w:proofErr w:type="spellEnd"/>
      <w:r>
        <w:t xml:space="preserve"> ratio — exceptional for a specialty pharma at </w:t>
      </w:r>
      <w:proofErr w:type="gramStart"/>
      <w:r>
        <w:t>launch</w:t>
      </w:r>
      <w:proofErr w:type="gramEnd"/>
    </w:p>
    <w:p w14:paraId="145A62D0" w14:textId="77777777" w:rsidR="00181921" w:rsidRDefault="00000000">
      <w:pPr>
        <w:pStyle w:val="ListParagraph"/>
        <w:numPr>
          <w:ilvl w:val="0"/>
          <w:numId w:val="2"/>
        </w:numPr>
        <w:spacing w:before="30" w:after="30"/>
      </w:pPr>
      <w:r>
        <w:t>Adj. EBITDA progression: Q1 2025 –$0.9M → Q2 ~$0.0M → Q3 +$1.7M — clear step-function improvement, exactly the launch leverage pattern</w:t>
      </w:r>
    </w:p>
    <w:p w14:paraId="6A8D901D" w14:textId="77777777" w:rsidR="00181921" w:rsidRDefault="00000000">
      <w:pPr>
        <w:pStyle w:val="ListParagraph"/>
        <w:numPr>
          <w:ilvl w:val="0"/>
          <w:numId w:val="2"/>
        </w:numPr>
        <w:spacing w:before="30" w:after="30"/>
      </w:pPr>
      <w:r>
        <w:lastRenderedPageBreak/>
        <w:t xml:space="preserve">Estimated breakeven quarterly revenue: ~$20M (Current quarterly </w:t>
      </w:r>
      <w:proofErr w:type="spellStart"/>
      <w:r>
        <w:t>OpEx</w:t>
      </w:r>
      <w:proofErr w:type="spellEnd"/>
      <w:r>
        <w:t xml:space="preserve"> ~$13.5M / 67.4% gross margin). At Q3 2025 run rate of $17.6M, approximately $2.4M incremental revenue gap</w:t>
      </w:r>
    </w:p>
    <w:p w14:paraId="53DE9E79" w14:textId="77777777" w:rsidR="00181921" w:rsidRDefault="00000000">
      <w:pPr>
        <w:pStyle w:val="ListParagraph"/>
        <w:numPr>
          <w:ilvl w:val="0"/>
          <w:numId w:val="2"/>
        </w:numPr>
        <w:spacing w:before="30" w:after="30"/>
      </w:pPr>
      <w:r>
        <w:t xml:space="preserve">Estimated quarters to breakeven: 1–2 quarters assuming </w:t>
      </w:r>
      <w:proofErr w:type="spellStart"/>
      <w:r>
        <w:t>Emrosi</w:t>
      </w:r>
      <w:proofErr w:type="spellEnd"/>
      <w:r>
        <w:t xml:space="preserve"> Rx trajectory continues at current growth rate</w:t>
      </w:r>
    </w:p>
    <w:p w14:paraId="1E725E0D" w14:textId="77777777" w:rsidR="00181921" w:rsidRDefault="00000000">
      <w:pPr>
        <w:pStyle w:val="ListParagraph"/>
        <w:numPr>
          <w:ilvl w:val="0"/>
          <w:numId w:val="2"/>
        </w:numPr>
        <w:spacing w:before="30" w:after="30"/>
      </w:pPr>
      <w:r>
        <w:t xml:space="preserve">Management target: 'sustainably EBITDA </w:t>
      </w:r>
      <w:proofErr w:type="gramStart"/>
      <w:r>
        <w:t>positive' —</w:t>
      </w:r>
      <w:proofErr w:type="gramEnd"/>
      <w:r>
        <w:t xml:space="preserve"> no specific quarter disclosed but trajectory is consistent with Q4 2025 / Q1 2026 inflection</w:t>
      </w:r>
    </w:p>
    <w:p w14:paraId="248EE740" w14:textId="77777777" w:rsidR="00181921" w:rsidRDefault="00181921">
      <w:pPr>
        <w:spacing w:before="30" w:after="30"/>
      </w:pPr>
    </w:p>
    <w:p w14:paraId="194A4384" w14:textId="77777777" w:rsidR="00181921" w:rsidRDefault="00000000">
      <w:pPr>
        <w:spacing w:before="40" w:after="40"/>
      </w:pPr>
      <w:r>
        <w:rPr>
          <w:i/>
          <w:iCs/>
        </w:rPr>
        <w:t xml:space="preserve">Score Rationale: The incremental margin dashboard is genuinely impressive — the </w:t>
      </w:r>
      <w:proofErr w:type="spellStart"/>
      <w:r>
        <w:rPr>
          <w:i/>
          <w:iCs/>
        </w:rPr>
        <w:t>Emrosi</w:t>
      </w:r>
      <w:proofErr w:type="spellEnd"/>
      <w:r>
        <w:rPr>
          <w:i/>
          <w:iCs/>
        </w:rPr>
        <w:t xml:space="preserve"> launch is generating high-quality revenue with minimal incremental SG&amp;A, exactly what a fixed-cost commercial model should do. Breakeven is imminent rather than aspirational. Score 3 reflects 'not yet achieved' rather than 'not credible.' Score upgrades to 4 upon sustained EBITDA positivity.</w:t>
      </w:r>
    </w:p>
    <w:p w14:paraId="510CDA72"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6962CD71"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752529CB" w14:textId="77777777" w:rsidR="00181921" w:rsidRDefault="00000000">
            <w:r>
              <w:rPr>
                <w:b/>
                <w:bCs/>
                <w:color w:val="1B3A5C"/>
              </w:rPr>
              <w:t>Q6 | CASH RUNWAY &amp; DILUTION RISK</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80" w:type="dxa"/>
              <w:left w:w="120" w:type="dxa"/>
              <w:bottom w:w="80" w:type="dxa"/>
              <w:right w:w="120" w:type="dxa"/>
            </w:tcMar>
            <w:vAlign w:val="center"/>
          </w:tcPr>
          <w:p w14:paraId="2DC13D8B" w14:textId="77777777" w:rsidR="00181921" w:rsidRDefault="00000000">
            <w:pPr>
              <w:jc w:val="center"/>
            </w:pPr>
            <w:r>
              <w:rPr>
                <w:b/>
                <w:bCs/>
                <w:color w:val="FFFFFF"/>
                <w:sz w:val="22"/>
                <w:szCs w:val="22"/>
              </w:rPr>
              <w:t>3 / 5</w:t>
            </w:r>
          </w:p>
        </w:tc>
      </w:tr>
    </w:tbl>
    <w:p w14:paraId="0E7060FD" w14:textId="77777777" w:rsidR="00181921" w:rsidRDefault="00181921">
      <w:pPr>
        <w:spacing w:before="40" w:after="40"/>
      </w:pPr>
    </w:p>
    <w:p w14:paraId="084583D5" w14:textId="77777777" w:rsidR="00181921" w:rsidRDefault="00000000">
      <w:pPr>
        <w:spacing w:before="40" w:after="40"/>
      </w:pPr>
      <w:r>
        <w:rPr>
          <w:b/>
          <w:bCs/>
        </w:rPr>
        <w:t>Evidence:</w:t>
      </w:r>
    </w:p>
    <w:p w14:paraId="6DDF4583" w14:textId="77777777" w:rsidR="00181921" w:rsidRDefault="00000000">
      <w:pPr>
        <w:pStyle w:val="ListParagraph"/>
        <w:numPr>
          <w:ilvl w:val="0"/>
          <w:numId w:val="2"/>
        </w:numPr>
        <w:spacing w:before="30" w:after="30"/>
      </w:pPr>
      <w:r>
        <w:t xml:space="preserve">Cash improved: $24.9M </w:t>
      </w:r>
      <w:proofErr w:type="gramStart"/>
      <w:r>
        <w:t>at</w:t>
      </w:r>
      <w:proofErr w:type="gramEnd"/>
      <w:r>
        <w:t xml:space="preserve"> Sep 30, </w:t>
      </w:r>
      <w:proofErr w:type="gramStart"/>
      <w:r>
        <w:t>2025</w:t>
      </w:r>
      <w:proofErr w:type="gramEnd"/>
      <w:r>
        <w:t xml:space="preserve"> vs. $20.3M </w:t>
      </w:r>
      <w:proofErr w:type="gramStart"/>
      <w:r>
        <w:t>at</w:t>
      </w:r>
      <w:proofErr w:type="gramEnd"/>
      <w:r>
        <w:t xml:space="preserve"> Dec 31, 2024 — cash is building, not burning, reflecting Q3 Adj. EBITDA positive quarter</w:t>
      </w:r>
    </w:p>
    <w:p w14:paraId="297AA934" w14:textId="77777777" w:rsidR="00181921" w:rsidRDefault="00000000">
      <w:pPr>
        <w:pStyle w:val="ListParagraph"/>
        <w:numPr>
          <w:ilvl w:val="0"/>
          <w:numId w:val="2"/>
        </w:numPr>
        <w:spacing w:before="30" w:after="30"/>
      </w:pPr>
      <w:r>
        <w:t>SWK Funding LLC term loan: credit facility in place; exact terms (rate, covenants, maturity) not fully disclosed in public filings reviewed</w:t>
      </w:r>
    </w:p>
    <w:p w14:paraId="61B9F80B" w14:textId="77777777" w:rsidR="00181921" w:rsidRDefault="00000000">
      <w:pPr>
        <w:pStyle w:val="ListParagraph"/>
        <w:numPr>
          <w:ilvl w:val="0"/>
          <w:numId w:val="2"/>
        </w:numPr>
        <w:spacing w:before="30" w:after="30"/>
      </w:pPr>
      <w:r>
        <w:t xml:space="preserve">B. Riley ATM program: dilutive equity issuance mechanism in place; used historically to fund </w:t>
      </w:r>
      <w:proofErr w:type="spellStart"/>
      <w:r>
        <w:t>Emrosi</w:t>
      </w:r>
      <w:proofErr w:type="spellEnd"/>
      <w:r>
        <w:t xml:space="preserve"> development</w:t>
      </w:r>
    </w:p>
    <w:p w14:paraId="366DBB21" w14:textId="77777777" w:rsidR="00181921" w:rsidRDefault="00000000">
      <w:pPr>
        <w:pStyle w:val="ListParagraph"/>
        <w:numPr>
          <w:ilvl w:val="0"/>
          <w:numId w:val="2"/>
        </w:numPr>
        <w:spacing w:before="30" w:after="30"/>
      </w:pPr>
      <w:r>
        <w:t xml:space="preserve">Share count dilution: Weighted avg basic shares grew from ~20.1M (9M 2024) to ~23.6M (9M </w:t>
      </w:r>
      <w:proofErr w:type="gramStart"/>
      <w:r>
        <w:t>2025) —</w:t>
      </w:r>
      <w:proofErr w:type="gramEnd"/>
      <w:r>
        <w:t xml:space="preserve"> approximately 17% dilution over 12 months — material but explained by </w:t>
      </w:r>
      <w:proofErr w:type="spellStart"/>
      <w:r>
        <w:t>Emrosi</w:t>
      </w:r>
      <w:proofErr w:type="spellEnd"/>
      <w:r>
        <w:t xml:space="preserve"> launch funding</w:t>
      </w:r>
    </w:p>
    <w:p w14:paraId="2AB0A181" w14:textId="77777777" w:rsidR="00181921" w:rsidRDefault="00000000">
      <w:pPr>
        <w:pStyle w:val="ListParagraph"/>
        <w:numPr>
          <w:ilvl w:val="0"/>
          <w:numId w:val="2"/>
        </w:numPr>
        <w:spacing w:before="30" w:after="30"/>
      </w:pPr>
      <w:r>
        <w:t>Diluted share count: ~28.3M (Q3 2025) vs. basic ~25.0M — warrants/options create potential overhang</w:t>
      </w:r>
    </w:p>
    <w:p w14:paraId="55309466" w14:textId="77777777" w:rsidR="00181921" w:rsidRDefault="00000000">
      <w:pPr>
        <w:pStyle w:val="ListParagraph"/>
        <w:numPr>
          <w:ilvl w:val="0"/>
          <w:numId w:val="2"/>
        </w:numPr>
        <w:spacing w:before="30" w:after="30"/>
      </w:pPr>
      <w:r>
        <w:t>Near-breakeven operating profile substantially reduces capital need going forward; ATM usage should diminish as operating cash flow turns positive</w:t>
      </w:r>
    </w:p>
    <w:p w14:paraId="43B9F248" w14:textId="77777777" w:rsidR="00181921" w:rsidRDefault="00181921">
      <w:pPr>
        <w:spacing w:before="30" w:after="30"/>
      </w:pPr>
    </w:p>
    <w:p w14:paraId="4F909D35" w14:textId="77777777" w:rsidR="00181921" w:rsidRDefault="00000000">
      <w:pPr>
        <w:spacing w:before="40" w:after="40"/>
      </w:pPr>
      <w:r>
        <w:rPr>
          <w:i/>
          <w:iCs/>
        </w:rPr>
        <w:t>Score Rationale: Cash position is adequate and improving. Historical dilution has been meaningful but is clearly decelerating as the company approaches profitability. SWK debt terms remain opaque — this is a watch item. Score 3.</w:t>
      </w:r>
    </w:p>
    <w:p w14:paraId="79EBC70D"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27649CCA"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654044E4" w14:textId="77777777" w:rsidR="00181921" w:rsidRDefault="00000000">
            <w:r>
              <w:rPr>
                <w:b/>
                <w:bCs/>
                <w:color w:val="1B3A5C"/>
              </w:rPr>
              <w:t>Q7 | REVENUE QUALITY &amp; CONCENTRATION</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80" w:type="dxa"/>
              <w:left w:w="120" w:type="dxa"/>
              <w:bottom w:w="80" w:type="dxa"/>
              <w:right w:w="120" w:type="dxa"/>
            </w:tcMar>
            <w:vAlign w:val="center"/>
          </w:tcPr>
          <w:p w14:paraId="6D9FD2BD" w14:textId="77777777" w:rsidR="00181921" w:rsidRDefault="00000000">
            <w:pPr>
              <w:jc w:val="center"/>
            </w:pPr>
            <w:r>
              <w:rPr>
                <w:b/>
                <w:bCs/>
                <w:color w:val="FFFFFF"/>
                <w:sz w:val="22"/>
                <w:szCs w:val="22"/>
              </w:rPr>
              <w:t>3 / 5</w:t>
            </w:r>
          </w:p>
        </w:tc>
      </w:tr>
    </w:tbl>
    <w:p w14:paraId="59DFBC3C" w14:textId="77777777" w:rsidR="00181921" w:rsidRDefault="00181921">
      <w:pPr>
        <w:spacing w:before="40" w:after="40"/>
      </w:pPr>
    </w:p>
    <w:p w14:paraId="7745353E" w14:textId="77777777" w:rsidR="00181921" w:rsidRDefault="00000000">
      <w:pPr>
        <w:spacing w:before="40" w:after="40"/>
      </w:pPr>
      <w:r>
        <w:rPr>
          <w:b/>
          <w:bCs/>
        </w:rPr>
        <w:t>Evidence:</w:t>
      </w:r>
    </w:p>
    <w:p w14:paraId="3518777F" w14:textId="77777777" w:rsidR="00181921" w:rsidRDefault="00000000">
      <w:pPr>
        <w:pStyle w:val="ListParagraph"/>
        <w:numPr>
          <w:ilvl w:val="0"/>
          <w:numId w:val="2"/>
        </w:numPr>
        <w:spacing w:before="30" w:after="30"/>
      </w:pPr>
      <w:r>
        <w:t xml:space="preserve">Emrosi: $4.9M Q3 2025 = 28% of $17.6M total revenue — growing rapidly; product concentration risk building as </w:t>
      </w:r>
      <w:proofErr w:type="spellStart"/>
      <w:r>
        <w:t>Emrosi</w:t>
      </w:r>
      <w:proofErr w:type="spellEnd"/>
      <w:r>
        <w:t xml:space="preserve"> becomes dominant asset</w:t>
      </w:r>
    </w:p>
    <w:p w14:paraId="06AD133D" w14:textId="77777777" w:rsidR="00181921" w:rsidRDefault="00000000">
      <w:pPr>
        <w:pStyle w:val="ListParagraph"/>
        <w:numPr>
          <w:ilvl w:val="0"/>
          <w:numId w:val="2"/>
        </w:numPr>
        <w:spacing w:before="30" w:after="30"/>
      </w:pPr>
      <w:proofErr w:type="spellStart"/>
      <w:r>
        <w:t>Qbrexza</w:t>
      </w:r>
      <w:proofErr w:type="spellEnd"/>
      <w:r>
        <w:t xml:space="preserve"> and </w:t>
      </w:r>
      <w:proofErr w:type="spellStart"/>
      <w:r>
        <w:t>Amzeeq</w:t>
      </w:r>
      <w:proofErr w:type="spellEnd"/>
      <w:r>
        <w:t xml:space="preserve">: second-tier revenue contributors; maintaining volume despite </w:t>
      </w:r>
      <w:proofErr w:type="spellStart"/>
      <w:r>
        <w:t>Qbrexza</w:t>
      </w:r>
      <w:proofErr w:type="spellEnd"/>
      <w:r>
        <w:t xml:space="preserve"> facing </w:t>
      </w:r>
      <w:proofErr w:type="spellStart"/>
      <w:r>
        <w:t>Sofdra</w:t>
      </w:r>
      <w:proofErr w:type="spellEnd"/>
      <w:r>
        <w:t xml:space="preserve"> competition (</w:t>
      </w:r>
      <w:proofErr w:type="spellStart"/>
      <w:r>
        <w:t>Botanix</w:t>
      </w:r>
      <w:proofErr w:type="spellEnd"/>
      <w:r>
        <w:t>, approved June 2024)</w:t>
      </w:r>
    </w:p>
    <w:p w14:paraId="38C7C54E" w14:textId="77777777" w:rsidR="00181921" w:rsidRDefault="00000000">
      <w:pPr>
        <w:pStyle w:val="ListParagraph"/>
        <w:numPr>
          <w:ilvl w:val="0"/>
          <w:numId w:val="2"/>
        </w:numPr>
        <w:spacing w:before="30" w:after="30"/>
      </w:pPr>
      <w:r>
        <w:t xml:space="preserve">Legacy products (Accutane, </w:t>
      </w:r>
      <w:proofErr w:type="spellStart"/>
      <w:r>
        <w:t>Targadox</w:t>
      </w:r>
      <w:proofErr w:type="spellEnd"/>
      <w:r>
        <w:t xml:space="preserve">, </w:t>
      </w:r>
      <w:proofErr w:type="spellStart"/>
      <w:r>
        <w:t>Ximino</w:t>
      </w:r>
      <w:proofErr w:type="spellEnd"/>
      <w:r>
        <w:t xml:space="preserve">, </w:t>
      </w:r>
      <w:proofErr w:type="spellStart"/>
      <w:r>
        <w:t>Zilxi</w:t>
      </w:r>
      <w:proofErr w:type="spellEnd"/>
      <w:r>
        <w:t>): declining as a group — 16% YoY revenue decline in Q3 2025, primarily Accutane generic erosion</w:t>
      </w:r>
    </w:p>
    <w:p w14:paraId="62E91960" w14:textId="77777777" w:rsidR="00181921" w:rsidRDefault="00000000">
      <w:pPr>
        <w:pStyle w:val="ListParagraph"/>
        <w:numPr>
          <w:ilvl w:val="0"/>
          <w:numId w:val="2"/>
        </w:numPr>
        <w:spacing w:before="30" w:after="30"/>
      </w:pPr>
      <w:r>
        <w:t xml:space="preserve">One-time revenue risk precedent: FY 2023 included $19.5M </w:t>
      </w:r>
      <w:proofErr w:type="spellStart"/>
      <w:r>
        <w:t>Qbrexza</w:t>
      </w:r>
      <w:proofErr w:type="spellEnd"/>
      <w:r>
        <w:t xml:space="preserve"> Japan license payment from </w:t>
      </w:r>
      <w:proofErr w:type="spellStart"/>
      <w:r>
        <w:t>Maruho</w:t>
      </w:r>
      <w:proofErr w:type="spellEnd"/>
      <w:r>
        <w:t xml:space="preserve"> — distorted 2023 reported revenue ($79.2M) significantly; FY 2024 revenue ($56.1M) appeared as a 'decline' which was </w:t>
      </w:r>
      <w:proofErr w:type="gramStart"/>
      <w:r>
        <w:t>actually normalization</w:t>
      </w:r>
      <w:proofErr w:type="gramEnd"/>
    </w:p>
    <w:p w14:paraId="237F6220" w14:textId="77777777" w:rsidR="00181921" w:rsidRDefault="00000000">
      <w:pPr>
        <w:pStyle w:val="ListParagraph"/>
        <w:numPr>
          <w:ilvl w:val="0"/>
          <w:numId w:val="2"/>
        </w:numPr>
        <w:spacing w:before="30" w:after="30"/>
      </w:pPr>
      <w:r>
        <w:t>Revenue growth drivers: Volume (</w:t>
      </w:r>
      <w:proofErr w:type="spellStart"/>
      <w:r>
        <w:t>Emrosi</w:t>
      </w:r>
      <w:proofErr w:type="spellEnd"/>
      <w:r>
        <w:t xml:space="preserve"> Rx growth) and mix shift (higher-margin products becoming larger share). Pricing pressure on legacy products partially offsets.</w:t>
      </w:r>
    </w:p>
    <w:p w14:paraId="68E42ED4" w14:textId="77777777" w:rsidR="00181921" w:rsidRDefault="00000000">
      <w:pPr>
        <w:pStyle w:val="ListParagraph"/>
        <w:numPr>
          <w:ilvl w:val="0"/>
          <w:numId w:val="2"/>
        </w:numPr>
        <w:spacing w:before="30" w:after="30"/>
      </w:pPr>
      <w:r>
        <w:t xml:space="preserve">Payer/geographic concentration: US-centric; ex-US revenue minimal (Japan </w:t>
      </w:r>
      <w:proofErr w:type="spellStart"/>
      <w:r>
        <w:t>Qbrexza</w:t>
      </w:r>
      <w:proofErr w:type="spellEnd"/>
      <w:r>
        <w:t xml:space="preserve"> royalty is the only international income stream)</w:t>
      </w:r>
    </w:p>
    <w:p w14:paraId="14E5669E" w14:textId="77777777" w:rsidR="00181921" w:rsidRDefault="00181921">
      <w:pPr>
        <w:spacing w:before="30" w:after="30"/>
      </w:pPr>
    </w:p>
    <w:p w14:paraId="3F9E6895" w14:textId="77777777" w:rsidR="00181921" w:rsidRDefault="00000000">
      <w:pPr>
        <w:spacing w:before="40" w:after="40"/>
      </w:pPr>
      <w:r>
        <w:rPr>
          <w:i/>
          <w:iCs/>
        </w:rPr>
        <w:t xml:space="preserve">Score Rationale: Revenue quality is improving as recurring prescription revenue replaces one-time licensing income. </w:t>
      </w:r>
      <w:proofErr w:type="spellStart"/>
      <w:r>
        <w:rPr>
          <w:i/>
          <w:iCs/>
        </w:rPr>
        <w:t>Emrosi</w:t>
      </w:r>
      <w:proofErr w:type="spellEnd"/>
      <w:r>
        <w:rPr>
          <w:i/>
          <w:iCs/>
        </w:rPr>
        <w:t xml:space="preserve"> concentration risk is a watch item — the thesis increasingly depends on sustained </w:t>
      </w:r>
      <w:proofErr w:type="spellStart"/>
      <w:r>
        <w:rPr>
          <w:i/>
          <w:iCs/>
        </w:rPr>
        <w:t>Emrosi</w:t>
      </w:r>
      <w:proofErr w:type="spellEnd"/>
      <w:r>
        <w:rPr>
          <w:i/>
          <w:iCs/>
        </w:rPr>
        <w:t xml:space="preserve"> growth. The </w:t>
      </w:r>
      <w:proofErr w:type="spellStart"/>
      <w:r>
        <w:rPr>
          <w:i/>
          <w:iCs/>
        </w:rPr>
        <w:t>Maruho</w:t>
      </w:r>
      <w:proofErr w:type="spellEnd"/>
      <w:r>
        <w:rPr>
          <w:i/>
          <w:iCs/>
        </w:rPr>
        <w:t xml:space="preserve"> one-time payment distortion should be noted in any multi-year revenue analysis. Score 3.</w:t>
      </w:r>
    </w:p>
    <w:p w14:paraId="3B1EE3E9"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6E824893"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2B1A3BEF" w14:textId="77777777" w:rsidR="00181921" w:rsidRDefault="00000000">
            <w:r>
              <w:rPr>
                <w:b/>
                <w:bCs/>
                <w:color w:val="1B3A5C"/>
              </w:rPr>
              <w:t>Q8 | COMMERCIAL EXECUTION QUALITY</w:t>
            </w:r>
          </w:p>
        </w:tc>
        <w:tc>
          <w:tcPr>
            <w:tcW w:w="1800" w:type="dxa"/>
            <w:tcBorders>
              <w:top w:val="none" w:sz="0" w:space="0" w:color="FFFFFF"/>
              <w:left w:val="none" w:sz="0" w:space="0" w:color="FFFFFF"/>
              <w:bottom w:val="none" w:sz="0" w:space="0" w:color="FFFFFF"/>
              <w:right w:val="none" w:sz="0" w:space="0" w:color="FFFFFF"/>
            </w:tcBorders>
            <w:shd w:val="clear" w:color="auto" w:fill="1F6B3A"/>
            <w:tcMar>
              <w:top w:w="80" w:type="dxa"/>
              <w:left w:w="120" w:type="dxa"/>
              <w:bottom w:w="80" w:type="dxa"/>
              <w:right w:w="120" w:type="dxa"/>
            </w:tcMar>
            <w:vAlign w:val="center"/>
          </w:tcPr>
          <w:p w14:paraId="287A14F2" w14:textId="77777777" w:rsidR="00181921" w:rsidRDefault="00000000">
            <w:pPr>
              <w:jc w:val="center"/>
            </w:pPr>
            <w:r>
              <w:rPr>
                <w:b/>
                <w:bCs/>
                <w:color w:val="FFFFFF"/>
                <w:sz w:val="22"/>
                <w:szCs w:val="22"/>
              </w:rPr>
              <w:t>4 / 5</w:t>
            </w:r>
          </w:p>
        </w:tc>
      </w:tr>
    </w:tbl>
    <w:p w14:paraId="1727263E" w14:textId="77777777" w:rsidR="00181921" w:rsidRDefault="00181921">
      <w:pPr>
        <w:spacing w:before="40" w:after="40"/>
      </w:pPr>
    </w:p>
    <w:p w14:paraId="53F2CF4C" w14:textId="77777777" w:rsidR="00181921" w:rsidRDefault="00000000">
      <w:pPr>
        <w:spacing w:before="40" w:after="40"/>
      </w:pPr>
      <w:r>
        <w:rPr>
          <w:b/>
          <w:bCs/>
        </w:rPr>
        <w:t>Evidence:</w:t>
      </w:r>
    </w:p>
    <w:p w14:paraId="250767FC" w14:textId="77777777" w:rsidR="00181921" w:rsidRDefault="00000000">
      <w:pPr>
        <w:pStyle w:val="ListParagraph"/>
        <w:numPr>
          <w:ilvl w:val="0"/>
          <w:numId w:val="2"/>
        </w:numPr>
        <w:spacing w:before="30" w:after="30"/>
      </w:pPr>
      <w:r>
        <w:t>Beat consensus in Q1, Q2, and Q3 2025 — consistent delivery vs. street expectations</w:t>
      </w:r>
    </w:p>
    <w:p w14:paraId="282CEC11" w14:textId="77777777" w:rsidR="00181921" w:rsidRDefault="00000000">
      <w:pPr>
        <w:pStyle w:val="ListParagraph"/>
        <w:numPr>
          <w:ilvl w:val="0"/>
          <w:numId w:val="2"/>
        </w:numPr>
        <w:spacing w:before="30" w:after="30"/>
      </w:pPr>
      <w:proofErr w:type="spellStart"/>
      <w:r>
        <w:t>Emrosi</w:t>
      </w:r>
      <w:proofErr w:type="spellEnd"/>
      <w:r>
        <w:t xml:space="preserve"> Rx growth: Q2 7,394 Rx → Q3 18,198 Rx (+146% QoQ) — well above typical specialty pharma launch curves for a single quarter</w:t>
      </w:r>
    </w:p>
    <w:p w14:paraId="5E690085" w14:textId="77777777" w:rsidR="00181921" w:rsidRDefault="00000000">
      <w:pPr>
        <w:pStyle w:val="ListParagraph"/>
        <w:numPr>
          <w:ilvl w:val="0"/>
          <w:numId w:val="2"/>
        </w:numPr>
        <w:spacing w:before="30" w:after="30"/>
      </w:pPr>
      <w:r>
        <w:t xml:space="preserve">Prescriber base: ~1,800 unique prescribers as of Q2 2025 out of 3,200 targeted oral rosacea writers (Phase 1 </w:t>
      </w:r>
      <w:proofErr w:type="gramStart"/>
      <w:r>
        <w:t>target) —</w:t>
      </w:r>
      <w:proofErr w:type="gramEnd"/>
      <w:r>
        <w:t xml:space="preserve"> penetrating the target universe efficiently</w:t>
      </w:r>
    </w:p>
    <w:p w14:paraId="7D45DEEE" w14:textId="77777777" w:rsidR="00181921" w:rsidRDefault="00000000">
      <w:pPr>
        <w:pStyle w:val="ListParagraph"/>
        <w:numPr>
          <w:ilvl w:val="0"/>
          <w:numId w:val="2"/>
        </w:numPr>
        <w:spacing w:before="30" w:after="30"/>
      </w:pPr>
      <w:r>
        <w:t>Payer access wins: 2 of 3 largest GPOs contracted; 3rd expected early 2026 — methodical market access execution</w:t>
      </w:r>
    </w:p>
    <w:p w14:paraId="7C8650E2" w14:textId="77777777" w:rsidR="00181921" w:rsidRDefault="00000000">
      <w:pPr>
        <w:pStyle w:val="ListParagraph"/>
        <w:numPr>
          <w:ilvl w:val="0"/>
          <w:numId w:val="2"/>
        </w:numPr>
        <w:spacing w:before="30" w:after="30"/>
      </w:pPr>
      <w:r>
        <w:t>100M+ of 187M commercial lives covered — above-average coverage penetration for a newly launched specialty brand at this stage</w:t>
      </w:r>
    </w:p>
    <w:p w14:paraId="47D9FB31" w14:textId="77777777" w:rsidR="00181921" w:rsidRDefault="00000000">
      <w:pPr>
        <w:pStyle w:val="ListParagraph"/>
        <w:numPr>
          <w:ilvl w:val="0"/>
          <w:numId w:val="2"/>
        </w:numPr>
        <w:spacing w:before="30" w:after="30"/>
      </w:pPr>
      <w:r>
        <w:t>AAD conference presence (March 2025) and JAMA Derm publication coordinated with launch — medical affairs execution well-timed</w:t>
      </w:r>
    </w:p>
    <w:p w14:paraId="108661D8" w14:textId="77777777" w:rsidR="00181921" w:rsidRDefault="00000000">
      <w:pPr>
        <w:pStyle w:val="ListParagraph"/>
        <w:numPr>
          <w:ilvl w:val="0"/>
          <w:numId w:val="2"/>
        </w:numPr>
        <w:spacing w:before="30" w:after="30"/>
      </w:pPr>
      <w:r>
        <w:t xml:space="preserve">2024 guidance: met all ranges ('met all financial guidance for 2024' per </w:t>
      </w:r>
      <w:proofErr w:type="gramStart"/>
      <w:r>
        <w:t>CEO) —</w:t>
      </w:r>
      <w:proofErr w:type="gramEnd"/>
      <w:r>
        <w:t xml:space="preserve"> track record of credible guidance delivery</w:t>
      </w:r>
    </w:p>
    <w:p w14:paraId="0E64432F" w14:textId="77777777" w:rsidR="00181921" w:rsidRDefault="00181921">
      <w:pPr>
        <w:spacing w:before="30" w:after="30"/>
      </w:pPr>
    </w:p>
    <w:p w14:paraId="37721FE4" w14:textId="77777777" w:rsidR="00181921" w:rsidRDefault="00000000">
      <w:pPr>
        <w:spacing w:before="40" w:after="40"/>
      </w:pPr>
      <w:r>
        <w:rPr>
          <w:i/>
          <w:iCs/>
        </w:rPr>
        <w:t xml:space="preserve">Score Rationale: </w:t>
      </w:r>
      <w:proofErr w:type="spellStart"/>
      <w:r>
        <w:rPr>
          <w:i/>
          <w:iCs/>
        </w:rPr>
        <w:t>Emrosi</w:t>
      </w:r>
      <w:proofErr w:type="spellEnd"/>
      <w:r>
        <w:rPr>
          <w:i/>
          <w:iCs/>
        </w:rPr>
        <w:t xml:space="preserve"> launch execution has been strong across prescriber recruitment, payer access, and Rx growth metrics. Beat track record is consistent. The 146% QoQ Rx growth in Q3 is exceptional. Score 4; upgrade to 5 would require demonstrated ability to maintain growth rate or break into secondary prescriber tiers.</w:t>
      </w:r>
    </w:p>
    <w:p w14:paraId="303E420C"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0DF7BABC"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5F78A67E" w14:textId="77777777" w:rsidR="00181921" w:rsidRDefault="00000000">
            <w:r>
              <w:rPr>
                <w:b/>
                <w:bCs/>
                <w:color w:val="1B3A5C"/>
              </w:rPr>
              <w:t>Q9 | PIPELINE OPTIONALITY &amp; PLATFORM VALIDATION</w:t>
            </w:r>
          </w:p>
        </w:tc>
        <w:tc>
          <w:tcPr>
            <w:tcW w:w="1800" w:type="dxa"/>
            <w:tcBorders>
              <w:top w:val="none" w:sz="0" w:space="0" w:color="FFFFFF"/>
              <w:left w:val="none" w:sz="0" w:space="0" w:color="FFFFFF"/>
              <w:bottom w:val="none" w:sz="0" w:space="0" w:color="FFFFFF"/>
              <w:right w:val="none" w:sz="0" w:space="0" w:color="FFFFFF"/>
            </w:tcBorders>
            <w:shd w:val="clear" w:color="auto" w:fill="C00000"/>
            <w:tcMar>
              <w:top w:w="80" w:type="dxa"/>
              <w:left w:w="120" w:type="dxa"/>
              <w:bottom w:w="80" w:type="dxa"/>
              <w:right w:w="120" w:type="dxa"/>
            </w:tcMar>
            <w:vAlign w:val="center"/>
          </w:tcPr>
          <w:p w14:paraId="32980B56" w14:textId="77777777" w:rsidR="00181921" w:rsidRDefault="00000000">
            <w:pPr>
              <w:jc w:val="center"/>
            </w:pPr>
            <w:r>
              <w:rPr>
                <w:b/>
                <w:bCs/>
                <w:color w:val="FFFFFF"/>
                <w:sz w:val="22"/>
                <w:szCs w:val="22"/>
              </w:rPr>
              <w:t>2 / 5</w:t>
            </w:r>
          </w:p>
        </w:tc>
      </w:tr>
    </w:tbl>
    <w:p w14:paraId="73C385A0" w14:textId="77777777" w:rsidR="00181921" w:rsidRDefault="00181921">
      <w:pPr>
        <w:spacing w:before="40" w:after="40"/>
      </w:pPr>
    </w:p>
    <w:p w14:paraId="2EEA4855" w14:textId="77777777" w:rsidR="00181921" w:rsidRDefault="00000000">
      <w:pPr>
        <w:spacing w:before="40" w:after="40"/>
      </w:pPr>
      <w:r>
        <w:rPr>
          <w:b/>
          <w:bCs/>
        </w:rPr>
        <w:t>Evidence:</w:t>
      </w:r>
    </w:p>
    <w:p w14:paraId="6CE5AC6F" w14:textId="77777777" w:rsidR="00181921" w:rsidRDefault="00000000">
      <w:pPr>
        <w:pStyle w:val="ListParagraph"/>
        <w:numPr>
          <w:ilvl w:val="0"/>
          <w:numId w:val="2"/>
        </w:numPr>
        <w:spacing w:before="30" w:after="30"/>
      </w:pPr>
      <w:r>
        <w:t>Journey Medical has no disclosed near-term pipeline assets beyond current marketed products — no NDA filings, no Phase 3 programs owned directly</w:t>
      </w:r>
    </w:p>
    <w:p w14:paraId="42150A12" w14:textId="77777777" w:rsidR="00181921" w:rsidRDefault="00000000">
      <w:pPr>
        <w:pStyle w:val="ListParagraph"/>
        <w:numPr>
          <w:ilvl w:val="0"/>
          <w:numId w:val="2"/>
        </w:numPr>
        <w:spacing w:before="30" w:after="30"/>
      </w:pPr>
      <w:r>
        <w:t xml:space="preserve">European </w:t>
      </w:r>
      <w:proofErr w:type="spellStart"/>
      <w:r>
        <w:t>Emrosi</w:t>
      </w:r>
      <w:proofErr w:type="spellEnd"/>
      <w:r>
        <w:t xml:space="preserve"> rights: Not yet pursued; potential future monetization through European licensing but no disclosed timelines or partners</w:t>
      </w:r>
    </w:p>
    <w:p w14:paraId="3C30362C" w14:textId="77777777" w:rsidR="00181921" w:rsidRDefault="00000000">
      <w:pPr>
        <w:pStyle w:val="ListParagraph"/>
        <w:numPr>
          <w:ilvl w:val="0"/>
          <w:numId w:val="2"/>
        </w:numPr>
        <w:spacing w:before="30" w:after="30"/>
      </w:pPr>
      <w:r>
        <w:t>Fortress Biotech parent pipeline: FBIO has multiple programs in development; Journey may benefit from right of first look at dermatology assets, but no formal agreement disclosed</w:t>
      </w:r>
    </w:p>
    <w:p w14:paraId="209B0376" w14:textId="77777777" w:rsidR="00181921" w:rsidRDefault="00000000">
      <w:pPr>
        <w:pStyle w:val="ListParagraph"/>
        <w:numPr>
          <w:ilvl w:val="0"/>
          <w:numId w:val="2"/>
        </w:numPr>
        <w:spacing w:before="30" w:after="30"/>
      </w:pPr>
      <w:proofErr w:type="spellStart"/>
      <w:r>
        <w:t>Qbrexza</w:t>
      </w:r>
      <w:proofErr w:type="spellEnd"/>
      <w:r>
        <w:t xml:space="preserve"> Japan royalty (</w:t>
      </w:r>
      <w:proofErr w:type="spellStart"/>
      <w:r>
        <w:t>Maruho</w:t>
      </w:r>
      <w:proofErr w:type="spellEnd"/>
      <w:r>
        <w:t>): Active licensing relationship provides modest ex-US income but limited growth optionality</w:t>
      </w:r>
    </w:p>
    <w:p w14:paraId="75E098A9" w14:textId="77777777" w:rsidR="00181921" w:rsidRDefault="00000000">
      <w:pPr>
        <w:pStyle w:val="ListParagraph"/>
        <w:numPr>
          <w:ilvl w:val="0"/>
          <w:numId w:val="2"/>
        </w:numPr>
        <w:spacing w:before="30" w:after="30"/>
      </w:pPr>
      <w:r>
        <w:t xml:space="preserve">DFD-29 platform: The Dr. Reddy's partnership was for </w:t>
      </w:r>
      <w:proofErr w:type="spellStart"/>
      <w:r>
        <w:t>Emrosi</w:t>
      </w:r>
      <w:proofErr w:type="spellEnd"/>
      <w:r>
        <w:t xml:space="preserve"> specifically; no other pipeline compounds from this relationship disclosed for Journey</w:t>
      </w:r>
    </w:p>
    <w:p w14:paraId="444D8095" w14:textId="77777777" w:rsidR="00181921" w:rsidRDefault="00000000">
      <w:pPr>
        <w:pStyle w:val="ListParagraph"/>
        <w:numPr>
          <w:ilvl w:val="0"/>
          <w:numId w:val="2"/>
        </w:numPr>
        <w:spacing w:before="30" w:after="30"/>
      </w:pPr>
      <w:r>
        <w:t xml:space="preserve">Business model is fundamentally an </w:t>
      </w:r>
      <w:proofErr w:type="spellStart"/>
      <w:r>
        <w:t>acqui</w:t>
      </w:r>
      <w:proofErr w:type="spellEnd"/>
      <w:r>
        <w:t>-commercialization model — organic pipeline development is not the core strategy; future optionality depends on management's ability to identify and acquire the next asset</w:t>
      </w:r>
    </w:p>
    <w:p w14:paraId="6C4AB143" w14:textId="77777777" w:rsidR="00181921" w:rsidRDefault="00181921">
      <w:pPr>
        <w:spacing w:before="30" w:after="30"/>
      </w:pPr>
    </w:p>
    <w:p w14:paraId="087F4F14" w14:textId="77777777" w:rsidR="00181921" w:rsidRDefault="00000000">
      <w:pPr>
        <w:spacing w:before="40" w:after="40"/>
      </w:pPr>
      <w:r>
        <w:rPr>
          <w:i/>
          <w:iCs/>
        </w:rPr>
        <w:t xml:space="preserve">Score Rationale: Journey Medical is explicitly a commercial-stage </w:t>
      </w:r>
      <w:proofErr w:type="spellStart"/>
      <w:r>
        <w:rPr>
          <w:i/>
          <w:iCs/>
        </w:rPr>
        <w:t>acqui-commercializer</w:t>
      </w:r>
      <w:proofErr w:type="spellEnd"/>
      <w:r>
        <w:rPr>
          <w:i/>
          <w:iCs/>
        </w:rPr>
        <w:t>, not a pipeline company. This is a known model limitation. Score 2 reflects thin disclosed pipeline; it does not imply the strategy is wrong — it simply means pipeline optionality should not be a valuation driver. Score improves if management announces a next asset acquisition.</w:t>
      </w:r>
    </w:p>
    <w:p w14:paraId="17096FEF"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24FD43E4"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6017EA1B" w14:textId="77777777" w:rsidR="00181921" w:rsidRDefault="00000000">
            <w:r>
              <w:rPr>
                <w:b/>
                <w:bCs/>
                <w:color w:val="1B3A5C"/>
              </w:rPr>
              <w:t>Q10 | EXISTENTIAL THREATS &amp; RISK MITIGATION</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80" w:type="dxa"/>
              <w:left w:w="120" w:type="dxa"/>
              <w:bottom w:w="80" w:type="dxa"/>
              <w:right w:w="120" w:type="dxa"/>
            </w:tcMar>
            <w:vAlign w:val="center"/>
          </w:tcPr>
          <w:p w14:paraId="107CF630" w14:textId="77777777" w:rsidR="00181921" w:rsidRDefault="00000000">
            <w:pPr>
              <w:jc w:val="center"/>
            </w:pPr>
            <w:r>
              <w:rPr>
                <w:b/>
                <w:bCs/>
                <w:color w:val="FFFFFF"/>
                <w:sz w:val="22"/>
                <w:szCs w:val="22"/>
              </w:rPr>
              <w:t>3 / 5</w:t>
            </w:r>
          </w:p>
        </w:tc>
      </w:tr>
    </w:tbl>
    <w:p w14:paraId="23223B00" w14:textId="77777777" w:rsidR="00181921" w:rsidRDefault="00181921">
      <w:pPr>
        <w:spacing w:before="40" w:after="40"/>
      </w:pPr>
    </w:p>
    <w:p w14:paraId="733E392D" w14:textId="77777777" w:rsidR="00181921" w:rsidRDefault="00000000">
      <w:pPr>
        <w:spacing w:before="40" w:after="40"/>
      </w:pPr>
      <w:r>
        <w:rPr>
          <w:b/>
          <w:bCs/>
        </w:rPr>
        <w:t>Top 3 Competitive / Structural Threats:</w:t>
      </w:r>
    </w:p>
    <w:p w14:paraId="35246CCF" w14:textId="77777777" w:rsidR="00181921" w:rsidRDefault="00000000">
      <w:pPr>
        <w:pStyle w:val="ListParagraph"/>
        <w:numPr>
          <w:ilvl w:val="0"/>
          <w:numId w:val="2"/>
        </w:numPr>
        <w:spacing w:before="30" w:after="30"/>
      </w:pPr>
      <w:r>
        <w:t xml:space="preserve">Threat 1 — </w:t>
      </w:r>
      <w:proofErr w:type="spellStart"/>
      <w:r>
        <w:t>Zilxi</w:t>
      </w:r>
      <w:proofErr w:type="spellEnd"/>
      <w:r>
        <w:t xml:space="preserve"> Generic Entry (April 1, 2027): </w:t>
      </w:r>
      <w:proofErr w:type="spellStart"/>
      <w:r>
        <w:t>Padagis</w:t>
      </w:r>
      <w:proofErr w:type="spellEnd"/>
      <w:r>
        <w:t xml:space="preserve"> is contractually permitted to launch generic </w:t>
      </w:r>
      <w:proofErr w:type="spellStart"/>
      <w:r>
        <w:t>Zilxi</w:t>
      </w:r>
      <w:proofErr w:type="spellEnd"/>
      <w:r>
        <w:t xml:space="preserve"> in ~13 months. </w:t>
      </w:r>
      <w:proofErr w:type="spellStart"/>
      <w:r>
        <w:t>Zilxi</w:t>
      </w:r>
      <w:proofErr w:type="spellEnd"/>
      <w:r>
        <w:t xml:space="preserve"> is a meaningful revenue contributor. Management has not disclosed mitigation plans; the </w:t>
      </w:r>
      <w:proofErr w:type="spellStart"/>
      <w:r>
        <w:t>Emrosi</w:t>
      </w:r>
      <w:proofErr w:type="spellEnd"/>
      <w:r>
        <w:t xml:space="preserve"> ramp is the implicit offset.</w:t>
      </w:r>
    </w:p>
    <w:p w14:paraId="516F059C" w14:textId="77777777" w:rsidR="00181921" w:rsidRDefault="00000000">
      <w:pPr>
        <w:pStyle w:val="ListParagraph"/>
        <w:numPr>
          <w:ilvl w:val="0"/>
          <w:numId w:val="2"/>
        </w:numPr>
        <w:spacing w:before="30" w:after="30"/>
      </w:pPr>
      <w:r>
        <w:lastRenderedPageBreak/>
        <w:t xml:space="preserve">Threat 2 — </w:t>
      </w:r>
      <w:proofErr w:type="spellStart"/>
      <w:r>
        <w:t>Emrosi</w:t>
      </w:r>
      <w:proofErr w:type="spellEnd"/>
      <w:r>
        <w:t xml:space="preserve"> Compounding Pharmacy Risk: Minocycline is a generic molecule. Compounding pharmacies are legally permitted to compound minocycline formulations for patients. While </w:t>
      </w:r>
      <w:proofErr w:type="spellStart"/>
      <w:r>
        <w:t>Emrosi's</w:t>
      </w:r>
      <w:proofErr w:type="spellEnd"/>
      <w:r>
        <w:t xml:space="preserve"> IR/ER formulation is proprietary, mass-market compounders can approximate functionality at lower cost. GLP-1 compounding precedent demonstrates this is a real commercial risk.</w:t>
      </w:r>
    </w:p>
    <w:p w14:paraId="2B37054B" w14:textId="77777777" w:rsidR="00181921" w:rsidRDefault="00000000">
      <w:pPr>
        <w:pStyle w:val="ListParagraph"/>
        <w:numPr>
          <w:ilvl w:val="0"/>
          <w:numId w:val="2"/>
        </w:numPr>
        <w:spacing w:before="30" w:after="30"/>
      </w:pPr>
      <w:r>
        <w:t>Threat 3 — Fortress Biotech Governance Overhang: FBIO is majority owner and receives management fees, royalties, and board representation. This creates potential conflicts of interest in capital allocation, M&amp;A decisions, and related-party transactions. A clean acquisition of DERM by a strategic acquirer requires navigating the FBIO relationship.</w:t>
      </w:r>
    </w:p>
    <w:p w14:paraId="78D2DCFE" w14:textId="77777777" w:rsidR="00181921" w:rsidRDefault="00181921">
      <w:pPr>
        <w:spacing w:before="30" w:after="30"/>
      </w:pPr>
    </w:p>
    <w:p w14:paraId="4C74F8CE" w14:textId="77777777" w:rsidR="00181921" w:rsidRDefault="00000000">
      <w:pPr>
        <w:spacing w:before="40" w:after="40"/>
      </w:pPr>
      <w:r>
        <w:rPr>
          <w:b/>
          <w:bCs/>
        </w:rPr>
        <w:t>Additional Risks:</w:t>
      </w:r>
    </w:p>
    <w:p w14:paraId="3E79CC7B" w14:textId="77777777" w:rsidR="00181921" w:rsidRDefault="00000000">
      <w:pPr>
        <w:pStyle w:val="ListParagraph"/>
        <w:numPr>
          <w:ilvl w:val="0"/>
          <w:numId w:val="2"/>
        </w:numPr>
        <w:spacing w:before="30" w:after="30"/>
      </w:pPr>
      <w:r>
        <w:t>Accutane generic erosion: Ongoing; no clear mitigation beyond portfolio mix shift</w:t>
      </w:r>
    </w:p>
    <w:p w14:paraId="61A655C3" w14:textId="77777777" w:rsidR="00181921" w:rsidRDefault="00000000">
      <w:pPr>
        <w:pStyle w:val="ListParagraph"/>
        <w:numPr>
          <w:ilvl w:val="0"/>
          <w:numId w:val="2"/>
        </w:numPr>
        <w:spacing w:before="30" w:after="30"/>
      </w:pPr>
      <w:proofErr w:type="spellStart"/>
      <w:r>
        <w:t>Sofdra</w:t>
      </w:r>
      <w:proofErr w:type="spellEnd"/>
      <w:r>
        <w:t xml:space="preserve"> (</w:t>
      </w:r>
      <w:proofErr w:type="spellStart"/>
      <w:r>
        <w:t>Botanix</w:t>
      </w:r>
      <w:proofErr w:type="spellEnd"/>
      <w:r>
        <w:t xml:space="preserve">) competition to </w:t>
      </w:r>
      <w:proofErr w:type="spellStart"/>
      <w:r>
        <w:t>Qbrexza</w:t>
      </w:r>
      <w:proofErr w:type="spellEnd"/>
      <w:r>
        <w:t xml:space="preserve">: Newly approved June 2024; management states </w:t>
      </w:r>
      <w:proofErr w:type="spellStart"/>
      <w:r>
        <w:t>Qbrexza</w:t>
      </w:r>
      <w:proofErr w:type="spellEnd"/>
      <w:r>
        <w:t xml:space="preserve"> maintaining growth, but long-term market share risk is real</w:t>
      </w:r>
    </w:p>
    <w:p w14:paraId="4534F3D4" w14:textId="77777777" w:rsidR="00181921" w:rsidRDefault="00000000">
      <w:pPr>
        <w:pStyle w:val="ListParagraph"/>
        <w:numPr>
          <w:ilvl w:val="0"/>
          <w:numId w:val="2"/>
        </w:numPr>
        <w:spacing w:before="30" w:after="30"/>
      </w:pPr>
      <w:r>
        <w:t>SWK debt covenants: Terms undisclosed; covenant breach risk is non-zero given recent loss history</w:t>
      </w:r>
    </w:p>
    <w:p w14:paraId="1B7AEBA0" w14:textId="77777777" w:rsidR="00181921" w:rsidRDefault="00000000">
      <w:pPr>
        <w:pStyle w:val="ListParagraph"/>
        <w:numPr>
          <w:ilvl w:val="0"/>
          <w:numId w:val="2"/>
        </w:numPr>
        <w:spacing w:before="30" w:after="30"/>
      </w:pPr>
      <w:r>
        <w:t>Key person risk: Claude Maraoui is co-founder, president, and CEO; limited succession visibility disclosed</w:t>
      </w:r>
    </w:p>
    <w:p w14:paraId="55AE2A45" w14:textId="77777777" w:rsidR="00181921" w:rsidRDefault="00181921">
      <w:pPr>
        <w:spacing w:before="30" w:after="30"/>
      </w:pPr>
    </w:p>
    <w:p w14:paraId="15988E68" w14:textId="77777777" w:rsidR="00181921" w:rsidRDefault="00000000">
      <w:pPr>
        <w:spacing w:before="40" w:after="40"/>
      </w:pPr>
      <w:r>
        <w:rPr>
          <w:i/>
          <w:iCs/>
        </w:rPr>
        <w:t xml:space="preserve">Score Rationale: Management acknowledges and discusses risks openly on earnings calls. However, </w:t>
      </w:r>
      <w:proofErr w:type="spellStart"/>
      <w:r>
        <w:rPr>
          <w:i/>
          <w:iCs/>
        </w:rPr>
        <w:t>Zilxi</w:t>
      </w:r>
      <w:proofErr w:type="spellEnd"/>
      <w:r>
        <w:rPr>
          <w:i/>
          <w:iCs/>
        </w:rPr>
        <w:t xml:space="preserve"> generic entry is imminent and is an unmitigated revenue headwind. Compounding pharmacy risk for </w:t>
      </w:r>
      <w:proofErr w:type="spellStart"/>
      <w:r>
        <w:rPr>
          <w:i/>
          <w:iCs/>
        </w:rPr>
        <w:t>Emrosi</w:t>
      </w:r>
      <w:proofErr w:type="spellEnd"/>
      <w:r>
        <w:rPr>
          <w:i/>
          <w:iCs/>
        </w:rPr>
        <w:t xml:space="preserve"> is the most underappreciated long-term threat. Score 3.</w:t>
      </w:r>
    </w:p>
    <w:p w14:paraId="189BF07E" w14:textId="77777777" w:rsidR="00181921" w:rsidRDefault="00000000">
      <w:r>
        <w:br w:type="page"/>
      </w:r>
    </w:p>
    <w:p w14:paraId="3165DAE8" w14:textId="77777777" w:rsidR="00181921" w:rsidRDefault="00000000">
      <w:pPr>
        <w:pStyle w:val="Heading1"/>
      </w:pPr>
      <w:r>
        <w:lastRenderedPageBreak/>
        <w:t>SPECIALTY PHARMA MODULES: SP-1 – SP-4</w:t>
      </w:r>
    </w:p>
    <w:p w14:paraId="2B8BB48C" w14:textId="77777777" w:rsidR="00181921" w:rsidRDefault="00181921">
      <w:pPr>
        <w:pBdr>
          <w:bottom w:val="single" w:sz="6" w:space="1" w:color="1A6B72"/>
        </w:pBdr>
        <w:spacing w:before="80" w:after="80"/>
      </w:pPr>
    </w:p>
    <w:p w14:paraId="299A3687" w14:textId="77777777" w:rsidR="00181921" w:rsidRDefault="0018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62601937"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1C2AA074" w14:textId="77777777" w:rsidR="00181921" w:rsidRDefault="00000000">
            <w:r>
              <w:rPr>
                <w:b/>
                <w:bCs/>
                <w:color w:val="1B3A5C"/>
              </w:rPr>
              <w:t>SP-1 | GROSS-TO-NET WATERFALL ANALYSIS</w:t>
            </w:r>
          </w:p>
        </w:tc>
        <w:tc>
          <w:tcPr>
            <w:tcW w:w="1800" w:type="dxa"/>
            <w:tcBorders>
              <w:top w:val="none" w:sz="0" w:space="0" w:color="FFFFFF"/>
              <w:left w:val="none" w:sz="0" w:space="0" w:color="FFFFFF"/>
              <w:bottom w:val="none" w:sz="0" w:space="0" w:color="FFFFFF"/>
              <w:right w:val="none" w:sz="0" w:space="0" w:color="FFFFFF"/>
            </w:tcBorders>
            <w:shd w:val="clear" w:color="auto" w:fill="C00000"/>
            <w:tcMar>
              <w:top w:w="80" w:type="dxa"/>
              <w:left w:w="120" w:type="dxa"/>
              <w:bottom w:w="80" w:type="dxa"/>
              <w:right w:w="120" w:type="dxa"/>
            </w:tcMar>
            <w:vAlign w:val="center"/>
          </w:tcPr>
          <w:p w14:paraId="2A5A3997" w14:textId="77777777" w:rsidR="00181921" w:rsidRDefault="00000000">
            <w:pPr>
              <w:jc w:val="center"/>
            </w:pPr>
            <w:r>
              <w:rPr>
                <w:b/>
                <w:bCs/>
                <w:color w:val="FFFFFF"/>
                <w:sz w:val="22"/>
                <w:szCs w:val="22"/>
              </w:rPr>
              <w:t>2 / 5</w:t>
            </w:r>
          </w:p>
        </w:tc>
      </w:tr>
    </w:tbl>
    <w:p w14:paraId="1BB43823" w14:textId="77777777" w:rsidR="00181921" w:rsidRDefault="00181921">
      <w:pPr>
        <w:spacing w:before="40" w:after="40"/>
      </w:pPr>
    </w:p>
    <w:p w14:paraId="6BDA526E" w14:textId="77777777" w:rsidR="00181921" w:rsidRDefault="00000000">
      <w:pPr>
        <w:spacing w:before="40" w:after="40"/>
      </w:pPr>
      <w:r>
        <w:rPr>
          <w:b/>
          <w:bCs/>
        </w:rPr>
        <w:t>Evidence:</w:t>
      </w:r>
    </w:p>
    <w:p w14:paraId="31993D3F" w14:textId="77777777" w:rsidR="00181921" w:rsidRDefault="00000000">
      <w:pPr>
        <w:pStyle w:val="ListParagraph"/>
        <w:numPr>
          <w:ilvl w:val="0"/>
          <w:numId w:val="2"/>
        </w:numPr>
        <w:spacing w:before="30" w:after="30"/>
      </w:pPr>
      <w:r>
        <w:t xml:space="preserve">Gross-to-net for </w:t>
      </w:r>
      <w:proofErr w:type="spellStart"/>
      <w:r>
        <w:t>Emrosi</w:t>
      </w:r>
      <w:proofErr w:type="spellEnd"/>
      <w:r>
        <w:t>: NOT DISCLOSED. Management explicitly declined to provide G2N guidance on the Q3 2025 earnings call, stating G2N 'will vary as reimbursement dynamics evolve' and that improvements are anticipated as the 3rd GPO contracts in early 2026</w:t>
      </w:r>
    </w:p>
    <w:p w14:paraId="5ECF7A51" w14:textId="77777777" w:rsidR="00181921" w:rsidRDefault="00000000">
      <w:pPr>
        <w:pStyle w:val="ListParagraph"/>
        <w:numPr>
          <w:ilvl w:val="0"/>
          <w:numId w:val="2"/>
        </w:numPr>
        <w:spacing w:before="30" w:after="30"/>
      </w:pPr>
      <w:r>
        <w:t xml:space="preserve">Implied G2N estimate: Based on specialty pharma benchmarks for newly launched branded products in non-oncology derm (~30–45% G2N), </w:t>
      </w:r>
      <w:proofErr w:type="spellStart"/>
      <w:r>
        <w:t>Emrosi</w:t>
      </w:r>
      <w:proofErr w:type="spellEnd"/>
      <w:r>
        <w:t xml:space="preserve"> net revenue per Rx can be estimated:</w:t>
      </w:r>
    </w:p>
    <w:p w14:paraId="58946CDC" w14:textId="77777777" w:rsidR="00181921" w:rsidRDefault="00000000">
      <w:pPr>
        <w:pStyle w:val="ListParagraph"/>
        <w:numPr>
          <w:ilvl w:val="1"/>
          <w:numId w:val="2"/>
        </w:numPr>
        <w:spacing w:before="30" w:after="30"/>
      </w:pPr>
      <w:r>
        <w:t>Q3 2025: $4.9M net revenue / 18,198 Rx = ~$269 net revenue per Rx. At WAC ~$950/month, this implies a very high G2N spread (~72% discount to list) — or monthly therapy fills are &lt;1 per Rx, which is more likely (specialty pharmacy 30-day supplies)</w:t>
      </w:r>
    </w:p>
    <w:p w14:paraId="5121224A" w14:textId="77777777" w:rsidR="00181921" w:rsidRDefault="00000000">
      <w:pPr>
        <w:pStyle w:val="ListParagraph"/>
        <w:numPr>
          <w:ilvl w:val="0"/>
          <w:numId w:val="2"/>
        </w:numPr>
        <w:spacing w:before="30" w:after="30"/>
      </w:pPr>
      <w:r>
        <w:t xml:space="preserve">Adjusted estimate: If average </w:t>
      </w:r>
      <w:proofErr w:type="spellStart"/>
      <w:r>
        <w:t>days</w:t>
      </w:r>
      <w:proofErr w:type="spellEnd"/>
      <w:r>
        <w:t xml:space="preserve"> supply per Rx is 30 days and WAC is ~$950/month, then $269/Rx implies ~72% G2N — elevated but not unusual for early launch when copay card utilization is high and commercial contracting is incomplete</w:t>
      </w:r>
    </w:p>
    <w:p w14:paraId="7F2D6013" w14:textId="77777777" w:rsidR="00181921" w:rsidRDefault="00000000">
      <w:pPr>
        <w:pStyle w:val="ListParagraph"/>
        <w:numPr>
          <w:ilvl w:val="0"/>
          <w:numId w:val="2"/>
        </w:numPr>
        <w:spacing w:before="30" w:after="30"/>
      </w:pPr>
      <w:r>
        <w:t>Royalty overlay: In addition to payer G2N, Journey owes 10–14% of net sales to Dr. Reddy's — this is a post-G2N royalty on net revenue, further compressing Journey's effective margin capture</w:t>
      </w:r>
    </w:p>
    <w:p w14:paraId="0ACBA806" w14:textId="77777777" w:rsidR="00181921" w:rsidRDefault="00000000">
      <w:pPr>
        <w:pStyle w:val="ListParagraph"/>
        <w:numPr>
          <w:ilvl w:val="0"/>
          <w:numId w:val="2"/>
        </w:numPr>
        <w:spacing w:before="30" w:after="30"/>
      </w:pPr>
      <w:proofErr w:type="spellStart"/>
      <w:r>
        <w:t>Qbrexza</w:t>
      </w:r>
      <w:proofErr w:type="spellEnd"/>
      <w:r>
        <w:t xml:space="preserve"> G2N: </w:t>
      </w:r>
      <w:proofErr w:type="gramStart"/>
      <w:r>
        <w:t>Also</w:t>
      </w:r>
      <w:proofErr w:type="gramEnd"/>
      <w:r>
        <w:t xml:space="preserve"> not disclosed publicly; </w:t>
      </w:r>
      <w:proofErr w:type="spellStart"/>
      <w:r>
        <w:t>Maruho</w:t>
      </w:r>
      <w:proofErr w:type="spellEnd"/>
      <w:r>
        <w:t xml:space="preserve"> Japan royalty provides modest incremental income at minimal incremental cost</w:t>
      </w:r>
    </w:p>
    <w:p w14:paraId="41F9B00B" w14:textId="77777777" w:rsidR="00181921" w:rsidRDefault="00181921">
      <w:pPr>
        <w:spacing w:before="30" w:after="30"/>
      </w:pPr>
    </w:p>
    <w:p w14:paraId="22E362E0" w14:textId="77777777" w:rsidR="00181921" w:rsidRDefault="00000000">
      <w:pPr>
        <w:spacing w:before="40" w:after="40"/>
      </w:pPr>
      <w:r>
        <w:rPr>
          <w:i/>
          <w:iCs/>
        </w:rPr>
        <w:t>Score Rationale: G2N opacity is the single most significant data gap in the Journey Medical investment case. The framework assigns an automatic 1-point deduction for undisclosed G2N at the commercial stage, and the estimated G2N appears elevated relative to mature specialty pharma benchmarks. Score 2. This improves to 3 upon disclosure, or to 4 if disclosed G2N is better than estimated.</w:t>
      </w:r>
    </w:p>
    <w:p w14:paraId="0854ECCB"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19102B93"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3D0CCAD0" w14:textId="77777777" w:rsidR="00181921" w:rsidRDefault="00000000">
            <w:r>
              <w:rPr>
                <w:b/>
                <w:bCs/>
                <w:color w:val="1B3A5C"/>
              </w:rPr>
              <w:t>SP-2 | PRODUCT-LEVEL IP / EXCLUSIVITY MAP</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80" w:type="dxa"/>
              <w:left w:w="120" w:type="dxa"/>
              <w:bottom w:w="80" w:type="dxa"/>
              <w:right w:w="120" w:type="dxa"/>
            </w:tcMar>
            <w:vAlign w:val="center"/>
          </w:tcPr>
          <w:p w14:paraId="2ECD67B4" w14:textId="77777777" w:rsidR="00181921" w:rsidRDefault="00000000">
            <w:pPr>
              <w:jc w:val="center"/>
            </w:pPr>
            <w:r>
              <w:rPr>
                <w:b/>
                <w:bCs/>
                <w:color w:val="FFFFFF"/>
                <w:sz w:val="22"/>
                <w:szCs w:val="22"/>
              </w:rPr>
              <w:t>3 / 5</w:t>
            </w:r>
          </w:p>
        </w:tc>
      </w:tr>
    </w:tbl>
    <w:p w14:paraId="1C646F4F" w14:textId="77777777" w:rsidR="00181921" w:rsidRDefault="00181921">
      <w:pPr>
        <w:spacing w:before="40" w:after="40"/>
      </w:pPr>
    </w:p>
    <w:p w14:paraId="540EF96C" w14:textId="77777777" w:rsidR="00181921" w:rsidRDefault="00000000">
      <w:pPr>
        <w:spacing w:before="40" w:after="40"/>
      </w:pPr>
      <w:r>
        <w:rPr>
          <w:b/>
          <w:bCs/>
        </w:rPr>
        <w:t>Per-Product Exclusivity Map (as of March 2026):</w:t>
      </w:r>
    </w:p>
    <w:p w14:paraId="5D838843" w14:textId="77777777" w:rsidR="00181921" w:rsidRDefault="001819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800"/>
        <w:gridCol w:w="2400"/>
        <w:gridCol w:w="1560"/>
      </w:tblGrid>
      <w:tr w:rsidR="00181921" w14:paraId="2B01BD0E"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1A0F5EFD" w14:textId="77777777" w:rsidR="00181921" w:rsidRDefault="00000000">
            <w:r>
              <w:rPr>
                <w:b/>
                <w:bCs/>
                <w:color w:val="FFFFFF"/>
                <w:sz w:val="17"/>
                <w:szCs w:val="17"/>
              </w:rPr>
              <w:t>Product</w:t>
            </w:r>
          </w:p>
        </w:tc>
        <w:tc>
          <w:tcPr>
            <w:tcW w:w="20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5ABBD1EC" w14:textId="77777777" w:rsidR="00181921" w:rsidRDefault="00000000">
            <w:r>
              <w:rPr>
                <w:b/>
                <w:bCs/>
                <w:color w:val="FFFFFF"/>
                <w:sz w:val="17"/>
                <w:szCs w:val="17"/>
              </w:rPr>
              <w:t>Indication</w:t>
            </w:r>
          </w:p>
        </w:tc>
        <w:tc>
          <w:tcPr>
            <w:tcW w:w="18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7271258B" w14:textId="77777777" w:rsidR="00181921" w:rsidRDefault="00000000">
            <w:r>
              <w:rPr>
                <w:b/>
                <w:bCs/>
                <w:color w:val="FFFFFF"/>
                <w:sz w:val="17"/>
                <w:szCs w:val="17"/>
              </w:rPr>
              <w:t>Generic Bar Date</w:t>
            </w:r>
          </w:p>
        </w:tc>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79BA4B64" w14:textId="77777777" w:rsidR="00181921" w:rsidRDefault="00000000">
            <w:r>
              <w:rPr>
                <w:b/>
                <w:bCs/>
                <w:color w:val="FFFFFF"/>
                <w:sz w:val="17"/>
                <w:szCs w:val="17"/>
              </w:rPr>
              <w:t>IP Basis</w:t>
            </w:r>
          </w:p>
        </w:tc>
        <w:tc>
          <w:tcPr>
            <w:tcW w:w="1560" w:type="dxa"/>
            <w:tcBorders>
              <w:top w:val="single" w:sz="1" w:space="0" w:color="E0E0E0"/>
              <w:left w:val="single" w:sz="1" w:space="0" w:color="E0E0E0"/>
              <w:bottom w:val="single" w:sz="1" w:space="0" w:color="E0E0E0"/>
              <w:right w:val="single" w:sz="1" w:space="0" w:color="E0E0E0"/>
            </w:tcBorders>
            <w:shd w:val="clear" w:color="auto" w:fill="1B3A5C"/>
            <w:tcMar>
              <w:top w:w="60" w:type="dxa"/>
              <w:left w:w="100" w:type="dxa"/>
              <w:bottom w:w="60" w:type="dxa"/>
              <w:right w:w="100" w:type="dxa"/>
            </w:tcMar>
          </w:tcPr>
          <w:p w14:paraId="7AEB2BF1" w14:textId="77777777" w:rsidR="00181921" w:rsidRDefault="00000000">
            <w:r>
              <w:rPr>
                <w:b/>
                <w:bCs/>
                <w:color w:val="FFFFFF"/>
                <w:sz w:val="17"/>
                <w:szCs w:val="17"/>
              </w:rPr>
              <w:t>Risk Level</w:t>
            </w:r>
          </w:p>
        </w:tc>
      </w:tr>
      <w:tr w:rsidR="00181921" w14:paraId="5FF22B05"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7CBE8957" w14:textId="77777777" w:rsidR="00181921" w:rsidRDefault="00000000">
            <w:proofErr w:type="spellStart"/>
            <w:r>
              <w:rPr>
                <w:sz w:val="17"/>
                <w:szCs w:val="17"/>
              </w:rPr>
              <w:t>Emrosi</w:t>
            </w:r>
            <w:proofErr w:type="spellEnd"/>
            <w:r>
              <w:rPr>
                <w:sz w:val="17"/>
                <w:szCs w:val="17"/>
              </w:rPr>
              <w:t>™</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34A7C4D8" w14:textId="77777777" w:rsidR="00181921" w:rsidRDefault="00000000">
            <w:r>
              <w:rPr>
                <w:sz w:val="17"/>
                <w:szCs w:val="17"/>
              </w:rPr>
              <w:t>Oral rosacea (inflammatory lesions)</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23375E39" w14:textId="77777777" w:rsidR="00181921" w:rsidRDefault="00000000">
            <w:r>
              <w:rPr>
                <w:sz w:val="17"/>
                <w:szCs w:val="17"/>
              </w:rPr>
              <w:t>Patent expiry TBD (3 issued US patents)</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1E267CB0" w14:textId="77777777" w:rsidR="00181921" w:rsidRDefault="00000000">
            <w:r>
              <w:rPr>
                <w:sz w:val="17"/>
                <w:szCs w:val="17"/>
              </w:rPr>
              <w:t>3 issued US patents + 1 pending; proprietary 10mg IR/30mg ER formulation</w:t>
            </w:r>
          </w:p>
        </w:tc>
        <w:tc>
          <w:tcPr>
            <w:tcW w:w="15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8A2675" w14:textId="77777777" w:rsidR="00181921" w:rsidRDefault="00000000">
            <w:r>
              <w:rPr>
                <w:sz w:val="17"/>
                <w:szCs w:val="17"/>
              </w:rPr>
              <w:t>Medium – molecule is generic; compounding risk exists</w:t>
            </w:r>
          </w:p>
        </w:tc>
      </w:tr>
      <w:tr w:rsidR="00181921" w14:paraId="6CB7F5DF"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8695AD2" w14:textId="77777777" w:rsidR="00181921" w:rsidRDefault="00000000">
            <w:proofErr w:type="spellStart"/>
            <w:r>
              <w:rPr>
                <w:sz w:val="17"/>
                <w:szCs w:val="17"/>
              </w:rPr>
              <w:t>Qbrexza</w:t>
            </w:r>
            <w:proofErr w:type="spellEnd"/>
            <w:r>
              <w:rPr>
                <w:sz w:val="17"/>
                <w:szCs w:val="17"/>
              </w:rPr>
              <w:t>®</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2CCE1BBB" w14:textId="77777777" w:rsidR="00181921" w:rsidRDefault="00000000">
            <w:r>
              <w:rPr>
                <w:sz w:val="17"/>
                <w:szCs w:val="17"/>
              </w:rPr>
              <w:t>Primary axillary hyperhidrosis</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7A0AAEEB" w14:textId="77777777" w:rsidR="00181921" w:rsidRDefault="00000000">
            <w:r>
              <w:rPr>
                <w:sz w:val="17"/>
                <w:szCs w:val="17"/>
              </w:rPr>
              <w:t>Aug 15, 2030 (</w:t>
            </w:r>
            <w:proofErr w:type="spellStart"/>
            <w:r>
              <w:rPr>
                <w:sz w:val="17"/>
                <w:szCs w:val="17"/>
              </w:rPr>
              <w:t>Padagis</w:t>
            </w:r>
            <w:proofErr w:type="spellEnd"/>
            <w:r>
              <w:rPr>
                <w:sz w:val="17"/>
                <w:szCs w:val="17"/>
              </w:rPr>
              <w:t>) / Feb 28, 2033 (</w:t>
            </w:r>
            <w:proofErr w:type="spellStart"/>
            <w:r>
              <w:rPr>
                <w:sz w:val="17"/>
                <w:szCs w:val="17"/>
              </w:rPr>
              <w:t>DrugPatentWatch</w:t>
            </w:r>
            <w:proofErr w:type="spellEnd"/>
            <w:r>
              <w:rPr>
                <w:sz w:val="17"/>
                <w:szCs w:val="17"/>
              </w:rPr>
              <w:t>)</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06E57359" w14:textId="77777777" w:rsidR="00181921" w:rsidRDefault="00000000">
            <w:r>
              <w:rPr>
                <w:sz w:val="17"/>
                <w:szCs w:val="17"/>
              </w:rPr>
              <w:t xml:space="preserve">8 patents; </w:t>
            </w:r>
            <w:proofErr w:type="spellStart"/>
            <w:r>
              <w:rPr>
                <w:sz w:val="17"/>
                <w:szCs w:val="17"/>
              </w:rPr>
              <w:t>Padagis</w:t>
            </w:r>
            <w:proofErr w:type="spellEnd"/>
            <w:r>
              <w:rPr>
                <w:sz w:val="17"/>
                <w:szCs w:val="17"/>
              </w:rPr>
              <w:t xml:space="preserve"> Para IV settlement</w:t>
            </w:r>
          </w:p>
        </w:tc>
        <w:tc>
          <w:tcPr>
            <w:tcW w:w="15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2B86C81E" w14:textId="77777777" w:rsidR="00181921" w:rsidRDefault="00000000">
            <w:r>
              <w:rPr>
                <w:sz w:val="17"/>
                <w:szCs w:val="17"/>
              </w:rPr>
              <w:t>Low – long runway</w:t>
            </w:r>
          </w:p>
        </w:tc>
      </w:tr>
      <w:tr w:rsidR="00181921" w14:paraId="1875ABAE"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68605715" w14:textId="77777777" w:rsidR="00181921" w:rsidRDefault="00000000">
            <w:proofErr w:type="spellStart"/>
            <w:r>
              <w:rPr>
                <w:sz w:val="17"/>
                <w:szCs w:val="17"/>
              </w:rPr>
              <w:t>Amzeeq</w:t>
            </w:r>
            <w:proofErr w:type="spellEnd"/>
            <w:r>
              <w:rPr>
                <w:sz w:val="17"/>
                <w:szCs w:val="17"/>
              </w:rPr>
              <w:t>®</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52F9B032" w14:textId="77777777" w:rsidR="00181921" w:rsidRDefault="00000000">
            <w:r>
              <w:rPr>
                <w:sz w:val="17"/>
                <w:szCs w:val="17"/>
              </w:rPr>
              <w:t>Inflammatory acne (topical)</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FE959C3" w14:textId="77777777" w:rsidR="00181921" w:rsidRDefault="00000000">
            <w:r>
              <w:rPr>
                <w:sz w:val="17"/>
                <w:szCs w:val="17"/>
              </w:rPr>
              <w:t>July 1, 2031 (</w:t>
            </w:r>
            <w:proofErr w:type="spellStart"/>
            <w:r>
              <w:rPr>
                <w:sz w:val="17"/>
                <w:szCs w:val="17"/>
              </w:rPr>
              <w:t>Padagis</w:t>
            </w:r>
            <w:proofErr w:type="spellEnd"/>
            <w:r>
              <w:rPr>
                <w:sz w:val="17"/>
                <w:szCs w:val="17"/>
              </w:rPr>
              <w:t xml:space="preserve"> settlement)</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6256163" w14:textId="77777777" w:rsidR="00181921" w:rsidRDefault="00000000">
            <w:r>
              <w:rPr>
                <w:sz w:val="17"/>
                <w:szCs w:val="17"/>
              </w:rPr>
              <w:t>Para IV settlement</w:t>
            </w:r>
          </w:p>
        </w:tc>
        <w:tc>
          <w:tcPr>
            <w:tcW w:w="15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2315DAC0" w14:textId="77777777" w:rsidR="00181921" w:rsidRDefault="00000000">
            <w:r>
              <w:rPr>
                <w:sz w:val="17"/>
                <w:szCs w:val="17"/>
              </w:rPr>
              <w:t>Low-Medium</w:t>
            </w:r>
          </w:p>
        </w:tc>
      </w:tr>
      <w:tr w:rsidR="00181921" w14:paraId="3D5AB20A"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7547E0F7" w14:textId="77777777" w:rsidR="00181921" w:rsidRDefault="00000000">
            <w:proofErr w:type="spellStart"/>
            <w:r>
              <w:rPr>
                <w:sz w:val="17"/>
                <w:szCs w:val="17"/>
              </w:rPr>
              <w:t>Zilxi</w:t>
            </w:r>
            <w:proofErr w:type="spellEnd"/>
            <w:r>
              <w:rPr>
                <w:sz w:val="17"/>
                <w:szCs w:val="17"/>
              </w:rPr>
              <w:t>®</w:t>
            </w:r>
          </w:p>
        </w:tc>
        <w:tc>
          <w:tcPr>
            <w:tcW w:w="20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618E4AC1" w14:textId="77777777" w:rsidR="00181921" w:rsidRDefault="00000000">
            <w:r>
              <w:rPr>
                <w:sz w:val="17"/>
                <w:szCs w:val="17"/>
              </w:rPr>
              <w:t>Rosacea (topical)</w:t>
            </w:r>
          </w:p>
        </w:tc>
        <w:tc>
          <w:tcPr>
            <w:tcW w:w="18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2AD6C507" w14:textId="77777777" w:rsidR="00181921" w:rsidRDefault="00000000">
            <w:r>
              <w:rPr>
                <w:sz w:val="17"/>
                <w:szCs w:val="17"/>
              </w:rPr>
              <w:t>April 1, 2027 (</w:t>
            </w:r>
            <w:proofErr w:type="spellStart"/>
            <w:r>
              <w:rPr>
                <w:sz w:val="17"/>
                <w:szCs w:val="17"/>
              </w:rPr>
              <w:t>Padagis</w:t>
            </w:r>
            <w:proofErr w:type="spellEnd"/>
            <w:r>
              <w:rPr>
                <w:sz w:val="17"/>
                <w:szCs w:val="17"/>
              </w:rPr>
              <w:t xml:space="preserve"> settlement)</w:t>
            </w:r>
          </w:p>
        </w:tc>
        <w:tc>
          <w:tcPr>
            <w:tcW w:w="24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0C515B23" w14:textId="77777777" w:rsidR="00181921" w:rsidRDefault="00000000">
            <w:r>
              <w:rPr>
                <w:sz w:val="17"/>
                <w:szCs w:val="17"/>
              </w:rPr>
              <w:t>Para IV settlement – nearest cliff</w:t>
            </w:r>
          </w:p>
        </w:tc>
        <w:tc>
          <w:tcPr>
            <w:tcW w:w="156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28220D08" w14:textId="77777777" w:rsidR="00181921" w:rsidRDefault="00000000">
            <w:r>
              <w:rPr>
                <w:color w:val="C00000"/>
                <w:sz w:val="17"/>
                <w:szCs w:val="17"/>
              </w:rPr>
              <w:t>HIGH – ~13 months</w:t>
            </w:r>
          </w:p>
        </w:tc>
      </w:tr>
      <w:tr w:rsidR="00181921" w14:paraId="6A6C880A"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5B6D0412" w14:textId="77777777" w:rsidR="00181921" w:rsidRDefault="00000000">
            <w:r>
              <w:rPr>
                <w:sz w:val="17"/>
                <w:szCs w:val="17"/>
              </w:rPr>
              <w:t>Accutane®</w:t>
            </w:r>
          </w:p>
        </w:tc>
        <w:tc>
          <w:tcPr>
            <w:tcW w:w="20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00420999" w14:textId="77777777" w:rsidR="00181921" w:rsidRDefault="00000000">
            <w:r>
              <w:rPr>
                <w:sz w:val="17"/>
                <w:szCs w:val="17"/>
              </w:rPr>
              <w:t>Severe acne</w:t>
            </w:r>
          </w:p>
        </w:tc>
        <w:tc>
          <w:tcPr>
            <w:tcW w:w="18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0076EB02" w14:textId="77777777" w:rsidR="00181921" w:rsidRDefault="00000000">
            <w:r>
              <w:rPr>
                <w:sz w:val="17"/>
                <w:szCs w:val="17"/>
              </w:rPr>
              <w:t>Generics already launched</w:t>
            </w:r>
          </w:p>
        </w:tc>
        <w:tc>
          <w:tcPr>
            <w:tcW w:w="24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6D225696" w14:textId="77777777" w:rsidR="00181921" w:rsidRDefault="00000000">
            <w:r>
              <w:rPr>
                <w:sz w:val="17"/>
                <w:szCs w:val="17"/>
              </w:rPr>
              <w:t>Brand reference only; no exclusivity</w:t>
            </w:r>
          </w:p>
        </w:tc>
        <w:tc>
          <w:tcPr>
            <w:tcW w:w="156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59609CCF" w14:textId="77777777" w:rsidR="00181921" w:rsidRDefault="00000000">
            <w:r>
              <w:rPr>
                <w:color w:val="C00000"/>
                <w:sz w:val="17"/>
                <w:szCs w:val="17"/>
              </w:rPr>
              <w:t>HIGH – ongoing erosion</w:t>
            </w:r>
          </w:p>
        </w:tc>
      </w:tr>
      <w:tr w:rsidR="00181921" w14:paraId="3A58B632"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60ABD57A" w14:textId="77777777" w:rsidR="00181921" w:rsidRDefault="00000000">
            <w:proofErr w:type="spellStart"/>
            <w:r>
              <w:rPr>
                <w:sz w:val="17"/>
                <w:szCs w:val="17"/>
              </w:rPr>
              <w:t>Targadox</w:t>
            </w:r>
            <w:proofErr w:type="spellEnd"/>
            <w:r>
              <w:rPr>
                <w:sz w:val="17"/>
                <w:szCs w:val="17"/>
              </w:rPr>
              <w:t xml:space="preserve"> / </w:t>
            </w:r>
            <w:proofErr w:type="spellStart"/>
            <w:r>
              <w:rPr>
                <w:sz w:val="17"/>
                <w:szCs w:val="17"/>
              </w:rPr>
              <w:t>Ximino</w:t>
            </w:r>
            <w:proofErr w:type="spellEnd"/>
          </w:p>
        </w:tc>
        <w:tc>
          <w:tcPr>
            <w:tcW w:w="20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3B298E19" w14:textId="77777777" w:rsidR="00181921" w:rsidRDefault="00000000">
            <w:r>
              <w:rPr>
                <w:sz w:val="17"/>
                <w:szCs w:val="17"/>
              </w:rPr>
              <w:t>Acne</w:t>
            </w:r>
          </w:p>
        </w:tc>
        <w:tc>
          <w:tcPr>
            <w:tcW w:w="18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443D3AAF" w14:textId="77777777" w:rsidR="00181921" w:rsidRDefault="00000000">
            <w:r>
              <w:rPr>
                <w:sz w:val="17"/>
                <w:szCs w:val="17"/>
              </w:rPr>
              <w:t>Generic-exposed</w:t>
            </w:r>
          </w:p>
        </w:tc>
        <w:tc>
          <w:tcPr>
            <w:tcW w:w="240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7C013119" w14:textId="77777777" w:rsidR="00181921" w:rsidRDefault="00000000">
            <w:r>
              <w:rPr>
                <w:sz w:val="17"/>
                <w:szCs w:val="17"/>
              </w:rPr>
              <w:t>Legacy brands</w:t>
            </w:r>
          </w:p>
        </w:tc>
        <w:tc>
          <w:tcPr>
            <w:tcW w:w="1560" w:type="dxa"/>
            <w:tcBorders>
              <w:top w:val="single" w:sz="1" w:space="0" w:color="E0E0E0"/>
              <w:left w:val="single" w:sz="1" w:space="0" w:color="E0E0E0"/>
              <w:bottom w:val="single" w:sz="1" w:space="0" w:color="E0E0E0"/>
              <w:right w:val="single" w:sz="1" w:space="0" w:color="E0E0E0"/>
            </w:tcBorders>
            <w:shd w:val="clear" w:color="auto" w:fill="FFF0F0"/>
            <w:tcMar>
              <w:top w:w="60" w:type="dxa"/>
              <w:left w:w="100" w:type="dxa"/>
              <w:bottom w:w="60" w:type="dxa"/>
              <w:right w:w="100" w:type="dxa"/>
            </w:tcMar>
          </w:tcPr>
          <w:p w14:paraId="54C59101" w14:textId="77777777" w:rsidR="00181921" w:rsidRDefault="00000000">
            <w:r>
              <w:rPr>
                <w:color w:val="C00000"/>
                <w:sz w:val="17"/>
                <w:szCs w:val="17"/>
              </w:rPr>
              <w:t>HIGH – already genericized</w:t>
            </w:r>
          </w:p>
        </w:tc>
      </w:tr>
    </w:tbl>
    <w:p w14:paraId="7852660A" w14:textId="77777777" w:rsidR="00181921" w:rsidRDefault="00181921">
      <w:pPr>
        <w:spacing w:before="40" w:after="40"/>
      </w:pPr>
    </w:p>
    <w:p w14:paraId="0C219196" w14:textId="77777777" w:rsidR="00181921" w:rsidRDefault="00000000">
      <w:pPr>
        <w:spacing w:before="40" w:after="40"/>
      </w:pPr>
      <w:r>
        <w:rPr>
          <w:b/>
          <w:bCs/>
        </w:rPr>
        <w:t>Key Observations:</w:t>
      </w:r>
    </w:p>
    <w:p w14:paraId="7EDAD605" w14:textId="77777777" w:rsidR="00181921" w:rsidRDefault="00000000">
      <w:pPr>
        <w:pStyle w:val="ListParagraph"/>
        <w:numPr>
          <w:ilvl w:val="0"/>
          <w:numId w:val="2"/>
        </w:numPr>
        <w:spacing w:before="30" w:after="30"/>
      </w:pPr>
      <w:proofErr w:type="spellStart"/>
      <w:r>
        <w:t>Emrosi</w:t>
      </w:r>
      <w:proofErr w:type="spellEnd"/>
      <w:r>
        <w:t xml:space="preserve"> (the growth engine): Protected by 3 US patents in the Orange Book + 1 pending. The proprietary IR/ER formulation provides meaningful differentiation vs. commodity minocycline. However, as a generic molecule, compounding pharmacies remain a latent threat that conventional Para IV litigation cannot address.</w:t>
      </w:r>
    </w:p>
    <w:p w14:paraId="2C51764D" w14:textId="77777777" w:rsidR="00181921" w:rsidRDefault="00000000">
      <w:pPr>
        <w:pStyle w:val="ListParagraph"/>
        <w:numPr>
          <w:ilvl w:val="0"/>
          <w:numId w:val="2"/>
        </w:numPr>
        <w:spacing w:before="30" w:after="30"/>
      </w:pPr>
      <w:proofErr w:type="spellStart"/>
      <w:r>
        <w:t>Qbrexza</w:t>
      </w:r>
      <w:proofErr w:type="spellEnd"/>
      <w:r>
        <w:t xml:space="preserve"> (the cash cow): Well-protected through the 2030–2033 window. The </w:t>
      </w:r>
      <w:proofErr w:type="spellStart"/>
      <w:r>
        <w:t>Padagis</w:t>
      </w:r>
      <w:proofErr w:type="spellEnd"/>
      <w:r>
        <w:t xml:space="preserve"> settlement date (Aug 2030) is the operative planning horizon. </w:t>
      </w:r>
      <w:proofErr w:type="spellStart"/>
      <w:r>
        <w:t>Sofdra</w:t>
      </w:r>
      <w:proofErr w:type="spellEnd"/>
      <w:r>
        <w:t xml:space="preserve"> competition is a commercial, not IP, threat.</w:t>
      </w:r>
    </w:p>
    <w:p w14:paraId="4C3444CF" w14:textId="77777777" w:rsidR="00181921" w:rsidRDefault="00000000">
      <w:pPr>
        <w:pStyle w:val="ListParagraph"/>
        <w:numPr>
          <w:ilvl w:val="0"/>
          <w:numId w:val="2"/>
        </w:numPr>
        <w:spacing w:before="30" w:after="30"/>
      </w:pPr>
      <w:proofErr w:type="spellStart"/>
      <w:r>
        <w:t>Amzeeq</w:t>
      </w:r>
      <w:proofErr w:type="spellEnd"/>
      <w:r>
        <w:t xml:space="preserve"> (solid mid-tier): July 2031 generic bar provides 5+ years of protected revenue — a meaningful buffer.</w:t>
      </w:r>
    </w:p>
    <w:p w14:paraId="0C409511" w14:textId="77777777" w:rsidR="00181921" w:rsidRDefault="00000000">
      <w:pPr>
        <w:pStyle w:val="ListParagraph"/>
        <w:numPr>
          <w:ilvl w:val="0"/>
          <w:numId w:val="2"/>
        </w:numPr>
        <w:spacing w:before="30" w:after="30"/>
      </w:pPr>
      <w:proofErr w:type="spellStart"/>
      <w:r>
        <w:t>Zilxi</w:t>
      </w:r>
      <w:proofErr w:type="spellEnd"/>
      <w:r>
        <w:t xml:space="preserve"> (imminent cliff): April 1, </w:t>
      </w:r>
      <w:proofErr w:type="gramStart"/>
      <w:r>
        <w:t>2027</w:t>
      </w:r>
      <w:proofErr w:type="gramEnd"/>
      <w:r>
        <w:t xml:space="preserve"> is the most urgent IP event in the portfolio. </w:t>
      </w:r>
      <w:proofErr w:type="spellStart"/>
      <w:r>
        <w:t>Zilxi</w:t>
      </w:r>
      <w:proofErr w:type="spellEnd"/>
      <w:r>
        <w:t xml:space="preserve"> revenue must be modeled to zero over 12–18 months post-generic entry in any rigorous bear case.</w:t>
      </w:r>
    </w:p>
    <w:p w14:paraId="24A354D1" w14:textId="77777777" w:rsidR="00181921" w:rsidRDefault="00000000">
      <w:pPr>
        <w:pStyle w:val="ListParagraph"/>
        <w:numPr>
          <w:ilvl w:val="0"/>
          <w:numId w:val="2"/>
        </w:numPr>
        <w:spacing w:before="30" w:after="30"/>
      </w:pPr>
      <w:r>
        <w:t xml:space="preserve">Legacy products (Accutane, </w:t>
      </w:r>
      <w:proofErr w:type="spellStart"/>
      <w:r>
        <w:t>Targadox</w:t>
      </w:r>
      <w:proofErr w:type="spellEnd"/>
      <w:r>
        <w:t xml:space="preserve">, </w:t>
      </w:r>
      <w:proofErr w:type="spellStart"/>
      <w:r>
        <w:t>Ximino</w:t>
      </w:r>
      <w:proofErr w:type="spellEnd"/>
      <w:r>
        <w:t>): Already in generic erosion phase. These contribute declining revenue with no IP protection.</w:t>
      </w:r>
    </w:p>
    <w:p w14:paraId="28F98CC6" w14:textId="77777777" w:rsidR="00181921" w:rsidRDefault="00181921">
      <w:pPr>
        <w:spacing w:before="30" w:after="30"/>
      </w:pPr>
    </w:p>
    <w:p w14:paraId="089A6046" w14:textId="77777777" w:rsidR="00181921" w:rsidRDefault="00000000">
      <w:pPr>
        <w:spacing w:before="40" w:after="40"/>
      </w:pPr>
      <w:r>
        <w:rPr>
          <w:i/>
          <w:iCs/>
        </w:rPr>
        <w:t xml:space="preserve">Score Rationale: The portfolio IP structure is bifurcated — </w:t>
      </w:r>
      <w:proofErr w:type="spellStart"/>
      <w:r>
        <w:rPr>
          <w:i/>
          <w:iCs/>
        </w:rPr>
        <w:t>Qbrexza</w:t>
      </w:r>
      <w:proofErr w:type="spellEnd"/>
      <w:r>
        <w:rPr>
          <w:i/>
          <w:iCs/>
        </w:rPr>
        <w:t xml:space="preserve"> and </w:t>
      </w:r>
      <w:proofErr w:type="spellStart"/>
      <w:r>
        <w:rPr>
          <w:i/>
          <w:iCs/>
        </w:rPr>
        <w:t>Amzeeq</w:t>
      </w:r>
      <w:proofErr w:type="spellEnd"/>
      <w:r>
        <w:rPr>
          <w:i/>
          <w:iCs/>
        </w:rPr>
        <w:t xml:space="preserve"> are well-protected, </w:t>
      </w:r>
      <w:proofErr w:type="spellStart"/>
      <w:r>
        <w:rPr>
          <w:i/>
          <w:iCs/>
        </w:rPr>
        <w:t>Emrosi</w:t>
      </w:r>
      <w:proofErr w:type="spellEnd"/>
      <w:r>
        <w:rPr>
          <w:i/>
          <w:iCs/>
        </w:rPr>
        <w:t xml:space="preserve"> has structural protection against Para IV but not compounding, </w:t>
      </w:r>
      <w:proofErr w:type="spellStart"/>
      <w:r>
        <w:rPr>
          <w:i/>
          <w:iCs/>
        </w:rPr>
        <w:t>Zilxi</w:t>
      </w:r>
      <w:proofErr w:type="spellEnd"/>
      <w:r>
        <w:rPr>
          <w:i/>
          <w:iCs/>
        </w:rPr>
        <w:t xml:space="preserve"> is an imminent headwind, and legacy products are already genericized. Weighted average portfolio exclusivity duration is approximately 5–6 years, which is adequate. Score 3.</w:t>
      </w:r>
    </w:p>
    <w:p w14:paraId="256C16D4"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52439026"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3EB47BBD" w14:textId="77777777" w:rsidR="00181921" w:rsidRDefault="00000000">
            <w:r>
              <w:rPr>
                <w:b/>
                <w:bCs/>
                <w:color w:val="1B3A5C"/>
              </w:rPr>
              <w:t>SP-3 | PRESCRIPTION DYNAMICS / LEADING INDICATORS</w:t>
            </w:r>
          </w:p>
        </w:tc>
        <w:tc>
          <w:tcPr>
            <w:tcW w:w="1800" w:type="dxa"/>
            <w:tcBorders>
              <w:top w:val="none" w:sz="0" w:space="0" w:color="FFFFFF"/>
              <w:left w:val="none" w:sz="0" w:space="0" w:color="FFFFFF"/>
              <w:bottom w:val="none" w:sz="0" w:space="0" w:color="FFFFFF"/>
              <w:right w:val="none" w:sz="0" w:space="0" w:color="FFFFFF"/>
            </w:tcBorders>
            <w:shd w:val="clear" w:color="auto" w:fill="1F6B3A"/>
            <w:tcMar>
              <w:top w:w="80" w:type="dxa"/>
              <w:left w:w="120" w:type="dxa"/>
              <w:bottom w:w="80" w:type="dxa"/>
              <w:right w:w="120" w:type="dxa"/>
            </w:tcMar>
            <w:vAlign w:val="center"/>
          </w:tcPr>
          <w:p w14:paraId="2CFBC865" w14:textId="77777777" w:rsidR="00181921" w:rsidRDefault="00000000">
            <w:pPr>
              <w:jc w:val="center"/>
            </w:pPr>
            <w:r>
              <w:rPr>
                <w:b/>
                <w:bCs/>
                <w:color w:val="FFFFFF"/>
                <w:sz w:val="22"/>
                <w:szCs w:val="22"/>
              </w:rPr>
              <w:t>4 / 5</w:t>
            </w:r>
          </w:p>
        </w:tc>
      </w:tr>
    </w:tbl>
    <w:p w14:paraId="04FDEA42" w14:textId="77777777" w:rsidR="00181921" w:rsidRDefault="00181921">
      <w:pPr>
        <w:spacing w:before="40" w:after="40"/>
      </w:pPr>
    </w:p>
    <w:p w14:paraId="1C10A166" w14:textId="77777777" w:rsidR="00181921" w:rsidRDefault="00000000">
      <w:pPr>
        <w:spacing w:before="40" w:after="40"/>
      </w:pPr>
      <w:r>
        <w:rPr>
          <w:b/>
          <w:bCs/>
        </w:rPr>
        <w:t>Evidence:</w:t>
      </w:r>
    </w:p>
    <w:p w14:paraId="450C7B1B" w14:textId="77777777" w:rsidR="00181921" w:rsidRDefault="00000000">
      <w:pPr>
        <w:pStyle w:val="ListParagraph"/>
        <w:numPr>
          <w:ilvl w:val="0"/>
          <w:numId w:val="2"/>
        </w:numPr>
        <w:spacing w:before="30" w:after="30"/>
      </w:pPr>
      <w:proofErr w:type="spellStart"/>
      <w:r>
        <w:t>Emrosi</w:t>
      </w:r>
      <w:proofErr w:type="spellEnd"/>
      <w:r>
        <w:t xml:space="preserve"> </w:t>
      </w:r>
      <w:proofErr w:type="spellStart"/>
      <w:r>
        <w:t>TRx</w:t>
      </w:r>
      <w:proofErr w:type="spellEnd"/>
      <w:r>
        <w:t xml:space="preserve"> trajectory: Initial fills (late March 2025) → Q2 2025: 7,394 total Rx → Q3 2025: 18,198 total Rx (+146% QoQ). This is exceptional Rx acceleration for a newly launched specialty brand.</w:t>
      </w:r>
    </w:p>
    <w:p w14:paraId="0ADB855E" w14:textId="77777777" w:rsidR="00181921" w:rsidRDefault="00000000">
      <w:pPr>
        <w:pStyle w:val="ListParagraph"/>
        <w:numPr>
          <w:ilvl w:val="0"/>
          <w:numId w:val="2"/>
        </w:numPr>
        <w:spacing w:before="30" w:after="30"/>
      </w:pPr>
      <w:r>
        <w:t>Net revenue per Rx (</w:t>
      </w:r>
      <w:proofErr w:type="spellStart"/>
      <w:r>
        <w:t>Emrosi</w:t>
      </w:r>
      <w:proofErr w:type="spellEnd"/>
      <w:r>
        <w:t xml:space="preserve"> Q3): $4.9M / 18,198 = ~$269/Rx — as noted in SP-1, this implies either a high G2N spread or mixed fill days. This metric should be tracked quarterly as a proxy for G2N improvement.</w:t>
      </w:r>
    </w:p>
    <w:p w14:paraId="2298105C" w14:textId="77777777" w:rsidR="00181921" w:rsidRDefault="00000000">
      <w:pPr>
        <w:pStyle w:val="ListParagraph"/>
        <w:numPr>
          <w:ilvl w:val="0"/>
          <w:numId w:val="2"/>
        </w:numPr>
        <w:spacing w:before="30" w:after="30"/>
      </w:pPr>
      <w:r>
        <w:t>Prescriber base expansion: ~1,800 prescribers at end of Q2 2025, targeting 3,200 oral rosacea writers in Phase 1. Penetration rate of ~56% of the addressable physician target universe by end of Q2 — above expectations for a Year 1 launch.</w:t>
      </w:r>
    </w:p>
    <w:p w14:paraId="3EB86F84" w14:textId="77777777" w:rsidR="00181921" w:rsidRDefault="00000000">
      <w:pPr>
        <w:pStyle w:val="ListParagraph"/>
        <w:numPr>
          <w:ilvl w:val="0"/>
          <w:numId w:val="2"/>
        </w:numPr>
        <w:spacing w:before="30" w:after="30"/>
      </w:pPr>
      <w:r>
        <w:t>Refill rates: Management cited 'expanding refill rates' as a key focus in Q3 2025 call. Improving refill rates (persistence) would be a leading indicator of annualized revenue realization. Exact refill rate data not publicly disclosed.</w:t>
      </w:r>
    </w:p>
    <w:p w14:paraId="449AE97A" w14:textId="77777777" w:rsidR="00181921" w:rsidRDefault="00000000">
      <w:pPr>
        <w:pStyle w:val="ListParagraph"/>
        <w:numPr>
          <w:ilvl w:val="0"/>
          <w:numId w:val="2"/>
        </w:numPr>
        <w:spacing w:before="30" w:after="30"/>
      </w:pPr>
      <w:proofErr w:type="spellStart"/>
      <w:r>
        <w:t>Qbrexza</w:t>
      </w:r>
      <w:proofErr w:type="spellEnd"/>
      <w:r>
        <w:t xml:space="preserve"> Rx: Maintaining growth despite </w:t>
      </w:r>
      <w:proofErr w:type="spellStart"/>
      <w:r>
        <w:t>Sofdra</w:t>
      </w:r>
      <w:proofErr w:type="spellEnd"/>
      <w:r>
        <w:t xml:space="preserve"> competition — management reported sequential stability in Q3 2025, though YoY data not separately broken out for </w:t>
      </w:r>
      <w:proofErr w:type="spellStart"/>
      <w:r>
        <w:t>Qbrexza</w:t>
      </w:r>
      <w:proofErr w:type="spellEnd"/>
      <w:r>
        <w:t>.</w:t>
      </w:r>
    </w:p>
    <w:p w14:paraId="05FBD4F3" w14:textId="77777777" w:rsidR="00181921" w:rsidRDefault="00000000">
      <w:pPr>
        <w:pStyle w:val="ListParagraph"/>
        <w:numPr>
          <w:ilvl w:val="0"/>
          <w:numId w:val="2"/>
        </w:numPr>
        <w:spacing w:before="30" w:after="30"/>
      </w:pPr>
      <w:r>
        <w:t>Payer coverage as leading indicator: 3rd GPO contract expected early 2026 — this will expand prescriber access in previously restricted plans and is likely to drive another step-up in Rx growth.</w:t>
      </w:r>
    </w:p>
    <w:p w14:paraId="292529C6" w14:textId="77777777" w:rsidR="00181921" w:rsidRDefault="00181921">
      <w:pPr>
        <w:spacing w:before="30" w:after="30"/>
      </w:pPr>
    </w:p>
    <w:p w14:paraId="11C04CF3" w14:textId="77777777" w:rsidR="00181921" w:rsidRDefault="00000000">
      <w:pPr>
        <w:spacing w:before="40" w:after="40"/>
      </w:pPr>
      <w:r>
        <w:rPr>
          <w:i/>
          <w:iCs/>
        </w:rPr>
        <w:t xml:space="preserve">Score Rationale: </w:t>
      </w:r>
      <w:proofErr w:type="spellStart"/>
      <w:r>
        <w:rPr>
          <w:i/>
          <w:iCs/>
        </w:rPr>
        <w:t>Emrosi</w:t>
      </w:r>
      <w:proofErr w:type="spellEnd"/>
      <w:r>
        <w:rPr>
          <w:i/>
          <w:iCs/>
        </w:rPr>
        <w:t xml:space="preserve"> Rx trajectory is genuinely impressive — 146% QoQ growth in Q3 is well above typical specialty pharma launch curves. Prescriber base penetration is ahead of management's internal Phase 1 expectations. The 3rd GPO contracting is a near-term positive catalyst for Rx acceleration. Score 4.</w:t>
      </w:r>
    </w:p>
    <w:p w14:paraId="1954CCB6"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181921" w14:paraId="6E71E7AB"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vAlign w:val="center"/>
          </w:tcPr>
          <w:p w14:paraId="653E3210" w14:textId="77777777" w:rsidR="00181921" w:rsidRDefault="00000000">
            <w:r>
              <w:rPr>
                <w:b/>
                <w:bCs/>
                <w:color w:val="1B3A5C"/>
              </w:rPr>
              <w:t>SP-4 | STRATEGIC VALUE &amp; EXIT OPTIONALITY</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80" w:type="dxa"/>
              <w:left w:w="120" w:type="dxa"/>
              <w:bottom w:w="80" w:type="dxa"/>
              <w:right w:w="120" w:type="dxa"/>
            </w:tcMar>
            <w:vAlign w:val="center"/>
          </w:tcPr>
          <w:p w14:paraId="1E1388C0" w14:textId="77777777" w:rsidR="00181921" w:rsidRDefault="00000000">
            <w:pPr>
              <w:jc w:val="center"/>
            </w:pPr>
            <w:r>
              <w:rPr>
                <w:b/>
                <w:bCs/>
                <w:color w:val="FFFFFF"/>
                <w:sz w:val="22"/>
                <w:szCs w:val="22"/>
              </w:rPr>
              <w:t>3 / 5</w:t>
            </w:r>
          </w:p>
        </w:tc>
      </w:tr>
    </w:tbl>
    <w:p w14:paraId="22D1749F" w14:textId="77777777" w:rsidR="00181921" w:rsidRDefault="00181921">
      <w:pPr>
        <w:spacing w:before="40" w:after="40"/>
      </w:pPr>
    </w:p>
    <w:p w14:paraId="5873C802" w14:textId="77777777" w:rsidR="00181921" w:rsidRDefault="00000000">
      <w:pPr>
        <w:spacing w:before="40" w:after="40"/>
      </w:pPr>
      <w:r>
        <w:rPr>
          <w:b/>
          <w:bCs/>
        </w:rPr>
        <w:t>M&amp;A Comparable Universe:</w:t>
      </w:r>
    </w:p>
    <w:p w14:paraId="6CCCE32B" w14:textId="77777777" w:rsidR="00181921" w:rsidRDefault="00000000">
      <w:pPr>
        <w:pStyle w:val="ListParagraph"/>
        <w:numPr>
          <w:ilvl w:val="0"/>
          <w:numId w:val="2"/>
        </w:numPr>
        <w:spacing w:before="30" w:after="30"/>
      </w:pPr>
      <w:r>
        <w:t>Specialty dermatology has been an active M&amp;A sector: Galderma's IPO (2024), UCB's acquisition of Ra Pharmaceuticals, Almirall's derm acquisitions, Bausch Health's ongoing portfolio activity, LEO Pharma's specialty derm builds</w:t>
      </w:r>
    </w:p>
    <w:p w14:paraId="0B33DEC9" w14:textId="77777777" w:rsidR="00181921" w:rsidRDefault="00000000">
      <w:pPr>
        <w:pStyle w:val="ListParagraph"/>
        <w:numPr>
          <w:ilvl w:val="0"/>
          <w:numId w:val="2"/>
        </w:numPr>
        <w:spacing w:before="30" w:after="30"/>
      </w:pPr>
      <w:r>
        <w:t>Relevant precedent transactions: Specialty derm brands have transacted at 3–6x revenue for growing branded portfolios; acne/rosacea-focused assets with IP protection have commanded premiums</w:t>
      </w:r>
    </w:p>
    <w:p w14:paraId="5FF689BA" w14:textId="77777777" w:rsidR="00181921" w:rsidRDefault="00000000">
      <w:pPr>
        <w:pStyle w:val="ListParagraph"/>
        <w:numPr>
          <w:ilvl w:val="0"/>
          <w:numId w:val="2"/>
        </w:numPr>
        <w:spacing w:before="30" w:after="30"/>
      </w:pPr>
      <w:r>
        <w:lastRenderedPageBreak/>
        <w:t>Journey Medical revenue run rate (annualized from Q3): ~$70–75M. At 3x revenue multiple, implied enterprise value of $210–225M; at current market cap (~$185M at $7.45/share × ~25M shares), the stock is already pricing in modest growth — takeout premium would need to be 40–60%+ to make sense for FBIO</w:t>
      </w:r>
    </w:p>
    <w:p w14:paraId="100E9411" w14:textId="77777777" w:rsidR="00181921" w:rsidRDefault="00181921">
      <w:pPr>
        <w:spacing w:before="30" w:after="30"/>
      </w:pPr>
    </w:p>
    <w:p w14:paraId="1A530E72" w14:textId="77777777" w:rsidR="00181921" w:rsidRDefault="00000000">
      <w:pPr>
        <w:spacing w:before="40" w:after="40"/>
      </w:pPr>
      <w:proofErr w:type="gramStart"/>
      <w:r>
        <w:rPr>
          <w:b/>
          <w:bCs/>
        </w:rPr>
        <w:t>Acquirer</w:t>
      </w:r>
      <w:proofErr w:type="gramEnd"/>
      <w:r>
        <w:rPr>
          <w:b/>
          <w:bCs/>
        </w:rPr>
        <w:t xml:space="preserve"> Universe:</w:t>
      </w:r>
    </w:p>
    <w:p w14:paraId="7F5DDCB7" w14:textId="77777777" w:rsidR="00181921" w:rsidRDefault="00000000">
      <w:pPr>
        <w:pStyle w:val="ListParagraph"/>
        <w:numPr>
          <w:ilvl w:val="0"/>
          <w:numId w:val="2"/>
        </w:numPr>
        <w:spacing w:before="30" w:after="30"/>
      </w:pPr>
      <w:r>
        <w:t>Strategic acquirers: Large pharma with derm divisions (Galderma — recently public, unlikely buyer; Bausch Health derm unit; LEO Pharma; Sun Pharma, which already acquired FBIO subsidiary Checkpoint Therapeutics in May 2025)</w:t>
      </w:r>
    </w:p>
    <w:p w14:paraId="4EE94640" w14:textId="77777777" w:rsidR="00181921" w:rsidRDefault="00000000">
      <w:pPr>
        <w:pStyle w:val="ListParagraph"/>
        <w:numPr>
          <w:ilvl w:val="0"/>
          <w:numId w:val="2"/>
        </w:numPr>
        <w:spacing w:before="30" w:after="30"/>
      </w:pPr>
      <w:r>
        <w:t xml:space="preserve">PE-backed specialty pharma rollups: Historically active in specialty derm (e.g., </w:t>
      </w:r>
      <w:proofErr w:type="spellStart"/>
      <w:r>
        <w:t>Noven</w:t>
      </w:r>
      <w:proofErr w:type="spellEnd"/>
      <w:r>
        <w:t>, Almirall); Journey's commercial infrastructure is an attractive platform acquisition</w:t>
      </w:r>
    </w:p>
    <w:p w14:paraId="6638E322" w14:textId="77777777" w:rsidR="00181921" w:rsidRDefault="00000000">
      <w:pPr>
        <w:pStyle w:val="ListParagraph"/>
        <w:numPr>
          <w:ilvl w:val="0"/>
          <w:numId w:val="2"/>
        </w:numPr>
        <w:spacing w:before="30" w:after="30"/>
      </w:pPr>
      <w:r>
        <w:t>Fortress Biotech complication: FBIO as majority owner creates structural complexity for any clean acquisition. A strategic buyer would need to negotiate terms with FBIO, not just public DERM shareholders. FBIO's management fee stream and royalty rights would need to be separately resolved.</w:t>
      </w:r>
    </w:p>
    <w:p w14:paraId="2F6E800C" w14:textId="77777777" w:rsidR="00181921" w:rsidRDefault="00181921">
      <w:pPr>
        <w:spacing w:before="30" w:after="30"/>
      </w:pPr>
    </w:p>
    <w:p w14:paraId="3D330707" w14:textId="77777777" w:rsidR="00181921" w:rsidRDefault="00000000">
      <w:pPr>
        <w:spacing w:before="40" w:after="40"/>
      </w:pPr>
      <w:r>
        <w:rPr>
          <w:i/>
          <w:iCs/>
        </w:rPr>
        <w:t xml:space="preserve">Score Rationale: Asset quality and portfolio breadth make Journey Medical an attractive strategic target — </w:t>
      </w:r>
      <w:proofErr w:type="spellStart"/>
      <w:r>
        <w:rPr>
          <w:i/>
          <w:iCs/>
        </w:rPr>
        <w:t>Emrosi</w:t>
      </w:r>
      <w:proofErr w:type="spellEnd"/>
      <w:r>
        <w:rPr>
          <w:i/>
          <w:iCs/>
        </w:rPr>
        <w:t xml:space="preserve"> + </w:t>
      </w:r>
      <w:proofErr w:type="spellStart"/>
      <w:r>
        <w:rPr>
          <w:i/>
          <w:iCs/>
        </w:rPr>
        <w:t>Qbrexza</w:t>
      </w:r>
      <w:proofErr w:type="spellEnd"/>
      <w:r>
        <w:rPr>
          <w:i/>
          <w:iCs/>
        </w:rPr>
        <w:t xml:space="preserve"> + </w:t>
      </w:r>
      <w:proofErr w:type="spellStart"/>
      <w:r>
        <w:rPr>
          <w:i/>
          <w:iCs/>
        </w:rPr>
        <w:t>Amzeeq</w:t>
      </w:r>
      <w:proofErr w:type="spellEnd"/>
      <w:r>
        <w:rPr>
          <w:i/>
          <w:iCs/>
        </w:rPr>
        <w:t xml:space="preserve"> + a built-out derm salesforce is a compelling acquisition bundle. However, the Fortress ownership structure creates meaningful structural friction for a clean acquisition and warrants a complexity discount. Score 3.</w:t>
      </w:r>
    </w:p>
    <w:p w14:paraId="69A179FF" w14:textId="77777777" w:rsidR="00181921" w:rsidRDefault="00000000">
      <w:r>
        <w:br w:type="page"/>
      </w:r>
    </w:p>
    <w:p w14:paraId="72D21F66" w14:textId="77777777" w:rsidR="00181921" w:rsidRDefault="00000000">
      <w:pPr>
        <w:pStyle w:val="Heading1"/>
      </w:pPr>
      <w:r>
        <w:lastRenderedPageBreak/>
        <w:t>SCORECARD SUMMARY</w:t>
      </w:r>
    </w:p>
    <w:p w14:paraId="020B7E40" w14:textId="77777777" w:rsidR="00181921" w:rsidRDefault="00181921">
      <w:pPr>
        <w:pBdr>
          <w:bottom w:val="single" w:sz="6" w:space="1" w:color="1B3A5C"/>
        </w:pBdr>
        <w:spacing w:before="80" w:after="80"/>
      </w:pPr>
    </w:p>
    <w:p w14:paraId="0DF709D6" w14:textId="77777777" w:rsidR="00181921" w:rsidRDefault="0018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320"/>
        <w:gridCol w:w="2160"/>
        <w:gridCol w:w="2160"/>
      </w:tblGrid>
      <w:tr w:rsidR="00181921" w14:paraId="438F2C35" w14:textId="77777777">
        <w:tblPrEx>
          <w:tblCellMar>
            <w:top w:w="0" w:type="dxa"/>
            <w:bottom w:w="0" w:type="dxa"/>
          </w:tblCellMar>
        </w:tblPrEx>
        <w:tc>
          <w:tcPr>
            <w:tcW w:w="72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59410D24" w14:textId="77777777" w:rsidR="00181921" w:rsidRDefault="00000000">
            <w:pPr>
              <w:jc w:val="center"/>
            </w:pPr>
            <w:r>
              <w:rPr>
                <w:b/>
                <w:bCs/>
                <w:color w:val="FFFFFF"/>
                <w:sz w:val="18"/>
                <w:szCs w:val="18"/>
              </w:rPr>
              <w:t>#</w:t>
            </w:r>
          </w:p>
        </w:tc>
        <w:tc>
          <w:tcPr>
            <w:tcW w:w="432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2FA209FA" w14:textId="77777777" w:rsidR="00181921" w:rsidRDefault="00000000">
            <w:r>
              <w:rPr>
                <w:b/>
                <w:bCs/>
                <w:color w:val="FFFFFF"/>
                <w:sz w:val="18"/>
                <w:szCs w:val="18"/>
              </w:rPr>
              <w:t>Pillar</w:t>
            </w:r>
          </w:p>
        </w:tc>
        <w:tc>
          <w:tcPr>
            <w:tcW w:w="21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766584DF" w14:textId="77777777" w:rsidR="00181921" w:rsidRDefault="00000000">
            <w:pPr>
              <w:jc w:val="center"/>
            </w:pPr>
            <w:r>
              <w:rPr>
                <w:b/>
                <w:bCs/>
                <w:color w:val="FFFFFF"/>
                <w:sz w:val="18"/>
                <w:szCs w:val="18"/>
              </w:rPr>
              <w:t>Score</w:t>
            </w:r>
          </w:p>
        </w:tc>
        <w:tc>
          <w:tcPr>
            <w:tcW w:w="21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2FA76309" w14:textId="77777777" w:rsidR="00181921" w:rsidRDefault="00000000">
            <w:r>
              <w:rPr>
                <w:b/>
                <w:bCs/>
                <w:color w:val="FFFFFF"/>
                <w:sz w:val="18"/>
                <w:szCs w:val="18"/>
              </w:rPr>
              <w:t>Signal</w:t>
            </w:r>
          </w:p>
        </w:tc>
      </w:tr>
      <w:tr w:rsidR="00181921" w14:paraId="3209D24F"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669FC238" w14:textId="77777777" w:rsidR="00181921" w:rsidRDefault="00000000">
            <w:pPr>
              <w:jc w:val="center"/>
            </w:pPr>
            <w:r>
              <w:rPr>
                <w:b/>
                <w:bCs/>
                <w:color w:val="1A6B72"/>
                <w:sz w:val="18"/>
                <w:szCs w:val="18"/>
              </w:rPr>
              <w:t>Q1</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9EADDCD" w14:textId="77777777" w:rsidR="00181921" w:rsidRDefault="00000000">
            <w:r>
              <w:rPr>
                <w:sz w:val="18"/>
                <w:szCs w:val="18"/>
              </w:rPr>
              <w:t>Pricing Power &amp; Reimbursement Strength</w:t>
            </w:r>
          </w:p>
        </w:tc>
        <w:tc>
          <w:tcPr>
            <w:tcW w:w="2160" w:type="dxa"/>
            <w:tcBorders>
              <w:top w:val="single" w:sz="1" w:space="0" w:color="E0E0E0"/>
              <w:left w:val="single" w:sz="1" w:space="0" w:color="E0E0E0"/>
              <w:bottom w:val="single" w:sz="1" w:space="0" w:color="E0E0E0"/>
              <w:right w:val="single" w:sz="1" w:space="0" w:color="E0E0E0"/>
            </w:tcBorders>
            <w:shd w:val="clear" w:color="auto" w:fill="996600"/>
            <w:tcMar>
              <w:top w:w="60" w:type="dxa"/>
              <w:left w:w="80" w:type="dxa"/>
              <w:bottom w:w="60" w:type="dxa"/>
              <w:right w:w="80" w:type="dxa"/>
            </w:tcMar>
          </w:tcPr>
          <w:p w14:paraId="624BB3D3" w14:textId="77777777" w:rsidR="00181921" w:rsidRDefault="00000000">
            <w:pPr>
              <w:jc w:val="center"/>
            </w:pPr>
            <w:r>
              <w:rPr>
                <w:b/>
                <w:bCs/>
                <w:color w:val="FFFFFF"/>
                <w:sz w:val="18"/>
                <w:szCs w:val="18"/>
              </w:rPr>
              <w:t>3/5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D3E81E4" w14:textId="77777777" w:rsidR="00181921" w:rsidRDefault="00000000">
            <w:r>
              <w:rPr>
                <w:i/>
                <w:iCs/>
                <w:sz w:val="17"/>
                <w:szCs w:val="17"/>
              </w:rPr>
              <w:t>Adequate — G2N opacity constrains conviction</w:t>
            </w:r>
          </w:p>
        </w:tc>
      </w:tr>
      <w:tr w:rsidR="00181921" w14:paraId="4591E07E"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3DD5E94E" w14:textId="77777777" w:rsidR="00181921" w:rsidRDefault="00000000">
            <w:pPr>
              <w:jc w:val="center"/>
            </w:pPr>
            <w:r>
              <w:rPr>
                <w:b/>
                <w:bCs/>
                <w:color w:val="1A6B72"/>
                <w:sz w:val="18"/>
                <w:szCs w:val="18"/>
              </w:rPr>
              <w:t>Q2</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2642F8C" w14:textId="77777777" w:rsidR="00181921" w:rsidRDefault="00000000">
            <w:r>
              <w:rPr>
                <w:sz w:val="18"/>
                <w:szCs w:val="18"/>
              </w:rPr>
              <w:t>Clinical Differentiation &amp; Stickiness</w:t>
            </w:r>
          </w:p>
        </w:tc>
        <w:tc>
          <w:tcPr>
            <w:tcW w:w="2160" w:type="dxa"/>
            <w:tcBorders>
              <w:top w:val="single" w:sz="1" w:space="0" w:color="E0E0E0"/>
              <w:left w:val="single" w:sz="1" w:space="0" w:color="E0E0E0"/>
              <w:bottom w:val="single" w:sz="1" w:space="0" w:color="E0E0E0"/>
              <w:right w:val="single" w:sz="1" w:space="0" w:color="E0E0E0"/>
            </w:tcBorders>
            <w:shd w:val="clear" w:color="auto" w:fill="1F6B3A"/>
            <w:tcMar>
              <w:top w:w="60" w:type="dxa"/>
              <w:left w:w="80" w:type="dxa"/>
              <w:bottom w:w="60" w:type="dxa"/>
              <w:right w:w="80" w:type="dxa"/>
            </w:tcMar>
          </w:tcPr>
          <w:p w14:paraId="6881025F" w14:textId="77777777" w:rsidR="00181921" w:rsidRDefault="00000000">
            <w:pPr>
              <w:jc w:val="center"/>
            </w:pPr>
            <w:r>
              <w:rPr>
                <w:b/>
                <w:bCs/>
                <w:color w:val="FFFFFF"/>
                <w:sz w:val="18"/>
                <w:szCs w:val="18"/>
              </w:rPr>
              <w:t>4/5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844E1A9" w14:textId="77777777" w:rsidR="00181921" w:rsidRDefault="00000000">
            <w:r>
              <w:rPr>
                <w:i/>
                <w:iCs/>
                <w:sz w:val="17"/>
                <w:szCs w:val="17"/>
              </w:rPr>
              <w:t>Strong — head-to-head superiority vs. SoC</w:t>
            </w:r>
          </w:p>
        </w:tc>
      </w:tr>
      <w:tr w:rsidR="00181921" w14:paraId="1A4FE4B8"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085E2249" w14:textId="77777777" w:rsidR="00181921" w:rsidRDefault="00000000">
            <w:pPr>
              <w:jc w:val="center"/>
            </w:pPr>
            <w:r>
              <w:rPr>
                <w:b/>
                <w:bCs/>
                <w:color w:val="1A6B72"/>
                <w:sz w:val="18"/>
                <w:szCs w:val="18"/>
              </w:rPr>
              <w:t>Q3</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1E55FC33" w14:textId="77777777" w:rsidR="00181921" w:rsidRDefault="00000000">
            <w:r>
              <w:rPr>
                <w:sz w:val="18"/>
                <w:szCs w:val="18"/>
              </w:rPr>
              <w:t>Moat Dynamics &amp; IP Protection</w:t>
            </w:r>
          </w:p>
        </w:tc>
        <w:tc>
          <w:tcPr>
            <w:tcW w:w="2160" w:type="dxa"/>
            <w:tcBorders>
              <w:top w:val="single" w:sz="1" w:space="0" w:color="E0E0E0"/>
              <w:left w:val="single" w:sz="1" w:space="0" w:color="E0E0E0"/>
              <w:bottom w:val="single" w:sz="1" w:space="0" w:color="E0E0E0"/>
              <w:right w:val="single" w:sz="1" w:space="0" w:color="E0E0E0"/>
            </w:tcBorders>
            <w:shd w:val="clear" w:color="auto" w:fill="996600"/>
            <w:tcMar>
              <w:top w:w="60" w:type="dxa"/>
              <w:left w:w="80" w:type="dxa"/>
              <w:bottom w:w="60" w:type="dxa"/>
              <w:right w:w="80" w:type="dxa"/>
            </w:tcMar>
          </w:tcPr>
          <w:p w14:paraId="63B8F469" w14:textId="77777777" w:rsidR="00181921" w:rsidRDefault="00000000">
            <w:pPr>
              <w:jc w:val="center"/>
            </w:pPr>
            <w:r>
              <w:rPr>
                <w:b/>
                <w:bCs/>
                <w:color w:val="FFFFFF"/>
                <w:sz w:val="18"/>
                <w:szCs w:val="18"/>
              </w:rPr>
              <w:t>3/5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9854FB6" w14:textId="77777777" w:rsidR="00181921" w:rsidRDefault="00000000">
            <w:r>
              <w:rPr>
                <w:i/>
                <w:iCs/>
                <w:sz w:val="17"/>
                <w:szCs w:val="17"/>
              </w:rPr>
              <w:t xml:space="preserve">Adequate — </w:t>
            </w:r>
            <w:proofErr w:type="spellStart"/>
            <w:r>
              <w:rPr>
                <w:i/>
                <w:iCs/>
                <w:sz w:val="17"/>
                <w:szCs w:val="17"/>
              </w:rPr>
              <w:t>Zilxi</w:t>
            </w:r>
            <w:proofErr w:type="spellEnd"/>
            <w:r>
              <w:rPr>
                <w:i/>
                <w:iCs/>
                <w:sz w:val="17"/>
                <w:szCs w:val="17"/>
              </w:rPr>
              <w:t xml:space="preserve"> cliff near; compounding risk</w:t>
            </w:r>
          </w:p>
        </w:tc>
      </w:tr>
      <w:tr w:rsidR="00181921" w14:paraId="76601EA5"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06061408" w14:textId="77777777" w:rsidR="00181921" w:rsidRDefault="00000000">
            <w:pPr>
              <w:jc w:val="center"/>
            </w:pPr>
            <w:r>
              <w:rPr>
                <w:b/>
                <w:bCs/>
                <w:color w:val="1A6B72"/>
                <w:sz w:val="18"/>
                <w:szCs w:val="18"/>
              </w:rPr>
              <w:t>Q4</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323B1853" w14:textId="77777777" w:rsidR="00181921" w:rsidRDefault="00000000">
            <w:r>
              <w:rPr>
                <w:sz w:val="18"/>
                <w:szCs w:val="18"/>
              </w:rPr>
              <w:t>Unit Economics &amp; Gross Margin Trajectory</w:t>
            </w:r>
          </w:p>
        </w:tc>
        <w:tc>
          <w:tcPr>
            <w:tcW w:w="2160" w:type="dxa"/>
            <w:tcBorders>
              <w:top w:val="single" w:sz="1" w:space="0" w:color="E0E0E0"/>
              <w:left w:val="single" w:sz="1" w:space="0" w:color="E0E0E0"/>
              <w:bottom w:val="single" w:sz="1" w:space="0" w:color="E0E0E0"/>
              <w:right w:val="single" w:sz="1" w:space="0" w:color="E0E0E0"/>
            </w:tcBorders>
            <w:shd w:val="clear" w:color="auto" w:fill="996600"/>
            <w:tcMar>
              <w:top w:w="60" w:type="dxa"/>
              <w:left w:w="80" w:type="dxa"/>
              <w:bottom w:w="60" w:type="dxa"/>
              <w:right w:w="80" w:type="dxa"/>
            </w:tcMar>
          </w:tcPr>
          <w:p w14:paraId="20210271" w14:textId="77777777" w:rsidR="00181921" w:rsidRDefault="00000000">
            <w:pPr>
              <w:jc w:val="center"/>
            </w:pPr>
            <w:r>
              <w:rPr>
                <w:b/>
                <w:bCs/>
                <w:color w:val="FFFFFF"/>
                <w:sz w:val="18"/>
                <w:szCs w:val="18"/>
              </w:rPr>
              <w:t>3/5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D677E2C" w14:textId="77777777" w:rsidR="00181921" w:rsidRDefault="00000000">
            <w:r>
              <w:rPr>
                <w:i/>
                <w:iCs/>
                <w:sz w:val="17"/>
                <w:szCs w:val="17"/>
              </w:rPr>
              <w:t>Improving — royalty ceiling is structural</w:t>
            </w:r>
          </w:p>
        </w:tc>
      </w:tr>
      <w:tr w:rsidR="00181921" w14:paraId="22396730"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608496C7" w14:textId="77777777" w:rsidR="00181921" w:rsidRDefault="00000000">
            <w:pPr>
              <w:jc w:val="center"/>
            </w:pPr>
            <w:r>
              <w:rPr>
                <w:b/>
                <w:bCs/>
                <w:color w:val="1A6B72"/>
                <w:sz w:val="18"/>
                <w:szCs w:val="18"/>
              </w:rPr>
              <w:t>Q5</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9992D6D" w14:textId="77777777" w:rsidR="00181921" w:rsidRDefault="00000000">
            <w:r>
              <w:rPr>
                <w:sz w:val="18"/>
                <w:szCs w:val="18"/>
              </w:rPr>
              <w:t>Incremental Margin &amp; Path to Breakeven</w:t>
            </w:r>
          </w:p>
        </w:tc>
        <w:tc>
          <w:tcPr>
            <w:tcW w:w="2160" w:type="dxa"/>
            <w:tcBorders>
              <w:top w:val="single" w:sz="1" w:space="0" w:color="E0E0E0"/>
              <w:left w:val="single" w:sz="1" w:space="0" w:color="E0E0E0"/>
              <w:bottom w:val="single" w:sz="1" w:space="0" w:color="E0E0E0"/>
              <w:right w:val="single" w:sz="1" w:space="0" w:color="E0E0E0"/>
            </w:tcBorders>
            <w:shd w:val="clear" w:color="auto" w:fill="996600"/>
            <w:tcMar>
              <w:top w:w="60" w:type="dxa"/>
              <w:left w:w="80" w:type="dxa"/>
              <w:bottom w:w="60" w:type="dxa"/>
              <w:right w:w="80" w:type="dxa"/>
            </w:tcMar>
          </w:tcPr>
          <w:p w14:paraId="6470A655" w14:textId="77777777" w:rsidR="00181921" w:rsidRDefault="00000000">
            <w:pPr>
              <w:jc w:val="center"/>
            </w:pPr>
            <w:r>
              <w:rPr>
                <w:b/>
                <w:bCs/>
                <w:color w:val="FFFFFF"/>
                <w:sz w:val="18"/>
                <w:szCs w:val="18"/>
              </w:rPr>
              <w:t>3/5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50A9EEC2" w14:textId="77777777" w:rsidR="00181921" w:rsidRDefault="00000000">
            <w:r>
              <w:rPr>
                <w:i/>
                <w:iCs/>
                <w:sz w:val="17"/>
                <w:szCs w:val="17"/>
              </w:rPr>
              <w:t xml:space="preserve">Approaching — 1–2 </w:t>
            </w:r>
            <w:proofErr w:type="spellStart"/>
            <w:r>
              <w:rPr>
                <w:i/>
                <w:iCs/>
                <w:sz w:val="17"/>
                <w:szCs w:val="17"/>
              </w:rPr>
              <w:t>qtrs</w:t>
            </w:r>
            <w:proofErr w:type="spellEnd"/>
            <w:r>
              <w:rPr>
                <w:i/>
                <w:iCs/>
                <w:sz w:val="17"/>
                <w:szCs w:val="17"/>
              </w:rPr>
              <w:t xml:space="preserve"> to sustained EBITDA+</w:t>
            </w:r>
          </w:p>
        </w:tc>
      </w:tr>
      <w:tr w:rsidR="00181921" w14:paraId="76B489E8"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0F3866B2" w14:textId="77777777" w:rsidR="00181921" w:rsidRDefault="00000000">
            <w:pPr>
              <w:jc w:val="center"/>
            </w:pPr>
            <w:r>
              <w:rPr>
                <w:b/>
                <w:bCs/>
                <w:color w:val="1A6B72"/>
                <w:sz w:val="18"/>
                <w:szCs w:val="18"/>
              </w:rPr>
              <w:t>Q6</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1C86E5E" w14:textId="77777777" w:rsidR="00181921" w:rsidRDefault="00000000">
            <w:r>
              <w:rPr>
                <w:sz w:val="18"/>
                <w:szCs w:val="18"/>
              </w:rPr>
              <w:t>Cash Runway &amp; Dilution Risk</w:t>
            </w:r>
          </w:p>
        </w:tc>
        <w:tc>
          <w:tcPr>
            <w:tcW w:w="2160" w:type="dxa"/>
            <w:tcBorders>
              <w:top w:val="single" w:sz="1" w:space="0" w:color="E0E0E0"/>
              <w:left w:val="single" w:sz="1" w:space="0" w:color="E0E0E0"/>
              <w:bottom w:val="single" w:sz="1" w:space="0" w:color="E0E0E0"/>
              <w:right w:val="single" w:sz="1" w:space="0" w:color="E0E0E0"/>
            </w:tcBorders>
            <w:shd w:val="clear" w:color="auto" w:fill="996600"/>
            <w:tcMar>
              <w:top w:w="60" w:type="dxa"/>
              <w:left w:w="80" w:type="dxa"/>
              <w:bottom w:w="60" w:type="dxa"/>
              <w:right w:w="80" w:type="dxa"/>
            </w:tcMar>
          </w:tcPr>
          <w:p w14:paraId="013ECC5E" w14:textId="77777777" w:rsidR="00181921" w:rsidRDefault="00000000">
            <w:pPr>
              <w:jc w:val="center"/>
            </w:pPr>
            <w:r>
              <w:rPr>
                <w:b/>
                <w:bCs/>
                <w:color w:val="FFFFFF"/>
                <w:sz w:val="18"/>
                <w:szCs w:val="18"/>
              </w:rPr>
              <w:t>3/5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132D8D0" w14:textId="77777777" w:rsidR="00181921" w:rsidRDefault="00000000">
            <w:r>
              <w:rPr>
                <w:i/>
                <w:iCs/>
                <w:sz w:val="17"/>
                <w:szCs w:val="17"/>
              </w:rPr>
              <w:t>Manageable — cash building; SWK terms opaque</w:t>
            </w:r>
          </w:p>
        </w:tc>
      </w:tr>
      <w:tr w:rsidR="00181921" w14:paraId="16F6B320"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071B7B07" w14:textId="77777777" w:rsidR="00181921" w:rsidRDefault="00000000">
            <w:pPr>
              <w:jc w:val="center"/>
            </w:pPr>
            <w:r>
              <w:rPr>
                <w:b/>
                <w:bCs/>
                <w:color w:val="1A6B72"/>
                <w:sz w:val="18"/>
                <w:szCs w:val="18"/>
              </w:rPr>
              <w:t>Q7</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44B64D4" w14:textId="77777777" w:rsidR="00181921" w:rsidRDefault="00000000">
            <w:r>
              <w:rPr>
                <w:sz w:val="18"/>
                <w:szCs w:val="18"/>
              </w:rPr>
              <w:t>Revenue Quality &amp; Concentration</w:t>
            </w:r>
          </w:p>
        </w:tc>
        <w:tc>
          <w:tcPr>
            <w:tcW w:w="2160" w:type="dxa"/>
            <w:tcBorders>
              <w:top w:val="single" w:sz="1" w:space="0" w:color="E0E0E0"/>
              <w:left w:val="single" w:sz="1" w:space="0" w:color="E0E0E0"/>
              <w:bottom w:val="single" w:sz="1" w:space="0" w:color="E0E0E0"/>
              <w:right w:val="single" w:sz="1" w:space="0" w:color="E0E0E0"/>
            </w:tcBorders>
            <w:shd w:val="clear" w:color="auto" w:fill="996600"/>
            <w:tcMar>
              <w:top w:w="60" w:type="dxa"/>
              <w:left w:w="80" w:type="dxa"/>
              <w:bottom w:w="60" w:type="dxa"/>
              <w:right w:w="80" w:type="dxa"/>
            </w:tcMar>
          </w:tcPr>
          <w:p w14:paraId="1B67F614" w14:textId="77777777" w:rsidR="00181921" w:rsidRDefault="00000000">
            <w:pPr>
              <w:jc w:val="center"/>
            </w:pPr>
            <w:r>
              <w:rPr>
                <w:b/>
                <w:bCs/>
                <w:color w:val="FFFFFF"/>
                <w:sz w:val="18"/>
                <w:szCs w:val="18"/>
              </w:rPr>
              <w:t>3/5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7E5827AA" w14:textId="77777777" w:rsidR="00181921" w:rsidRDefault="00000000">
            <w:r>
              <w:rPr>
                <w:i/>
                <w:iCs/>
                <w:sz w:val="17"/>
                <w:szCs w:val="17"/>
              </w:rPr>
              <w:t xml:space="preserve">Watch — </w:t>
            </w:r>
            <w:proofErr w:type="spellStart"/>
            <w:r>
              <w:rPr>
                <w:i/>
                <w:iCs/>
                <w:sz w:val="17"/>
                <w:szCs w:val="17"/>
              </w:rPr>
              <w:t>Emrosi</w:t>
            </w:r>
            <w:proofErr w:type="spellEnd"/>
            <w:r>
              <w:rPr>
                <w:i/>
                <w:iCs/>
                <w:sz w:val="17"/>
                <w:szCs w:val="17"/>
              </w:rPr>
              <w:t xml:space="preserve"> concentration building</w:t>
            </w:r>
          </w:p>
        </w:tc>
      </w:tr>
      <w:tr w:rsidR="00181921" w14:paraId="498ABA10"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11428A9A" w14:textId="77777777" w:rsidR="00181921" w:rsidRDefault="00000000">
            <w:pPr>
              <w:jc w:val="center"/>
            </w:pPr>
            <w:r>
              <w:rPr>
                <w:b/>
                <w:bCs/>
                <w:color w:val="1A6B72"/>
                <w:sz w:val="18"/>
                <w:szCs w:val="18"/>
              </w:rPr>
              <w:t>Q8</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40CBDD5C" w14:textId="77777777" w:rsidR="00181921" w:rsidRDefault="00000000">
            <w:r>
              <w:rPr>
                <w:sz w:val="18"/>
                <w:szCs w:val="18"/>
              </w:rPr>
              <w:t>Commercial Execution Quality</w:t>
            </w:r>
          </w:p>
        </w:tc>
        <w:tc>
          <w:tcPr>
            <w:tcW w:w="2160" w:type="dxa"/>
            <w:tcBorders>
              <w:top w:val="single" w:sz="1" w:space="0" w:color="E0E0E0"/>
              <w:left w:val="single" w:sz="1" w:space="0" w:color="E0E0E0"/>
              <w:bottom w:val="single" w:sz="1" w:space="0" w:color="E0E0E0"/>
              <w:right w:val="single" w:sz="1" w:space="0" w:color="E0E0E0"/>
            </w:tcBorders>
            <w:shd w:val="clear" w:color="auto" w:fill="1F6B3A"/>
            <w:tcMar>
              <w:top w:w="60" w:type="dxa"/>
              <w:left w:w="80" w:type="dxa"/>
              <w:bottom w:w="60" w:type="dxa"/>
              <w:right w:w="80" w:type="dxa"/>
            </w:tcMar>
          </w:tcPr>
          <w:p w14:paraId="67F7DABA" w14:textId="77777777" w:rsidR="00181921" w:rsidRDefault="00000000">
            <w:pPr>
              <w:jc w:val="center"/>
            </w:pPr>
            <w:r>
              <w:rPr>
                <w:b/>
                <w:bCs/>
                <w:color w:val="FFFFFF"/>
                <w:sz w:val="18"/>
                <w:szCs w:val="18"/>
              </w:rPr>
              <w:t>4/5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A8EF647" w14:textId="77777777" w:rsidR="00181921" w:rsidRDefault="00000000">
            <w:r>
              <w:rPr>
                <w:i/>
                <w:iCs/>
                <w:sz w:val="17"/>
                <w:szCs w:val="17"/>
              </w:rPr>
              <w:t>Strong — consistent beats; Rx growth exceptional</w:t>
            </w:r>
          </w:p>
        </w:tc>
      </w:tr>
      <w:tr w:rsidR="00181921" w14:paraId="235B2BE6"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6A10E176" w14:textId="77777777" w:rsidR="00181921" w:rsidRDefault="00000000">
            <w:pPr>
              <w:jc w:val="center"/>
            </w:pPr>
            <w:r>
              <w:rPr>
                <w:b/>
                <w:bCs/>
                <w:color w:val="1A6B72"/>
                <w:sz w:val="18"/>
                <w:szCs w:val="18"/>
              </w:rPr>
              <w:t>Q9</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4A64A0E" w14:textId="77777777" w:rsidR="00181921" w:rsidRDefault="00000000">
            <w:r>
              <w:rPr>
                <w:sz w:val="18"/>
                <w:szCs w:val="18"/>
              </w:rPr>
              <w:t>Pipeline Optionality &amp; Platform Validation</w:t>
            </w:r>
          </w:p>
        </w:tc>
        <w:tc>
          <w:tcPr>
            <w:tcW w:w="2160" w:type="dxa"/>
            <w:tcBorders>
              <w:top w:val="single" w:sz="1" w:space="0" w:color="E0E0E0"/>
              <w:left w:val="single" w:sz="1" w:space="0" w:color="E0E0E0"/>
              <w:bottom w:val="single" w:sz="1" w:space="0" w:color="E0E0E0"/>
              <w:right w:val="single" w:sz="1" w:space="0" w:color="E0E0E0"/>
            </w:tcBorders>
            <w:shd w:val="clear" w:color="auto" w:fill="C00000"/>
            <w:tcMar>
              <w:top w:w="60" w:type="dxa"/>
              <w:left w:w="80" w:type="dxa"/>
              <w:bottom w:w="60" w:type="dxa"/>
              <w:right w:w="80" w:type="dxa"/>
            </w:tcMar>
          </w:tcPr>
          <w:p w14:paraId="1A73BAED" w14:textId="77777777" w:rsidR="00181921" w:rsidRDefault="00000000">
            <w:pPr>
              <w:jc w:val="center"/>
            </w:pPr>
            <w:r>
              <w:rPr>
                <w:b/>
                <w:bCs/>
                <w:color w:val="FFFFFF"/>
                <w:sz w:val="18"/>
                <w:szCs w:val="18"/>
              </w:rPr>
              <w:t>2/5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64D6E6A5" w14:textId="77777777" w:rsidR="00181921" w:rsidRDefault="00000000">
            <w:r>
              <w:rPr>
                <w:i/>
                <w:iCs/>
                <w:sz w:val="17"/>
                <w:szCs w:val="17"/>
              </w:rPr>
              <w:t xml:space="preserve">Thin — </w:t>
            </w:r>
            <w:proofErr w:type="spellStart"/>
            <w:r>
              <w:rPr>
                <w:i/>
                <w:iCs/>
                <w:sz w:val="17"/>
                <w:szCs w:val="17"/>
              </w:rPr>
              <w:t>acqui-commercializer</w:t>
            </w:r>
            <w:proofErr w:type="spellEnd"/>
            <w:r>
              <w:rPr>
                <w:i/>
                <w:iCs/>
                <w:sz w:val="17"/>
                <w:szCs w:val="17"/>
              </w:rPr>
              <w:t xml:space="preserve"> model, no pipeline</w:t>
            </w:r>
          </w:p>
        </w:tc>
      </w:tr>
      <w:tr w:rsidR="00181921" w14:paraId="71666387"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7BAFD5DE" w14:textId="77777777" w:rsidR="00181921" w:rsidRDefault="00000000">
            <w:pPr>
              <w:jc w:val="center"/>
            </w:pPr>
            <w:r>
              <w:rPr>
                <w:b/>
                <w:bCs/>
                <w:color w:val="1A6B72"/>
                <w:sz w:val="18"/>
                <w:szCs w:val="18"/>
              </w:rPr>
              <w:t>Q10</w:t>
            </w:r>
          </w:p>
        </w:tc>
        <w:tc>
          <w:tcPr>
            <w:tcW w:w="432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23AC9226" w14:textId="77777777" w:rsidR="00181921" w:rsidRDefault="00000000">
            <w:r>
              <w:rPr>
                <w:sz w:val="18"/>
                <w:szCs w:val="18"/>
              </w:rPr>
              <w:t>Existential Threats &amp; Risk Mitigation</w:t>
            </w:r>
          </w:p>
        </w:tc>
        <w:tc>
          <w:tcPr>
            <w:tcW w:w="2160" w:type="dxa"/>
            <w:tcBorders>
              <w:top w:val="single" w:sz="1" w:space="0" w:color="E0E0E0"/>
              <w:left w:val="single" w:sz="1" w:space="0" w:color="E0E0E0"/>
              <w:bottom w:val="single" w:sz="1" w:space="0" w:color="E0E0E0"/>
              <w:right w:val="single" w:sz="1" w:space="0" w:color="E0E0E0"/>
            </w:tcBorders>
            <w:shd w:val="clear" w:color="auto" w:fill="996600"/>
            <w:tcMar>
              <w:top w:w="60" w:type="dxa"/>
              <w:left w:w="80" w:type="dxa"/>
              <w:bottom w:w="60" w:type="dxa"/>
              <w:right w:w="80" w:type="dxa"/>
            </w:tcMar>
          </w:tcPr>
          <w:p w14:paraId="2E6F6FE2" w14:textId="77777777" w:rsidR="00181921" w:rsidRDefault="00000000">
            <w:pPr>
              <w:jc w:val="center"/>
            </w:pPr>
            <w:r>
              <w:rPr>
                <w:b/>
                <w:bCs/>
                <w:color w:val="FFFFFF"/>
                <w:sz w:val="18"/>
                <w:szCs w:val="18"/>
              </w:rPr>
              <w:t>3/5</w:t>
            </w:r>
          </w:p>
        </w:tc>
        <w:tc>
          <w:tcPr>
            <w:tcW w:w="2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20" w:type="dxa"/>
              <w:bottom w:w="60" w:type="dxa"/>
              <w:right w:w="120" w:type="dxa"/>
            </w:tcMar>
          </w:tcPr>
          <w:p w14:paraId="0423EDCC" w14:textId="77777777" w:rsidR="00181921" w:rsidRDefault="00000000">
            <w:r>
              <w:rPr>
                <w:i/>
                <w:iCs/>
                <w:sz w:val="17"/>
                <w:szCs w:val="17"/>
              </w:rPr>
              <w:t xml:space="preserve">Manageable — </w:t>
            </w:r>
            <w:proofErr w:type="spellStart"/>
            <w:r>
              <w:rPr>
                <w:i/>
                <w:iCs/>
                <w:sz w:val="17"/>
                <w:szCs w:val="17"/>
              </w:rPr>
              <w:t>Zilxi</w:t>
            </w:r>
            <w:proofErr w:type="spellEnd"/>
            <w:r>
              <w:rPr>
                <w:i/>
                <w:iCs/>
                <w:sz w:val="17"/>
                <w:szCs w:val="17"/>
              </w:rPr>
              <w:t xml:space="preserve"> + compounding are key bears</w:t>
            </w:r>
          </w:p>
        </w:tc>
      </w:tr>
      <w:tr w:rsidR="00181921" w14:paraId="12FCB5C6"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D4ECEE"/>
            <w:tcMar>
              <w:top w:w="60" w:type="dxa"/>
              <w:left w:w="80" w:type="dxa"/>
              <w:bottom w:w="60" w:type="dxa"/>
              <w:right w:w="80" w:type="dxa"/>
            </w:tcMar>
          </w:tcPr>
          <w:p w14:paraId="000529A2" w14:textId="77777777" w:rsidR="00181921" w:rsidRDefault="00000000">
            <w:pPr>
              <w:jc w:val="center"/>
            </w:pPr>
            <w:r>
              <w:rPr>
                <w:b/>
                <w:bCs/>
                <w:color w:val="1A6B72"/>
                <w:sz w:val="18"/>
                <w:szCs w:val="18"/>
              </w:rPr>
              <w:t>SP-1</w:t>
            </w:r>
          </w:p>
        </w:tc>
        <w:tc>
          <w:tcPr>
            <w:tcW w:w="4320" w:type="dxa"/>
            <w:tcBorders>
              <w:top w:val="single" w:sz="1" w:space="0" w:color="E0E0E0"/>
              <w:left w:val="single" w:sz="1" w:space="0" w:color="E0E0E0"/>
              <w:bottom w:val="single" w:sz="1" w:space="0" w:color="E0E0E0"/>
              <w:right w:val="single" w:sz="1" w:space="0" w:color="E0E0E0"/>
            </w:tcBorders>
            <w:shd w:val="clear" w:color="auto" w:fill="D4ECEE"/>
            <w:tcMar>
              <w:top w:w="60" w:type="dxa"/>
              <w:left w:w="120" w:type="dxa"/>
              <w:bottom w:w="60" w:type="dxa"/>
              <w:right w:w="120" w:type="dxa"/>
            </w:tcMar>
          </w:tcPr>
          <w:p w14:paraId="611ADB6E" w14:textId="77777777" w:rsidR="00181921" w:rsidRDefault="00000000">
            <w:r>
              <w:rPr>
                <w:sz w:val="18"/>
                <w:szCs w:val="18"/>
              </w:rPr>
              <w:t>Gross-to-Net Waterfall Analysis</w:t>
            </w:r>
          </w:p>
        </w:tc>
        <w:tc>
          <w:tcPr>
            <w:tcW w:w="2160" w:type="dxa"/>
            <w:tcBorders>
              <w:top w:val="single" w:sz="1" w:space="0" w:color="E0E0E0"/>
              <w:left w:val="single" w:sz="1" w:space="0" w:color="E0E0E0"/>
              <w:bottom w:val="single" w:sz="1" w:space="0" w:color="E0E0E0"/>
              <w:right w:val="single" w:sz="1" w:space="0" w:color="E0E0E0"/>
            </w:tcBorders>
            <w:shd w:val="clear" w:color="auto" w:fill="C00000"/>
            <w:tcMar>
              <w:top w:w="60" w:type="dxa"/>
              <w:left w:w="80" w:type="dxa"/>
              <w:bottom w:w="60" w:type="dxa"/>
              <w:right w:w="80" w:type="dxa"/>
            </w:tcMar>
          </w:tcPr>
          <w:p w14:paraId="5E60F1EA" w14:textId="77777777" w:rsidR="00181921" w:rsidRDefault="00000000">
            <w:pPr>
              <w:jc w:val="center"/>
            </w:pPr>
            <w:r>
              <w:rPr>
                <w:b/>
                <w:bCs/>
                <w:color w:val="FFFFFF"/>
                <w:sz w:val="18"/>
                <w:szCs w:val="18"/>
              </w:rPr>
              <w:t>2/5</w:t>
            </w:r>
          </w:p>
        </w:tc>
        <w:tc>
          <w:tcPr>
            <w:tcW w:w="2160" w:type="dxa"/>
            <w:tcBorders>
              <w:top w:val="single" w:sz="1" w:space="0" w:color="E0E0E0"/>
              <w:left w:val="single" w:sz="1" w:space="0" w:color="E0E0E0"/>
              <w:bottom w:val="single" w:sz="1" w:space="0" w:color="E0E0E0"/>
              <w:right w:val="single" w:sz="1" w:space="0" w:color="E0E0E0"/>
            </w:tcBorders>
            <w:shd w:val="clear" w:color="auto" w:fill="D4ECEE"/>
            <w:tcMar>
              <w:top w:w="60" w:type="dxa"/>
              <w:left w:w="120" w:type="dxa"/>
              <w:bottom w:w="60" w:type="dxa"/>
              <w:right w:w="120" w:type="dxa"/>
            </w:tcMar>
          </w:tcPr>
          <w:p w14:paraId="482D7560" w14:textId="77777777" w:rsidR="00181921" w:rsidRDefault="00000000">
            <w:r>
              <w:rPr>
                <w:i/>
                <w:iCs/>
                <w:sz w:val="17"/>
                <w:szCs w:val="17"/>
              </w:rPr>
              <w:t>Opacity risk — not disclosed; elevated implied G2N</w:t>
            </w:r>
          </w:p>
        </w:tc>
      </w:tr>
      <w:tr w:rsidR="00181921" w14:paraId="7BB44756"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D4ECEE"/>
            <w:tcMar>
              <w:top w:w="60" w:type="dxa"/>
              <w:left w:w="80" w:type="dxa"/>
              <w:bottom w:w="60" w:type="dxa"/>
              <w:right w:w="80" w:type="dxa"/>
            </w:tcMar>
          </w:tcPr>
          <w:p w14:paraId="03D634DD" w14:textId="77777777" w:rsidR="00181921" w:rsidRDefault="00000000">
            <w:pPr>
              <w:jc w:val="center"/>
            </w:pPr>
            <w:r>
              <w:rPr>
                <w:b/>
                <w:bCs/>
                <w:color w:val="1A6B72"/>
                <w:sz w:val="18"/>
                <w:szCs w:val="18"/>
              </w:rPr>
              <w:t>SP-2</w:t>
            </w:r>
          </w:p>
        </w:tc>
        <w:tc>
          <w:tcPr>
            <w:tcW w:w="4320" w:type="dxa"/>
            <w:tcBorders>
              <w:top w:val="single" w:sz="1" w:space="0" w:color="E0E0E0"/>
              <w:left w:val="single" w:sz="1" w:space="0" w:color="E0E0E0"/>
              <w:bottom w:val="single" w:sz="1" w:space="0" w:color="E0E0E0"/>
              <w:right w:val="single" w:sz="1" w:space="0" w:color="E0E0E0"/>
            </w:tcBorders>
            <w:shd w:val="clear" w:color="auto" w:fill="D4ECEE"/>
            <w:tcMar>
              <w:top w:w="60" w:type="dxa"/>
              <w:left w:w="120" w:type="dxa"/>
              <w:bottom w:w="60" w:type="dxa"/>
              <w:right w:w="120" w:type="dxa"/>
            </w:tcMar>
          </w:tcPr>
          <w:p w14:paraId="4BB6C426" w14:textId="77777777" w:rsidR="00181921" w:rsidRDefault="00000000">
            <w:r>
              <w:rPr>
                <w:sz w:val="18"/>
                <w:szCs w:val="18"/>
              </w:rPr>
              <w:t>Product-Level IP / Exclusivity Map</w:t>
            </w:r>
          </w:p>
        </w:tc>
        <w:tc>
          <w:tcPr>
            <w:tcW w:w="2160" w:type="dxa"/>
            <w:tcBorders>
              <w:top w:val="single" w:sz="1" w:space="0" w:color="E0E0E0"/>
              <w:left w:val="single" w:sz="1" w:space="0" w:color="E0E0E0"/>
              <w:bottom w:val="single" w:sz="1" w:space="0" w:color="E0E0E0"/>
              <w:right w:val="single" w:sz="1" w:space="0" w:color="E0E0E0"/>
            </w:tcBorders>
            <w:shd w:val="clear" w:color="auto" w:fill="996600"/>
            <w:tcMar>
              <w:top w:w="60" w:type="dxa"/>
              <w:left w:w="80" w:type="dxa"/>
              <w:bottom w:w="60" w:type="dxa"/>
              <w:right w:w="80" w:type="dxa"/>
            </w:tcMar>
          </w:tcPr>
          <w:p w14:paraId="3D8FB2AE" w14:textId="77777777" w:rsidR="00181921" w:rsidRDefault="00000000">
            <w:pPr>
              <w:jc w:val="center"/>
            </w:pPr>
            <w:r>
              <w:rPr>
                <w:b/>
                <w:bCs/>
                <w:color w:val="FFFFFF"/>
                <w:sz w:val="18"/>
                <w:szCs w:val="18"/>
              </w:rPr>
              <w:t>3/5</w:t>
            </w:r>
          </w:p>
        </w:tc>
        <w:tc>
          <w:tcPr>
            <w:tcW w:w="2160" w:type="dxa"/>
            <w:tcBorders>
              <w:top w:val="single" w:sz="1" w:space="0" w:color="E0E0E0"/>
              <w:left w:val="single" w:sz="1" w:space="0" w:color="E0E0E0"/>
              <w:bottom w:val="single" w:sz="1" w:space="0" w:color="E0E0E0"/>
              <w:right w:val="single" w:sz="1" w:space="0" w:color="E0E0E0"/>
            </w:tcBorders>
            <w:shd w:val="clear" w:color="auto" w:fill="D4ECEE"/>
            <w:tcMar>
              <w:top w:w="60" w:type="dxa"/>
              <w:left w:w="120" w:type="dxa"/>
              <w:bottom w:w="60" w:type="dxa"/>
              <w:right w:w="120" w:type="dxa"/>
            </w:tcMar>
          </w:tcPr>
          <w:p w14:paraId="4CC6A4FC" w14:textId="77777777" w:rsidR="00181921" w:rsidRDefault="00000000">
            <w:r>
              <w:rPr>
                <w:i/>
                <w:iCs/>
                <w:sz w:val="17"/>
                <w:szCs w:val="17"/>
              </w:rPr>
              <w:t xml:space="preserve">Adequate — bifurcated; </w:t>
            </w:r>
            <w:proofErr w:type="spellStart"/>
            <w:r>
              <w:rPr>
                <w:i/>
                <w:iCs/>
                <w:sz w:val="17"/>
                <w:szCs w:val="17"/>
              </w:rPr>
              <w:t>Qbrexza</w:t>
            </w:r>
            <w:proofErr w:type="spellEnd"/>
            <w:r>
              <w:rPr>
                <w:i/>
                <w:iCs/>
                <w:sz w:val="17"/>
                <w:szCs w:val="17"/>
              </w:rPr>
              <w:t>/</w:t>
            </w:r>
            <w:proofErr w:type="spellStart"/>
            <w:r>
              <w:rPr>
                <w:i/>
                <w:iCs/>
                <w:sz w:val="17"/>
                <w:szCs w:val="17"/>
              </w:rPr>
              <w:t>Amzeeq</w:t>
            </w:r>
            <w:proofErr w:type="spellEnd"/>
            <w:r>
              <w:rPr>
                <w:i/>
                <w:iCs/>
                <w:sz w:val="17"/>
                <w:szCs w:val="17"/>
              </w:rPr>
              <w:t xml:space="preserve"> solid</w:t>
            </w:r>
          </w:p>
        </w:tc>
      </w:tr>
      <w:tr w:rsidR="00181921" w14:paraId="4C190530"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D4ECEE"/>
            <w:tcMar>
              <w:top w:w="60" w:type="dxa"/>
              <w:left w:w="80" w:type="dxa"/>
              <w:bottom w:w="60" w:type="dxa"/>
              <w:right w:w="80" w:type="dxa"/>
            </w:tcMar>
          </w:tcPr>
          <w:p w14:paraId="4E21AEBE" w14:textId="77777777" w:rsidR="00181921" w:rsidRDefault="00000000">
            <w:pPr>
              <w:jc w:val="center"/>
            </w:pPr>
            <w:r>
              <w:rPr>
                <w:b/>
                <w:bCs/>
                <w:color w:val="1A6B72"/>
                <w:sz w:val="18"/>
                <w:szCs w:val="18"/>
              </w:rPr>
              <w:t>SP-3</w:t>
            </w:r>
          </w:p>
        </w:tc>
        <w:tc>
          <w:tcPr>
            <w:tcW w:w="4320" w:type="dxa"/>
            <w:tcBorders>
              <w:top w:val="single" w:sz="1" w:space="0" w:color="E0E0E0"/>
              <w:left w:val="single" w:sz="1" w:space="0" w:color="E0E0E0"/>
              <w:bottom w:val="single" w:sz="1" w:space="0" w:color="E0E0E0"/>
              <w:right w:val="single" w:sz="1" w:space="0" w:color="E0E0E0"/>
            </w:tcBorders>
            <w:shd w:val="clear" w:color="auto" w:fill="D4ECEE"/>
            <w:tcMar>
              <w:top w:w="60" w:type="dxa"/>
              <w:left w:w="120" w:type="dxa"/>
              <w:bottom w:w="60" w:type="dxa"/>
              <w:right w:w="120" w:type="dxa"/>
            </w:tcMar>
          </w:tcPr>
          <w:p w14:paraId="7D399CA4" w14:textId="77777777" w:rsidR="00181921" w:rsidRDefault="00000000">
            <w:r>
              <w:rPr>
                <w:sz w:val="18"/>
                <w:szCs w:val="18"/>
              </w:rPr>
              <w:t>Prescription Dynamics / Leading Indicators</w:t>
            </w:r>
          </w:p>
        </w:tc>
        <w:tc>
          <w:tcPr>
            <w:tcW w:w="2160" w:type="dxa"/>
            <w:tcBorders>
              <w:top w:val="single" w:sz="1" w:space="0" w:color="E0E0E0"/>
              <w:left w:val="single" w:sz="1" w:space="0" w:color="E0E0E0"/>
              <w:bottom w:val="single" w:sz="1" w:space="0" w:color="E0E0E0"/>
              <w:right w:val="single" w:sz="1" w:space="0" w:color="E0E0E0"/>
            </w:tcBorders>
            <w:shd w:val="clear" w:color="auto" w:fill="1F6B3A"/>
            <w:tcMar>
              <w:top w:w="60" w:type="dxa"/>
              <w:left w:w="80" w:type="dxa"/>
              <w:bottom w:w="60" w:type="dxa"/>
              <w:right w:w="80" w:type="dxa"/>
            </w:tcMar>
          </w:tcPr>
          <w:p w14:paraId="263B35D1" w14:textId="77777777" w:rsidR="00181921" w:rsidRDefault="00000000">
            <w:pPr>
              <w:jc w:val="center"/>
            </w:pPr>
            <w:r>
              <w:rPr>
                <w:b/>
                <w:bCs/>
                <w:color w:val="FFFFFF"/>
                <w:sz w:val="18"/>
                <w:szCs w:val="18"/>
              </w:rPr>
              <w:t>4/5</w:t>
            </w:r>
          </w:p>
        </w:tc>
        <w:tc>
          <w:tcPr>
            <w:tcW w:w="2160" w:type="dxa"/>
            <w:tcBorders>
              <w:top w:val="single" w:sz="1" w:space="0" w:color="E0E0E0"/>
              <w:left w:val="single" w:sz="1" w:space="0" w:color="E0E0E0"/>
              <w:bottom w:val="single" w:sz="1" w:space="0" w:color="E0E0E0"/>
              <w:right w:val="single" w:sz="1" w:space="0" w:color="E0E0E0"/>
            </w:tcBorders>
            <w:shd w:val="clear" w:color="auto" w:fill="D4ECEE"/>
            <w:tcMar>
              <w:top w:w="60" w:type="dxa"/>
              <w:left w:w="120" w:type="dxa"/>
              <w:bottom w:w="60" w:type="dxa"/>
              <w:right w:w="120" w:type="dxa"/>
            </w:tcMar>
          </w:tcPr>
          <w:p w14:paraId="488C5EAE" w14:textId="77777777" w:rsidR="00181921" w:rsidRDefault="00000000">
            <w:r>
              <w:rPr>
                <w:i/>
                <w:iCs/>
                <w:sz w:val="17"/>
                <w:szCs w:val="17"/>
              </w:rPr>
              <w:t xml:space="preserve">Strong — </w:t>
            </w:r>
            <w:proofErr w:type="spellStart"/>
            <w:r>
              <w:rPr>
                <w:i/>
                <w:iCs/>
                <w:sz w:val="17"/>
                <w:szCs w:val="17"/>
              </w:rPr>
              <w:t>Emrosi</w:t>
            </w:r>
            <w:proofErr w:type="spellEnd"/>
            <w:r>
              <w:rPr>
                <w:i/>
                <w:iCs/>
                <w:sz w:val="17"/>
                <w:szCs w:val="17"/>
              </w:rPr>
              <w:t xml:space="preserve"> Rx trajectory above expectations</w:t>
            </w:r>
          </w:p>
        </w:tc>
      </w:tr>
      <w:tr w:rsidR="00181921" w14:paraId="287FCA5A" w14:textId="77777777">
        <w:tblPrEx>
          <w:tblCellMar>
            <w:top w:w="0" w:type="dxa"/>
            <w:bottom w:w="0" w:type="dxa"/>
          </w:tblCellMar>
        </w:tblPrEx>
        <w:tc>
          <w:tcPr>
            <w:tcW w:w="720" w:type="dxa"/>
            <w:tcBorders>
              <w:top w:val="single" w:sz="1" w:space="0" w:color="E0E0E0"/>
              <w:left w:val="single" w:sz="1" w:space="0" w:color="E0E0E0"/>
              <w:bottom w:val="single" w:sz="1" w:space="0" w:color="E0E0E0"/>
              <w:right w:val="single" w:sz="1" w:space="0" w:color="E0E0E0"/>
            </w:tcBorders>
            <w:shd w:val="clear" w:color="auto" w:fill="D4ECEE"/>
            <w:tcMar>
              <w:top w:w="60" w:type="dxa"/>
              <w:left w:w="80" w:type="dxa"/>
              <w:bottom w:w="60" w:type="dxa"/>
              <w:right w:w="80" w:type="dxa"/>
            </w:tcMar>
          </w:tcPr>
          <w:p w14:paraId="76E8E351" w14:textId="77777777" w:rsidR="00181921" w:rsidRDefault="00000000">
            <w:pPr>
              <w:jc w:val="center"/>
            </w:pPr>
            <w:r>
              <w:rPr>
                <w:b/>
                <w:bCs/>
                <w:color w:val="1A6B72"/>
                <w:sz w:val="18"/>
                <w:szCs w:val="18"/>
              </w:rPr>
              <w:t>SP-4</w:t>
            </w:r>
          </w:p>
        </w:tc>
        <w:tc>
          <w:tcPr>
            <w:tcW w:w="4320" w:type="dxa"/>
            <w:tcBorders>
              <w:top w:val="single" w:sz="1" w:space="0" w:color="E0E0E0"/>
              <w:left w:val="single" w:sz="1" w:space="0" w:color="E0E0E0"/>
              <w:bottom w:val="single" w:sz="1" w:space="0" w:color="E0E0E0"/>
              <w:right w:val="single" w:sz="1" w:space="0" w:color="E0E0E0"/>
            </w:tcBorders>
            <w:shd w:val="clear" w:color="auto" w:fill="D4ECEE"/>
            <w:tcMar>
              <w:top w:w="60" w:type="dxa"/>
              <w:left w:w="120" w:type="dxa"/>
              <w:bottom w:w="60" w:type="dxa"/>
              <w:right w:w="120" w:type="dxa"/>
            </w:tcMar>
          </w:tcPr>
          <w:p w14:paraId="5F65954E" w14:textId="77777777" w:rsidR="00181921" w:rsidRDefault="00000000">
            <w:r>
              <w:rPr>
                <w:sz w:val="18"/>
                <w:szCs w:val="18"/>
              </w:rPr>
              <w:t>Strategic Value &amp; Exit Optionality</w:t>
            </w:r>
          </w:p>
        </w:tc>
        <w:tc>
          <w:tcPr>
            <w:tcW w:w="2160" w:type="dxa"/>
            <w:tcBorders>
              <w:top w:val="single" w:sz="1" w:space="0" w:color="E0E0E0"/>
              <w:left w:val="single" w:sz="1" w:space="0" w:color="E0E0E0"/>
              <w:bottom w:val="single" w:sz="1" w:space="0" w:color="E0E0E0"/>
              <w:right w:val="single" w:sz="1" w:space="0" w:color="E0E0E0"/>
            </w:tcBorders>
            <w:shd w:val="clear" w:color="auto" w:fill="996600"/>
            <w:tcMar>
              <w:top w:w="60" w:type="dxa"/>
              <w:left w:w="80" w:type="dxa"/>
              <w:bottom w:w="60" w:type="dxa"/>
              <w:right w:w="80" w:type="dxa"/>
            </w:tcMar>
          </w:tcPr>
          <w:p w14:paraId="571DCD57" w14:textId="77777777" w:rsidR="00181921" w:rsidRDefault="00000000">
            <w:pPr>
              <w:jc w:val="center"/>
            </w:pPr>
            <w:r>
              <w:rPr>
                <w:b/>
                <w:bCs/>
                <w:color w:val="FFFFFF"/>
                <w:sz w:val="18"/>
                <w:szCs w:val="18"/>
              </w:rPr>
              <w:t>3/5</w:t>
            </w:r>
          </w:p>
        </w:tc>
        <w:tc>
          <w:tcPr>
            <w:tcW w:w="2160" w:type="dxa"/>
            <w:tcBorders>
              <w:top w:val="single" w:sz="1" w:space="0" w:color="E0E0E0"/>
              <w:left w:val="single" w:sz="1" w:space="0" w:color="E0E0E0"/>
              <w:bottom w:val="single" w:sz="1" w:space="0" w:color="E0E0E0"/>
              <w:right w:val="single" w:sz="1" w:space="0" w:color="E0E0E0"/>
            </w:tcBorders>
            <w:shd w:val="clear" w:color="auto" w:fill="D4ECEE"/>
            <w:tcMar>
              <w:top w:w="60" w:type="dxa"/>
              <w:left w:w="120" w:type="dxa"/>
              <w:bottom w:w="60" w:type="dxa"/>
              <w:right w:w="120" w:type="dxa"/>
            </w:tcMar>
          </w:tcPr>
          <w:p w14:paraId="2D5B740C" w14:textId="77777777" w:rsidR="00181921" w:rsidRDefault="00000000">
            <w:r>
              <w:rPr>
                <w:i/>
                <w:iCs/>
                <w:sz w:val="17"/>
                <w:szCs w:val="17"/>
              </w:rPr>
              <w:t>Moderate — FBIO ownership creates complexity</w:t>
            </w:r>
          </w:p>
        </w:tc>
      </w:tr>
    </w:tbl>
    <w:p w14:paraId="498297F1" w14:textId="77777777" w:rsidR="00181921" w:rsidRDefault="001819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1800"/>
        <w:gridCol w:w="1800"/>
      </w:tblGrid>
      <w:tr w:rsidR="00181921" w14:paraId="269E2009" w14:textId="77777777">
        <w:tblPrEx>
          <w:tblCellMar>
            <w:top w:w="0" w:type="dxa"/>
            <w:bottom w:w="0" w:type="dxa"/>
          </w:tblCellMar>
        </w:tblPrEx>
        <w:tc>
          <w:tcPr>
            <w:tcW w:w="5760" w:type="dxa"/>
            <w:tcBorders>
              <w:top w:val="none" w:sz="0" w:space="0" w:color="FFFFFF"/>
              <w:left w:val="none" w:sz="0" w:space="0" w:color="FFFFFF"/>
              <w:bottom w:val="none" w:sz="0" w:space="0" w:color="FFFFFF"/>
              <w:right w:val="none" w:sz="0" w:space="0" w:color="FFFFFF"/>
            </w:tcBorders>
            <w:shd w:val="clear" w:color="auto" w:fill="1B3A5C"/>
            <w:tcMar>
              <w:top w:w="120" w:type="dxa"/>
              <w:left w:w="200" w:type="dxa"/>
              <w:bottom w:w="120" w:type="dxa"/>
              <w:right w:w="200" w:type="dxa"/>
            </w:tcMar>
          </w:tcPr>
          <w:p w14:paraId="320BC9B3" w14:textId="77777777" w:rsidR="00181921" w:rsidRDefault="00000000">
            <w:r>
              <w:rPr>
                <w:b/>
                <w:bCs/>
                <w:color w:val="FFFFFF"/>
                <w:sz w:val="22"/>
                <w:szCs w:val="22"/>
              </w:rPr>
              <w:t>Core Score (Q1–Q10)</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120" w:type="dxa"/>
              <w:left w:w="200" w:type="dxa"/>
              <w:bottom w:w="120" w:type="dxa"/>
              <w:right w:w="200" w:type="dxa"/>
            </w:tcMar>
          </w:tcPr>
          <w:p w14:paraId="0945A701" w14:textId="77777777" w:rsidR="00181921" w:rsidRDefault="00000000">
            <w:pPr>
              <w:jc w:val="center"/>
            </w:pPr>
            <w:r>
              <w:rPr>
                <w:b/>
                <w:bCs/>
                <w:color w:val="FFFFFF"/>
                <w:sz w:val="28"/>
                <w:szCs w:val="28"/>
              </w:rPr>
              <w:t>31 / 50</w:t>
            </w:r>
          </w:p>
        </w:tc>
        <w:tc>
          <w:tcPr>
            <w:tcW w:w="1800" w:type="dxa"/>
            <w:tcBorders>
              <w:top w:val="none" w:sz="0" w:space="0" w:color="FFFFFF"/>
              <w:left w:val="none" w:sz="0" w:space="0" w:color="FFFFFF"/>
              <w:bottom w:val="none" w:sz="0" w:space="0" w:color="FFFFFF"/>
              <w:right w:val="none" w:sz="0" w:space="0" w:color="FFFFFF"/>
            </w:tcBorders>
            <w:shd w:val="clear" w:color="auto" w:fill="D6E8F5"/>
            <w:tcMar>
              <w:top w:w="120" w:type="dxa"/>
              <w:left w:w="200" w:type="dxa"/>
              <w:bottom w:w="120" w:type="dxa"/>
              <w:right w:w="200" w:type="dxa"/>
            </w:tcMar>
          </w:tcPr>
          <w:p w14:paraId="50249612" w14:textId="77777777" w:rsidR="00181921" w:rsidRDefault="00000000">
            <w:pPr>
              <w:jc w:val="center"/>
            </w:pPr>
            <w:r>
              <w:rPr>
                <w:b/>
                <w:bCs/>
                <w:color w:val="1B3A5C"/>
                <w:sz w:val="24"/>
                <w:szCs w:val="24"/>
              </w:rPr>
              <w:t>62%</w:t>
            </w:r>
          </w:p>
        </w:tc>
      </w:tr>
      <w:tr w:rsidR="00181921" w14:paraId="4DBAF09A" w14:textId="77777777">
        <w:tblPrEx>
          <w:tblCellMar>
            <w:top w:w="0" w:type="dxa"/>
            <w:bottom w:w="0" w:type="dxa"/>
          </w:tblCellMar>
        </w:tblPrEx>
        <w:tc>
          <w:tcPr>
            <w:tcW w:w="5760" w:type="dxa"/>
            <w:tcBorders>
              <w:top w:val="none" w:sz="0" w:space="0" w:color="FFFFFF"/>
              <w:left w:val="none" w:sz="0" w:space="0" w:color="FFFFFF"/>
              <w:bottom w:val="none" w:sz="0" w:space="0" w:color="FFFFFF"/>
              <w:right w:val="none" w:sz="0" w:space="0" w:color="FFFFFF"/>
            </w:tcBorders>
            <w:shd w:val="clear" w:color="auto" w:fill="1A6B72"/>
            <w:tcMar>
              <w:top w:w="120" w:type="dxa"/>
              <w:left w:w="200" w:type="dxa"/>
              <w:bottom w:w="120" w:type="dxa"/>
              <w:right w:w="200" w:type="dxa"/>
            </w:tcMar>
          </w:tcPr>
          <w:p w14:paraId="1B3FB78A" w14:textId="77777777" w:rsidR="00181921" w:rsidRDefault="00000000">
            <w:r>
              <w:rPr>
                <w:b/>
                <w:bCs/>
                <w:color w:val="FFFFFF"/>
                <w:sz w:val="22"/>
                <w:szCs w:val="22"/>
              </w:rPr>
              <w:t>Specialty Pharma Module Score (SP-1–SP-4)</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120" w:type="dxa"/>
              <w:left w:w="200" w:type="dxa"/>
              <w:bottom w:w="120" w:type="dxa"/>
              <w:right w:w="200" w:type="dxa"/>
            </w:tcMar>
          </w:tcPr>
          <w:p w14:paraId="7670DA6F" w14:textId="77777777" w:rsidR="00181921" w:rsidRDefault="00000000">
            <w:pPr>
              <w:jc w:val="center"/>
            </w:pPr>
            <w:r>
              <w:rPr>
                <w:b/>
                <w:bCs/>
                <w:color w:val="FFFFFF"/>
                <w:sz w:val="28"/>
                <w:szCs w:val="28"/>
              </w:rPr>
              <w:t>12 / 20</w:t>
            </w:r>
          </w:p>
        </w:tc>
        <w:tc>
          <w:tcPr>
            <w:tcW w:w="1800" w:type="dxa"/>
            <w:tcBorders>
              <w:top w:val="none" w:sz="0" w:space="0" w:color="FFFFFF"/>
              <w:left w:val="none" w:sz="0" w:space="0" w:color="FFFFFF"/>
              <w:bottom w:val="none" w:sz="0" w:space="0" w:color="FFFFFF"/>
              <w:right w:val="none" w:sz="0" w:space="0" w:color="FFFFFF"/>
            </w:tcBorders>
            <w:shd w:val="clear" w:color="auto" w:fill="D4ECEE"/>
            <w:tcMar>
              <w:top w:w="120" w:type="dxa"/>
              <w:left w:w="200" w:type="dxa"/>
              <w:bottom w:w="120" w:type="dxa"/>
              <w:right w:w="200" w:type="dxa"/>
            </w:tcMar>
          </w:tcPr>
          <w:p w14:paraId="6278C218" w14:textId="77777777" w:rsidR="00181921" w:rsidRDefault="00000000">
            <w:pPr>
              <w:jc w:val="center"/>
            </w:pPr>
            <w:r>
              <w:rPr>
                <w:b/>
                <w:bCs/>
                <w:color w:val="1A6B72"/>
                <w:sz w:val="24"/>
                <w:szCs w:val="24"/>
              </w:rPr>
              <w:t>60%</w:t>
            </w:r>
          </w:p>
        </w:tc>
      </w:tr>
      <w:tr w:rsidR="00181921" w14:paraId="726A6684" w14:textId="77777777">
        <w:tblPrEx>
          <w:tblCellMar>
            <w:top w:w="0" w:type="dxa"/>
            <w:bottom w:w="0" w:type="dxa"/>
          </w:tblCellMar>
        </w:tblPrEx>
        <w:tc>
          <w:tcPr>
            <w:tcW w:w="5760" w:type="dxa"/>
            <w:tcBorders>
              <w:top w:val="none" w:sz="0" w:space="0" w:color="FFFFFF"/>
              <w:left w:val="none" w:sz="0" w:space="0" w:color="FFFFFF"/>
              <w:bottom w:val="none" w:sz="0" w:space="0" w:color="FFFFFF"/>
              <w:right w:val="none" w:sz="0" w:space="0" w:color="FFFFFF"/>
            </w:tcBorders>
            <w:shd w:val="clear" w:color="auto" w:fill="2B5F8A"/>
            <w:tcMar>
              <w:top w:w="120" w:type="dxa"/>
              <w:left w:w="200" w:type="dxa"/>
              <w:bottom w:w="120" w:type="dxa"/>
              <w:right w:w="200" w:type="dxa"/>
            </w:tcMar>
          </w:tcPr>
          <w:p w14:paraId="17AD34A4" w14:textId="77777777" w:rsidR="00181921" w:rsidRDefault="00000000">
            <w:r>
              <w:rPr>
                <w:b/>
                <w:bCs/>
                <w:color w:val="FFFFFF"/>
                <w:sz w:val="26"/>
                <w:szCs w:val="26"/>
              </w:rPr>
              <w:t>TOTAL COMPOSITE SCORE</w:t>
            </w:r>
          </w:p>
        </w:tc>
        <w:tc>
          <w:tcPr>
            <w:tcW w:w="1800" w:type="dxa"/>
            <w:tcBorders>
              <w:top w:val="none" w:sz="0" w:space="0" w:color="FFFFFF"/>
              <w:left w:val="none" w:sz="0" w:space="0" w:color="FFFFFF"/>
              <w:bottom w:val="none" w:sz="0" w:space="0" w:color="FFFFFF"/>
              <w:right w:val="none" w:sz="0" w:space="0" w:color="FFFFFF"/>
            </w:tcBorders>
            <w:shd w:val="clear" w:color="auto" w:fill="996600"/>
            <w:tcMar>
              <w:top w:w="120" w:type="dxa"/>
              <w:left w:w="200" w:type="dxa"/>
              <w:bottom w:w="120" w:type="dxa"/>
              <w:right w:w="200" w:type="dxa"/>
            </w:tcMar>
          </w:tcPr>
          <w:p w14:paraId="6AC9323F" w14:textId="77777777" w:rsidR="00181921" w:rsidRDefault="00000000">
            <w:pPr>
              <w:jc w:val="center"/>
            </w:pPr>
            <w:r>
              <w:rPr>
                <w:b/>
                <w:bCs/>
                <w:color w:val="FFFFFF"/>
                <w:sz w:val="32"/>
                <w:szCs w:val="32"/>
              </w:rPr>
              <w:t>43 / 70</w:t>
            </w:r>
          </w:p>
        </w:tc>
        <w:tc>
          <w:tcPr>
            <w:tcW w:w="1800" w:type="dxa"/>
            <w:tcBorders>
              <w:top w:val="none" w:sz="0" w:space="0" w:color="FFFFFF"/>
              <w:left w:val="none" w:sz="0" w:space="0" w:color="FFFFFF"/>
              <w:bottom w:val="none" w:sz="0" w:space="0" w:color="FFFFFF"/>
              <w:right w:val="none" w:sz="0" w:space="0" w:color="FFFFFF"/>
            </w:tcBorders>
            <w:shd w:val="clear" w:color="auto" w:fill="FBF3DC"/>
            <w:tcMar>
              <w:top w:w="120" w:type="dxa"/>
              <w:left w:w="200" w:type="dxa"/>
              <w:bottom w:w="120" w:type="dxa"/>
              <w:right w:w="200" w:type="dxa"/>
            </w:tcMar>
          </w:tcPr>
          <w:p w14:paraId="43997D58" w14:textId="77777777" w:rsidR="00181921" w:rsidRDefault="00000000">
            <w:pPr>
              <w:jc w:val="center"/>
            </w:pPr>
            <w:r>
              <w:rPr>
                <w:b/>
                <w:bCs/>
                <w:color w:val="B8860B"/>
                <w:sz w:val="22"/>
                <w:szCs w:val="22"/>
              </w:rPr>
              <w:t>WATCHLIST</w:t>
            </w:r>
          </w:p>
        </w:tc>
      </w:tr>
    </w:tbl>
    <w:p w14:paraId="76EBD614" w14:textId="77777777" w:rsidR="00181921" w:rsidRDefault="00181921">
      <w:pPr>
        <w:spacing w:before="80" w:after="80"/>
      </w:pPr>
    </w:p>
    <w:p w14:paraId="5080AE7B" w14:textId="77777777" w:rsidR="00181921" w:rsidRDefault="00000000">
      <w:pPr>
        <w:pStyle w:val="Heading2"/>
      </w:pPr>
      <w:r>
        <w:t>Key Strengths (Highest-Scoring Dimensions)</w:t>
      </w:r>
    </w:p>
    <w:p w14:paraId="73B29034" w14:textId="77777777" w:rsidR="00181921" w:rsidRDefault="00181921">
      <w:pPr>
        <w:spacing w:before="20" w:after="20"/>
      </w:pPr>
    </w:p>
    <w:p w14:paraId="24530DD5" w14:textId="77777777" w:rsidR="00181921" w:rsidRDefault="00000000">
      <w:pPr>
        <w:pStyle w:val="ListParagraph"/>
        <w:numPr>
          <w:ilvl w:val="0"/>
          <w:numId w:val="2"/>
        </w:numPr>
        <w:spacing w:before="30" w:after="30"/>
      </w:pPr>
      <w:r>
        <w:t xml:space="preserve">Q2 / SP-3: Clinical Differentiation + Rx Momentum (4/5 </w:t>
      </w:r>
      <w:proofErr w:type="gramStart"/>
      <w:r>
        <w:t>each) —</w:t>
      </w:r>
      <w:proofErr w:type="gramEnd"/>
      <w:r>
        <w:t xml:space="preserve"> </w:t>
      </w:r>
      <w:proofErr w:type="spellStart"/>
      <w:r>
        <w:t>Emrosi's</w:t>
      </w:r>
      <w:proofErr w:type="spellEnd"/>
      <w:r>
        <w:t xml:space="preserve"> head-to-head superiority over </w:t>
      </w:r>
      <w:proofErr w:type="spellStart"/>
      <w:r>
        <w:t>Oracea</w:t>
      </w:r>
      <w:proofErr w:type="spellEnd"/>
      <w:r>
        <w:t xml:space="preserve"> in two randomized trials, JAMA Derm publication, NRS guideline inclusion, and 146% QoQ Rx growth in Q3 2025 is the defining investment thesis. The product is genuinely differentiated, not just commercially positioned.</w:t>
      </w:r>
    </w:p>
    <w:p w14:paraId="2146706F" w14:textId="77777777" w:rsidR="00181921" w:rsidRDefault="00000000">
      <w:pPr>
        <w:pStyle w:val="ListParagraph"/>
        <w:numPr>
          <w:ilvl w:val="0"/>
          <w:numId w:val="2"/>
        </w:numPr>
        <w:spacing w:before="30" w:after="30"/>
      </w:pPr>
      <w:r>
        <w:t>Q8: Commercial Execution (4/</w:t>
      </w:r>
      <w:proofErr w:type="gramStart"/>
      <w:r>
        <w:t>5) —</w:t>
      </w:r>
      <w:proofErr w:type="gramEnd"/>
      <w:r>
        <w:t xml:space="preserve"> Three consecutive quarters of beats, above-plan prescriber penetration, and methodical GPO contracting demonstrate that management is executing well against a credible plan. The fixed-cost salesforce model is generating meaningful operating leverage as </w:t>
      </w:r>
      <w:proofErr w:type="spellStart"/>
      <w:r>
        <w:t>Emrosi</w:t>
      </w:r>
      <w:proofErr w:type="spellEnd"/>
      <w:r>
        <w:t xml:space="preserve"> volumes scale.</w:t>
      </w:r>
    </w:p>
    <w:p w14:paraId="265413D0" w14:textId="77777777" w:rsidR="00181921" w:rsidRDefault="00000000">
      <w:pPr>
        <w:pStyle w:val="ListParagraph"/>
        <w:numPr>
          <w:ilvl w:val="0"/>
          <w:numId w:val="2"/>
        </w:numPr>
        <w:spacing w:before="30" w:after="30"/>
      </w:pPr>
      <w:r>
        <w:t>Q5: Path to Breakeven (3/5 but trajectory-</w:t>
      </w:r>
      <w:proofErr w:type="gramStart"/>
      <w:r>
        <w:t>driven) —</w:t>
      </w:r>
      <w:proofErr w:type="gramEnd"/>
      <w:r>
        <w:t xml:space="preserve"> Incremental </w:t>
      </w:r>
      <w:proofErr w:type="spellStart"/>
      <w:r>
        <w:t>OpEx</w:t>
      </w:r>
      <w:proofErr w:type="spellEnd"/>
      <w:r>
        <w:t xml:space="preserve"> Ratio of ~27% on new revenue is exceptional. The company is approximately $2.4M in quarterly revenue away from sustained EBITDA breakeven — within one strong </w:t>
      </w:r>
      <w:proofErr w:type="spellStart"/>
      <w:r>
        <w:t>Emrosi</w:t>
      </w:r>
      <w:proofErr w:type="spellEnd"/>
      <w:r>
        <w:t xml:space="preserve"> quarter.</w:t>
      </w:r>
    </w:p>
    <w:p w14:paraId="0288E2F7" w14:textId="77777777" w:rsidR="00181921" w:rsidRDefault="00181921">
      <w:pPr>
        <w:spacing w:before="60" w:after="60"/>
      </w:pPr>
    </w:p>
    <w:p w14:paraId="5877CD62" w14:textId="77777777" w:rsidR="00181921" w:rsidRDefault="00000000">
      <w:pPr>
        <w:pStyle w:val="Heading2"/>
      </w:pPr>
      <w:r>
        <w:t>Key Weaknesses (Lowest-Scoring Dimensions)</w:t>
      </w:r>
    </w:p>
    <w:p w14:paraId="070F1687" w14:textId="77777777" w:rsidR="00181921" w:rsidRDefault="00181921">
      <w:pPr>
        <w:spacing w:before="20" w:after="20"/>
      </w:pPr>
    </w:p>
    <w:p w14:paraId="68DFEF10" w14:textId="77777777" w:rsidR="00181921" w:rsidRDefault="00000000">
      <w:pPr>
        <w:pStyle w:val="ListParagraph"/>
        <w:numPr>
          <w:ilvl w:val="0"/>
          <w:numId w:val="2"/>
        </w:numPr>
        <w:spacing w:before="30" w:after="30"/>
      </w:pPr>
      <w:r>
        <w:t>Q9: Pipeline Optionality (2/</w:t>
      </w:r>
      <w:proofErr w:type="gramStart"/>
      <w:r>
        <w:t>5) —</w:t>
      </w:r>
      <w:proofErr w:type="gramEnd"/>
      <w:r>
        <w:t xml:space="preserve"> Journey Medical has no disclosed pipeline. The thesis is entirely dependent on sustaining and growing the existing commercial portfolio. Any </w:t>
      </w:r>
      <w:proofErr w:type="spellStart"/>
      <w:r>
        <w:t>Emrosi</w:t>
      </w:r>
      <w:proofErr w:type="spellEnd"/>
      <w:r>
        <w:t xml:space="preserve"> disappointment has no pipeline optionality offset.</w:t>
      </w:r>
    </w:p>
    <w:p w14:paraId="71E33797" w14:textId="77777777" w:rsidR="00181921" w:rsidRDefault="00000000">
      <w:pPr>
        <w:pStyle w:val="ListParagraph"/>
        <w:numPr>
          <w:ilvl w:val="0"/>
          <w:numId w:val="2"/>
        </w:numPr>
        <w:spacing w:before="30" w:after="30"/>
      </w:pPr>
      <w:r>
        <w:t>SP-1: Gross-to-Net Opacity (2/</w:t>
      </w:r>
      <w:proofErr w:type="gramStart"/>
      <w:r>
        <w:t>5) —</w:t>
      </w:r>
      <w:proofErr w:type="gramEnd"/>
      <w:r>
        <w:t xml:space="preserve"> The refusal to disclose G2N dynamics at the commercial stage is a meaningful transparency deficit. Implied G2N estimates suggest elevated copay card utilization and/or aggressive payer contracting is masking the true net price realization. Investors cannot properly model </w:t>
      </w:r>
      <w:proofErr w:type="spellStart"/>
      <w:r>
        <w:t>Emrosi's</w:t>
      </w:r>
      <w:proofErr w:type="spellEnd"/>
      <w:r>
        <w:t xml:space="preserve"> economics without this data.</w:t>
      </w:r>
    </w:p>
    <w:p w14:paraId="34D88295" w14:textId="77777777" w:rsidR="00181921" w:rsidRDefault="00000000">
      <w:pPr>
        <w:pStyle w:val="ListParagraph"/>
        <w:numPr>
          <w:ilvl w:val="0"/>
          <w:numId w:val="2"/>
        </w:numPr>
        <w:spacing w:before="30" w:after="30"/>
      </w:pPr>
      <w:r>
        <w:t xml:space="preserve">Q3 / SP-2: IP Cliff Combination (3/5 </w:t>
      </w:r>
      <w:proofErr w:type="gramStart"/>
      <w:r>
        <w:t>combined) —</w:t>
      </w:r>
      <w:proofErr w:type="gramEnd"/>
      <w:r>
        <w:t xml:space="preserve"> </w:t>
      </w:r>
      <w:proofErr w:type="spellStart"/>
      <w:r>
        <w:t>Zilxi</w:t>
      </w:r>
      <w:proofErr w:type="spellEnd"/>
      <w:r>
        <w:t xml:space="preserve"> generic entry in April 2027 is an under-discussed near-term revenue headwind. Simultaneously, </w:t>
      </w:r>
      <w:proofErr w:type="spellStart"/>
      <w:r>
        <w:t>Emrosi's</w:t>
      </w:r>
      <w:proofErr w:type="spellEnd"/>
      <w:r>
        <w:t xml:space="preserve"> exposure to compounding pharmacies (a risk the patent system cannot address) is the most underappreciated long-term structural threat.</w:t>
      </w:r>
    </w:p>
    <w:p w14:paraId="7116692A" w14:textId="77777777" w:rsidR="00181921" w:rsidRDefault="00181921">
      <w:pPr>
        <w:spacing w:before="60" w:after="60"/>
      </w:pPr>
    </w:p>
    <w:p w14:paraId="03CD64B3" w14:textId="77777777" w:rsidR="00181921" w:rsidRDefault="00000000">
      <w:pPr>
        <w:pStyle w:val="Heading2"/>
      </w:pPr>
      <w:r>
        <w:t>Critical Watch Items</w:t>
      </w:r>
    </w:p>
    <w:p w14:paraId="799CE4FD" w14:textId="77777777" w:rsidR="00181921" w:rsidRDefault="00181921">
      <w:pPr>
        <w:spacing w:before="20" w:after="20"/>
      </w:pPr>
    </w:p>
    <w:p w14:paraId="1309C66F" w14:textId="77777777" w:rsidR="00181921" w:rsidRDefault="00000000">
      <w:pPr>
        <w:pStyle w:val="ListParagraph"/>
        <w:numPr>
          <w:ilvl w:val="0"/>
          <w:numId w:val="2"/>
        </w:numPr>
        <w:spacing w:before="30" w:after="30"/>
      </w:pPr>
      <w:proofErr w:type="spellStart"/>
      <w:r>
        <w:t>Emrosi</w:t>
      </w:r>
      <w:proofErr w:type="spellEnd"/>
      <w:r>
        <w:t xml:space="preserve"> Q4 2025 and Q1 2026 Rx data: Does 146% QoQ growth sustain, decelerate, or accelerate post-3rd GPO? This is the single most important metric in the investment case.</w:t>
      </w:r>
    </w:p>
    <w:p w14:paraId="790E4200" w14:textId="77777777" w:rsidR="00181921" w:rsidRDefault="00000000">
      <w:pPr>
        <w:pStyle w:val="ListParagraph"/>
        <w:numPr>
          <w:ilvl w:val="0"/>
          <w:numId w:val="2"/>
        </w:numPr>
        <w:spacing w:before="30" w:after="30"/>
      </w:pPr>
      <w:r>
        <w:t>3rd GPO Contract (early 2026): Specific date and covered lives to be disclosed. This is a binary catalyst — contract signed = Rx acceleration; delay = sentiment drag.</w:t>
      </w:r>
    </w:p>
    <w:p w14:paraId="3306E440" w14:textId="77777777" w:rsidR="00181921" w:rsidRDefault="00000000">
      <w:pPr>
        <w:pStyle w:val="ListParagraph"/>
        <w:numPr>
          <w:ilvl w:val="0"/>
          <w:numId w:val="2"/>
        </w:numPr>
        <w:spacing w:before="30" w:after="30"/>
      </w:pPr>
      <w:r>
        <w:t xml:space="preserve">Gross-to-net disclosure: Any voluntary disclosure of </w:t>
      </w:r>
      <w:proofErr w:type="spellStart"/>
      <w:r>
        <w:t>Emrosi</w:t>
      </w:r>
      <w:proofErr w:type="spellEnd"/>
      <w:r>
        <w:t xml:space="preserve"> net revenue per Rx, G2N spread, or copay card utilization rates would materially improve score calibration. Watch for analyst follow-up on Q4 2025 earnings call.</w:t>
      </w:r>
    </w:p>
    <w:p w14:paraId="2A6F349B" w14:textId="77777777" w:rsidR="00181921" w:rsidRDefault="00000000">
      <w:pPr>
        <w:pStyle w:val="ListParagraph"/>
        <w:numPr>
          <w:ilvl w:val="0"/>
          <w:numId w:val="2"/>
        </w:numPr>
        <w:spacing w:before="30" w:after="30"/>
      </w:pPr>
      <w:proofErr w:type="spellStart"/>
      <w:r>
        <w:t>Zilxi</w:t>
      </w:r>
      <w:proofErr w:type="spellEnd"/>
      <w:r>
        <w:t xml:space="preserve"> revenue trend: Monitor </w:t>
      </w:r>
      <w:proofErr w:type="spellStart"/>
      <w:r>
        <w:t>Zilxi</w:t>
      </w:r>
      <w:proofErr w:type="spellEnd"/>
      <w:r>
        <w:t xml:space="preserve"> quarterly revenue contribution vs. modeled generic entry impact. Management should address </w:t>
      </w:r>
      <w:proofErr w:type="spellStart"/>
      <w:r>
        <w:t>Zilxi</w:t>
      </w:r>
      <w:proofErr w:type="spellEnd"/>
      <w:r>
        <w:t xml:space="preserve"> substitution strategy before April 2027.</w:t>
      </w:r>
    </w:p>
    <w:p w14:paraId="0741F17C" w14:textId="77777777" w:rsidR="00181921" w:rsidRDefault="00000000">
      <w:pPr>
        <w:pStyle w:val="ListParagraph"/>
        <w:numPr>
          <w:ilvl w:val="0"/>
          <w:numId w:val="2"/>
        </w:numPr>
        <w:spacing w:before="30" w:after="30"/>
      </w:pPr>
      <w:r>
        <w:t xml:space="preserve">SWK loan terms: Full covenant disclosure in 2024 10-K (filed March </w:t>
      </w:r>
      <w:proofErr w:type="gramStart"/>
      <w:r>
        <w:t>2025) —</w:t>
      </w:r>
      <w:proofErr w:type="gramEnd"/>
      <w:r>
        <w:t xml:space="preserve"> critical to review; any covenant tightness near profitability inflection is a non-trivial risk.</w:t>
      </w:r>
    </w:p>
    <w:p w14:paraId="07D9C6FE" w14:textId="77777777" w:rsidR="00181921" w:rsidRDefault="00000000">
      <w:pPr>
        <w:pStyle w:val="ListParagraph"/>
        <w:numPr>
          <w:ilvl w:val="0"/>
          <w:numId w:val="2"/>
        </w:numPr>
        <w:spacing w:before="30" w:after="30"/>
      </w:pPr>
      <w:r>
        <w:t>Compounding pharmacy surveillance: Monitor for any dermatology-specific compounding actions (FDA 503B oversight, state pharmacy board actions) affecting minocycline compounders. GLP-1 precedent shows this can escalate quickly.</w:t>
      </w:r>
    </w:p>
    <w:p w14:paraId="48B3A071" w14:textId="77777777" w:rsidR="00181921" w:rsidRDefault="0018192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1921" w14:paraId="71DC4F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20" w:type="dxa"/>
              <w:left w:w="180" w:type="dxa"/>
              <w:bottom w:w="120" w:type="dxa"/>
              <w:right w:w="180" w:type="dxa"/>
            </w:tcMar>
          </w:tcPr>
          <w:p w14:paraId="2E1EE24C" w14:textId="77777777" w:rsidR="00181921" w:rsidRDefault="00000000">
            <w:r>
              <w:rPr>
                <w:b/>
                <w:bCs/>
                <w:color w:val="FFFFFF"/>
                <w:sz w:val="26"/>
                <w:szCs w:val="26"/>
              </w:rPr>
              <w:t>INVESTMENT VERDICT</w:t>
            </w:r>
          </w:p>
        </w:tc>
      </w:tr>
    </w:tbl>
    <w:p w14:paraId="2BF15583" w14:textId="77777777" w:rsidR="00181921" w:rsidRDefault="001819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81921" w14:paraId="025CB61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B8860B"/>
            <w:tcMar>
              <w:top w:w="140" w:type="dxa"/>
              <w:left w:w="120" w:type="dxa"/>
              <w:bottom w:w="140" w:type="dxa"/>
              <w:right w:w="120" w:type="dxa"/>
            </w:tcMar>
            <w:vAlign w:val="center"/>
          </w:tcPr>
          <w:p w14:paraId="646A5648" w14:textId="77777777" w:rsidR="00181921" w:rsidRDefault="00000000">
            <w:pPr>
              <w:jc w:val="center"/>
            </w:pPr>
            <w:r>
              <w:rPr>
                <w:b/>
                <w:bCs/>
                <w:color w:val="FFFFFF"/>
                <w:sz w:val="22"/>
                <w:szCs w:val="22"/>
              </w:rPr>
              <w:t>WATCH- LIST</w:t>
            </w:r>
          </w:p>
        </w:tc>
        <w:tc>
          <w:tcPr>
            <w:tcW w:w="7960" w:type="dxa"/>
            <w:tcBorders>
              <w:top w:val="none" w:sz="0" w:space="0" w:color="FFFFFF"/>
              <w:left w:val="none" w:sz="0" w:space="0" w:color="FFFFFF"/>
              <w:bottom w:val="none" w:sz="0" w:space="0" w:color="FFFFFF"/>
              <w:right w:val="none" w:sz="0" w:space="0" w:color="FFFFFF"/>
            </w:tcBorders>
            <w:shd w:val="clear" w:color="auto" w:fill="FBF3DC"/>
            <w:tcMar>
              <w:top w:w="140" w:type="dxa"/>
              <w:left w:w="200" w:type="dxa"/>
              <w:bottom w:w="140" w:type="dxa"/>
              <w:right w:w="200" w:type="dxa"/>
            </w:tcMar>
          </w:tcPr>
          <w:p w14:paraId="5E7D043C" w14:textId="77777777" w:rsidR="00181921" w:rsidRDefault="00000000">
            <w:pPr>
              <w:spacing w:before="40" w:after="40"/>
            </w:pPr>
            <w:r>
              <w:rPr>
                <w:sz w:val="19"/>
                <w:szCs w:val="19"/>
              </w:rPr>
              <w:t xml:space="preserve">Journey Medical Corporation (DERM) scores 43/70, placing it solidly in the WATCHLIST tier. The investment thesis is coherent and directionally compelling: </w:t>
            </w:r>
            <w:proofErr w:type="spellStart"/>
            <w:r>
              <w:rPr>
                <w:sz w:val="19"/>
                <w:szCs w:val="19"/>
              </w:rPr>
              <w:t>Emrosi's</w:t>
            </w:r>
            <w:proofErr w:type="spellEnd"/>
            <w:r>
              <w:rPr>
                <w:sz w:val="19"/>
                <w:szCs w:val="19"/>
              </w:rPr>
              <w:t xml:space="preserve"> clinical superiority over the standard of care, combined with genuine operating leverage from a </w:t>
            </w:r>
            <w:r>
              <w:rPr>
                <w:sz w:val="19"/>
                <w:szCs w:val="19"/>
              </w:rPr>
              <w:lastRenderedPageBreak/>
              <w:t>fixed-cost commercial infrastructure, creates a credible path to sustained EBITDA profitability within 1–2 quarters. Commercial execution has been consistently above expectations, and the Rx growth trajectory in Q3 2025 is the best launch performance in Journey's portfolio history.</w:t>
            </w:r>
          </w:p>
          <w:p w14:paraId="7D186A34" w14:textId="77777777" w:rsidR="00181921" w:rsidRDefault="00181921">
            <w:pPr>
              <w:spacing w:before="30" w:after="30"/>
            </w:pPr>
          </w:p>
          <w:p w14:paraId="2CAF4920" w14:textId="77777777" w:rsidR="00181921" w:rsidRDefault="00000000">
            <w:pPr>
              <w:spacing w:before="40" w:after="40"/>
            </w:pPr>
            <w:r>
              <w:rPr>
                <w:sz w:val="19"/>
                <w:szCs w:val="19"/>
              </w:rPr>
              <w:t>What prevents a HIGH CONVICTION rating is a cluster of unresolved structural concerns: gross-to-net opacity at a stage where the information should be disclosable; a near-term IP cliff (</w:t>
            </w:r>
            <w:proofErr w:type="spellStart"/>
            <w:r>
              <w:rPr>
                <w:sz w:val="19"/>
                <w:szCs w:val="19"/>
              </w:rPr>
              <w:t>Zilxi</w:t>
            </w:r>
            <w:proofErr w:type="spellEnd"/>
            <w:r>
              <w:rPr>
                <w:sz w:val="19"/>
                <w:szCs w:val="19"/>
              </w:rPr>
              <w:t xml:space="preserve">, April 2027) that management has not publicly addressed with a mitigation plan; an entirely absent pipeline that makes the thesis single-product dependent; and the Fortress Biotech governance overhang that limits clean strategic exit optionality. The compounding pharmacy risk for a generic-molecule branded product like </w:t>
            </w:r>
            <w:proofErr w:type="spellStart"/>
            <w:r>
              <w:rPr>
                <w:sz w:val="19"/>
                <w:szCs w:val="19"/>
              </w:rPr>
              <w:t>Emrosi</w:t>
            </w:r>
            <w:proofErr w:type="spellEnd"/>
            <w:r>
              <w:rPr>
                <w:sz w:val="19"/>
                <w:szCs w:val="19"/>
              </w:rPr>
              <w:t xml:space="preserve"> is a tail risk that no financial model can currently size.</w:t>
            </w:r>
          </w:p>
          <w:p w14:paraId="5B950A65" w14:textId="77777777" w:rsidR="00181921" w:rsidRDefault="00181921">
            <w:pPr>
              <w:spacing w:before="30" w:after="30"/>
            </w:pPr>
          </w:p>
          <w:p w14:paraId="7FBCA040" w14:textId="77777777" w:rsidR="00181921" w:rsidRDefault="00000000">
            <w:pPr>
              <w:spacing w:before="40" w:after="40"/>
            </w:pPr>
            <w:r>
              <w:rPr>
                <w:color w:val="1B3A5C"/>
                <w:sz w:val="19"/>
                <w:szCs w:val="19"/>
              </w:rPr>
              <w:t xml:space="preserve">UPGRADE TRIGGER: A score of 47–50+ (High Conviction threshold) would require: (1) sustained EBITDA positive quarters with voluntary G2N disclosure; (2) 3rd GPO contracted and Rx growth acceleration confirmed; (3) </w:t>
            </w:r>
            <w:proofErr w:type="spellStart"/>
            <w:r>
              <w:rPr>
                <w:color w:val="1B3A5C"/>
                <w:sz w:val="19"/>
                <w:szCs w:val="19"/>
              </w:rPr>
              <w:t>Zilxi</w:t>
            </w:r>
            <w:proofErr w:type="spellEnd"/>
            <w:r>
              <w:rPr>
                <w:color w:val="1B3A5C"/>
                <w:sz w:val="19"/>
                <w:szCs w:val="19"/>
              </w:rPr>
              <w:t xml:space="preserve"> generic mitigation plan articulated; and/or (4) announcement of next asset acquisition demonstrating pipeline optionality. At current pricing (~$7.45), the stock reflects skepticism about execution — if </w:t>
            </w:r>
            <w:proofErr w:type="spellStart"/>
            <w:r>
              <w:rPr>
                <w:color w:val="1B3A5C"/>
                <w:sz w:val="19"/>
                <w:szCs w:val="19"/>
              </w:rPr>
              <w:t>Emrosi</w:t>
            </w:r>
            <w:proofErr w:type="spellEnd"/>
            <w:r>
              <w:rPr>
                <w:color w:val="1B3A5C"/>
                <w:sz w:val="19"/>
                <w:szCs w:val="19"/>
              </w:rPr>
              <w:t xml:space="preserve"> continues its launch trajectory, the risk/reward is asymmetric to the upside. Position sizing should reflect Watchlist conviction — starter position with defined catalyst-based adds.</w:t>
            </w:r>
          </w:p>
        </w:tc>
      </w:tr>
    </w:tbl>
    <w:p w14:paraId="39C2F137" w14:textId="77777777" w:rsidR="00181921" w:rsidRDefault="00181921">
      <w:pPr>
        <w:spacing w:before="60" w:after="60"/>
      </w:pPr>
    </w:p>
    <w:p w14:paraId="06ACA8CC" w14:textId="77777777" w:rsidR="00181921" w:rsidRDefault="00000000">
      <w:pPr>
        <w:spacing w:before="40" w:after="40"/>
      </w:pPr>
      <w:r>
        <w:rPr>
          <w:b/>
          <w:bCs/>
          <w:sz w:val="17"/>
          <w:szCs w:val="17"/>
        </w:rPr>
        <w:t xml:space="preserve">DISCLAIMER: </w:t>
      </w:r>
      <w:r>
        <w:rPr>
          <w:i/>
          <w:iCs/>
          <w:color w:val="888888"/>
          <w:sz w:val="17"/>
          <w:szCs w:val="17"/>
        </w:rPr>
        <w:t>This analysis is for internal investment research purposes only. Data sourced from SEC filings, company press releases, and public earnings call transcripts through Q3 2025. This document does not constitute investment advice. All scores reflect judgment as of analysis date and are subject to revision upon new information.</w:t>
      </w:r>
    </w:p>
    <w:sectPr w:rsidR="0018192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8130" w14:textId="77777777" w:rsidR="007D2842" w:rsidRDefault="007D2842">
      <w:r>
        <w:separator/>
      </w:r>
    </w:p>
  </w:endnote>
  <w:endnote w:type="continuationSeparator" w:id="0">
    <w:p w14:paraId="53EB328B" w14:textId="77777777" w:rsidR="007D2842" w:rsidRDefault="007D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557F" w14:textId="77777777" w:rsidR="00181921" w:rsidRDefault="00181921">
    <w:pPr>
      <w:pBdr>
        <w:bottom w:val="single" w:sz="6" w:space="1" w:color="1A6B72"/>
      </w:pBdr>
      <w:spacing w:before="80" w:after="80"/>
    </w:pPr>
  </w:p>
  <w:p w14:paraId="2F32D0FD" w14:textId="77777777" w:rsidR="00181921" w:rsidRDefault="00000000">
    <w:pPr>
      <w:jc w:val="center"/>
    </w:pPr>
    <w:r>
      <w:rPr>
        <w:color w:val="888888"/>
        <w:sz w:val="16"/>
        <w:szCs w:val="16"/>
      </w:rPr>
      <w:t xml:space="preserve">Bustamante Investment </w:t>
    </w:r>
    <w:proofErr w:type="gramStart"/>
    <w:r>
      <w:rPr>
        <w:color w:val="888888"/>
        <w:sz w:val="16"/>
        <w:szCs w:val="16"/>
      </w:rPr>
      <w:t>Research  |</w:t>
    </w:r>
    <w:proofErr w:type="gramEnd"/>
    <w:r>
      <w:rPr>
        <w:color w:val="888888"/>
        <w:sz w:val="16"/>
        <w:szCs w:val="16"/>
      </w:rPr>
      <w:t xml:space="preserve">  Commercial-Stage Specialty Pharma Framework </w:t>
    </w:r>
    <w:proofErr w:type="gramStart"/>
    <w:r>
      <w:rPr>
        <w:color w:val="888888"/>
        <w:sz w:val="16"/>
        <w:szCs w:val="16"/>
      </w:rPr>
      <w:t>v1.0  |</w:t>
    </w:r>
    <w:proofErr w:type="gramEnd"/>
    <w:r>
      <w:rPr>
        <w:color w:val="888888"/>
        <w:sz w:val="16"/>
        <w:szCs w:val="16"/>
      </w:rPr>
      <w:t xml:space="preserve">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F3A88" w14:textId="77777777" w:rsidR="007D2842" w:rsidRDefault="007D2842">
      <w:r>
        <w:separator/>
      </w:r>
    </w:p>
  </w:footnote>
  <w:footnote w:type="continuationSeparator" w:id="0">
    <w:p w14:paraId="7B35DD2E" w14:textId="77777777" w:rsidR="007D2842" w:rsidRDefault="007D2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0"/>
      <w:gridCol w:w="2800"/>
    </w:tblGrid>
    <w:tr w:rsidR="00181921" w14:paraId="6E7D722C" w14:textId="77777777">
      <w:tblPrEx>
        <w:tblCellMar>
          <w:top w:w="0" w:type="dxa"/>
          <w:bottom w:w="0" w:type="dxa"/>
        </w:tblCellMar>
      </w:tblPrEx>
      <w:tc>
        <w:tcPr>
          <w:tcW w:w="7280" w:type="dxa"/>
          <w:tcBorders>
            <w:top w:val="none" w:sz="0" w:space="0" w:color="FFFFFF"/>
            <w:left w:val="none" w:sz="0" w:space="0" w:color="FFFFFF"/>
            <w:bottom w:val="none" w:sz="0" w:space="0" w:color="FFFFFF"/>
            <w:right w:val="none" w:sz="0" w:space="0" w:color="FFFFFF"/>
          </w:tcBorders>
          <w:shd w:val="clear" w:color="auto" w:fill="1B3A5C"/>
          <w:tcMar>
            <w:top w:w="80" w:type="dxa"/>
            <w:left w:w="160" w:type="dxa"/>
            <w:bottom w:w="80" w:type="dxa"/>
            <w:right w:w="160" w:type="dxa"/>
          </w:tcMar>
        </w:tcPr>
        <w:p w14:paraId="5B342127" w14:textId="77777777" w:rsidR="00181921" w:rsidRDefault="00000000">
          <w:r>
            <w:rPr>
              <w:b/>
              <w:bCs/>
              <w:color w:val="FFFFFF"/>
              <w:sz w:val="16"/>
              <w:szCs w:val="16"/>
            </w:rPr>
            <w:t xml:space="preserve">COMMERCIAL-STAGE SPECIALTY PHARMA </w:t>
          </w:r>
          <w:proofErr w:type="gramStart"/>
          <w:r>
            <w:rPr>
              <w:b/>
              <w:bCs/>
              <w:color w:val="FFFFFF"/>
              <w:sz w:val="16"/>
              <w:szCs w:val="16"/>
            </w:rPr>
            <w:t>FRAMEWORK  |</w:t>
          </w:r>
          <w:proofErr w:type="gramEnd"/>
          <w:r>
            <w:rPr>
              <w:b/>
              <w:bCs/>
              <w:color w:val="FFFFFF"/>
              <w:sz w:val="16"/>
              <w:szCs w:val="16"/>
            </w:rPr>
            <w:t xml:space="preserve">  DERM TEST CASE</w:t>
          </w:r>
        </w:p>
      </w:tc>
      <w:tc>
        <w:tcPr>
          <w:tcW w:w="2800" w:type="dxa"/>
          <w:tcBorders>
            <w:top w:val="none" w:sz="0" w:space="0" w:color="FFFFFF"/>
            <w:left w:val="none" w:sz="0" w:space="0" w:color="FFFFFF"/>
            <w:bottom w:val="none" w:sz="0" w:space="0" w:color="FFFFFF"/>
            <w:right w:val="none" w:sz="0" w:space="0" w:color="FFFFFF"/>
          </w:tcBorders>
          <w:shd w:val="clear" w:color="auto" w:fill="1A6B72"/>
          <w:tcMar>
            <w:top w:w="80" w:type="dxa"/>
            <w:left w:w="160" w:type="dxa"/>
            <w:bottom w:w="80" w:type="dxa"/>
            <w:right w:w="160" w:type="dxa"/>
          </w:tcMar>
        </w:tcPr>
        <w:p w14:paraId="79E8AE8E" w14:textId="77777777" w:rsidR="00181921" w:rsidRDefault="00000000">
          <w:pPr>
            <w:jc w:val="right"/>
          </w:pPr>
          <w:r>
            <w:rPr>
              <w:color w:val="FFFFFF"/>
              <w:sz w:val="16"/>
              <w:szCs w:val="16"/>
            </w:rPr>
            <w:t>PROPRIETARY &amp;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6134A"/>
    <w:multiLevelType w:val="hybridMultilevel"/>
    <w:tmpl w:val="87D813D2"/>
    <w:lvl w:ilvl="0" w:tplc="D2521162">
      <w:start w:val="1"/>
      <w:numFmt w:val="bullet"/>
      <w:lvlText w:val="•"/>
      <w:lvlJc w:val="left"/>
      <w:pPr>
        <w:ind w:left="560" w:hanging="280"/>
      </w:pPr>
    </w:lvl>
    <w:lvl w:ilvl="1" w:tplc="19C6004A">
      <w:start w:val="1"/>
      <w:numFmt w:val="bullet"/>
      <w:lvlText w:val="◦"/>
      <w:lvlJc w:val="left"/>
      <w:pPr>
        <w:ind w:left="1000" w:hanging="280"/>
      </w:pPr>
    </w:lvl>
    <w:lvl w:ilvl="2" w:tplc="6074BB02">
      <w:numFmt w:val="decimal"/>
      <w:lvlText w:val=""/>
      <w:lvlJc w:val="left"/>
    </w:lvl>
    <w:lvl w:ilvl="3" w:tplc="E9284366">
      <w:numFmt w:val="decimal"/>
      <w:lvlText w:val=""/>
      <w:lvlJc w:val="left"/>
    </w:lvl>
    <w:lvl w:ilvl="4" w:tplc="102A671E">
      <w:numFmt w:val="decimal"/>
      <w:lvlText w:val=""/>
      <w:lvlJc w:val="left"/>
    </w:lvl>
    <w:lvl w:ilvl="5" w:tplc="4EA6CF7A">
      <w:numFmt w:val="decimal"/>
      <w:lvlText w:val=""/>
      <w:lvlJc w:val="left"/>
    </w:lvl>
    <w:lvl w:ilvl="6" w:tplc="0EB80890">
      <w:numFmt w:val="decimal"/>
      <w:lvlText w:val=""/>
      <w:lvlJc w:val="left"/>
    </w:lvl>
    <w:lvl w:ilvl="7" w:tplc="CC883B8A">
      <w:numFmt w:val="decimal"/>
      <w:lvlText w:val=""/>
      <w:lvlJc w:val="left"/>
    </w:lvl>
    <w:lvl w:ilvl="8" w:tplc="90A21F84">
      <w:numFmt w:val="decimal"/>
      <w:lvlText w:val=""/>
      <w:lvlJc w:val="left"/>
    </w:lvl>
  </w:abstractNum>
  <w:abstractNum w:abstractNumId="1" w15:restartNumberingAfterBreak="0">
    <w:nsid w:val="30EA454D"/>
    <w:multiLevelType w:val="hybridMultilevel"/>
    <w:tmpl w:val="B95C8CDC"/>
    <w:lvl w:ilvl="0" w:tplc="3D9E1F8A">
      <w:start w:val="1"/>
      <w:numFmt w:val="bullet"/>
      <w:lvlText w:val="●"/>
      <w:lvlJc w:val="left"/>
      <w:pPr>
        <w:ind w:left="720" w:hanging="360"/>
      </w:pPr>
    </w:lvl>
    <w:lvl w:ilvl="1" w:tplc="4AA2A722">
      <w:start w:val="1"/>
      <w:numFmt w:val="bullet"/>
      <w:lvlText w:val="○"/>
      <w:lvlJc w:val="left"/>
      <w:pPr>
        <w:ind w:left="1440" w:hanging="360"/>
      </w:pPr>
    </w:lvl>
    <w:lvl w:ilvl="2" w:tplc="4680FB8E">
      <w:start w:val="1"/>
      <w:numFmt w:val="bullet"/>
      <w:lvlText w:val="■"/>
      <w:lvlJc w:val="left"/>
      <w:pPr>
        <w:ind w:left="2160" w:hanging="360"/>
      </w:pPr>
    </w:lvl>
    <w:lvl w:ilvl="3" w:tplc="06E27EEA">
      <w:start w:val="1"/>
      <w:numFmt w:val="bullet"/>
      <w:lvlText w:val="●"/>
      <w:lvlJc w:val="left"/>
      <w:pPr>
        <w:ind w:left="2880" w:hanging="360"/>
      </w:pPr>
    </w:lvl>
    <w:lvl w:ilvl="4" w:tplc="3D8EBEBA">
      <w:start w:val="1"/>
      <w:numFmt w:val="bullet"/>
      <w:lvlText w:val="○"/>
      <w:lvlJc w:val="left"/>
      <w:pPr>
        <w:ind w:left="3600" w:hanging="360"/>
      </w:pPr>
    </w:lvl>
    <w:lvl w:ilvl="5" w:tplc="7F682704">
      <w:start w:val="1"/>
      <w:numFmt w:val="bullet"/>
      <w:lvlText w:val="■"/>
      <w:lvlJc w:val="left"/>
      <w:pPr>
        <w:ind w:left="4320" w:hanging="360"/>
      </w:pPr>
    </w:lvl>
    <w:lvl w:ilvl="6" w:tplc="07848C80">
      <w:start w:val="1"/>
      <w:numFmt w:val="bullet"/>
      <w:lvlText w:val="●"/>
      <w:lvlJc w:val="left"/>
      <w:pPr>
        <w:ind w:left="5040" w:hanging="360"/>
      </w:pPr>
    </w:lvl>
    <w:lvl w:ilvl="7" w:tplc="78EA269E">
      <w:start w:val="1"/>
      <w:numFmt w:val="bullet"/>
      <w:lvlText w:val="●"/>
      <w:lvlJc w:val="left"/>
      <w:pPr>
        <w:ind w:left="5760" w:hanging="360"/>
      </w:pPr>
    </w:lvl>
    <w:lvl w:ilvl="8" w:tplc="D090C432">
      <w:start w:val="1"/>
      <w:numFmt w:val="bullet"/>
      <w:lvlText w:val="●"/>
      <w:lvlJc w:val="left"/>
      <w:pPr>
        <w:ind w:left="6480" w:hanging="360"/>
      </w:pPr>
    </w:lvl>
  </w:abstractNum>
  <w:num w:numId="1" w16cid:durableId="449935948">
    <w:abstractNumId w:val="1"/>
    <w:lvlOverride w:ilvl="0">
      <w:startOverride w:val="1"/>
    </w:lvlOverride>
  </w:num>
  <w:num w:numId="2" w16cid:durableId="98108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921"/>
    <w:rsid w:val="00142D42"/>
    <w:rsid w:val="00181921"/>
    <w:rsid w:val="00597B8C"/>
    <w:rsid w:val="007D2842"/>
    <w:rsid w:val="00EE7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64CD"/>
  <w15:docId w15:val="{AFE156F4-EFFC-4529-BAE1-3D0708C2C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5C"/>
      <w:sz w:val="32"/>
      <w:szCs w:val="32"/>
    </w:rPr>
  </w:style>
  <w:style w:type="paragraph" w:styleId="Heading2">
    <w:name w:val="heading 2"/>
    <w:uiPriority w:val="9"/>
    <w:unhideWhenUsed/>
    <w:qFormat/>
    <w:pPr>
      <w:spacing w:before="280" w:after="140"/>
      <w:outlineLvl w:val="1"/>
    </w:pPr>
    <w:rPr>
      <w:b/>
      <w:bCs/>
      <w:color w:val="1A6B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5271</Words>
  <Characters>31868</Characters>
  <Application>Microsoft Office Word</Application>
  <DocSecurity>0</DocSecurity>
  <Lines>804</Lines>
  <Paragraphs>417</Paragraphs>
  <ScaleCrop>false</ScaleCrop>
  <Company/>
  <LinksUpToDate>false</LinksUpToDate>
  <CharactersWithSpaces>36899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2026-03-13T08:00:00Z</dcterms:created>
  <dcterms:modified xsi:type="dcterms:W3CDTF">2026-03-13T08:00:00Z</dcterms:modified>
</cp:coreProperties>
</file>