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A95BD" w14:textId="77777777" w:rsidR="00B928AF" w:rsidRDefault="00B928AF">
      <w:pPr>
        <w:spacing w:before="2400"/>
      </w:pPr>
    </w:p>
    <w:p w14:paraId="196F6674" w14:textId="77777777" w:rsidR="00B928AF" w:rsidRDefault="00000000">
      <w:pPr>
        <w:spacing w:after="100"/>
        <w:jc w:val="center"/>
      </w:pPr>
      <w:r>
        <w:rPr>
          <w:b/>
          <w:bCs/>
          <w:color w:val="2E75B6"/>
          <w:sz w:val="28"/>
          <w:szCs w:val="28"/>
        </w:rPr>
        <w:t>INFRASTRUCTURE SERVICES COMPOUNDER ASSESSMENT</w:t>
      </w:r>
    </w:p>
    <w:p w14:paraId="61BA2E1B" w14:textId="77777777" w:rsidR="00B928AF" w:rsidRDefault="00000000">
      <w:pPr>
        <w:spacing w:after="60"/>
        <w:jc w:val="center"/>
      </w:pPr>
      <w:r>
        <w:rPr>
          <w:color w:val="1B3A5C"/>
        </w:rPr>
        <w:t>EVA × ROIC × ROIIC Value Creation Framework</w:t>
      </w:r>
    </w:p>
    <w:p w14:paraId="3E87A3F7" w14:textId="77777777" w:rsidR="00B928AF" w:rsidRDefault="00000000">
      <w:pPr>
        <w:spacing w:after="400"/>
        <w:jc w:val="center"/>
      </w:pPr>
      <w:r>
        <w:rPr>
          <w:color w:val="666666"/>
          <w:sz w:val="20"/>
          <w:szCs w:val="20"/>
        </w:rPr>
        <w:t>Framework v1.0 — March 2026</w:t>
      </w:r>
    </w:p>
    <w:p w14:paraId="74AA129E" w14:textId="77777777" w:rsidR="00B928AF" w:rsidRDefault="00000000">
      <w:pPr>
        <w:spacing w:after="60"/>
        <w:jc w:val="center"/>
      </w:pPr>
      <w:r>
        <w:rPr>
          <w:b/>
          <w:bCs/>
          <w:color w:val="1B3A5C"/>
          <w:sz w:val="48"/>
          <w:szCs w:val="48"/>
        </w:rPr>
        <w:t>EMCOR GROUP, INC.</w:t>
      </w:r>
    </w:p>
    <w:p w14:paraId="3B993A13" w14:textId="77777777" w:rsidR="00B928AF" w:rsidRDefault="00000000">
      <w:pPr>
        <w:spacing w:after="200"/>
        <w:jc w:val="center"/>
      </w:pPr>
      <w:r>
        <w:rPr>
          <w:color w:val="2E75B6"/>
          <w:sz w:val="28"/>
          <w:szCs w:val="28"/>
        </w:rPr>
        <w:t>NYSE: EME</w:t>
      </w:r>
    </w:p>
    <w:p w14:paraId="0055BC5B" w14:textId="77777777" w:rsidR="00B928AF" w:rsidRDefault="00000000">
      <w:pPr>
        <w:spacing w:after="600"/>
        <w:jc w:val="center"/>
      </w:pPr>
      <w:r>
        <w:rPr>
          <w:color w:val="666666"/>
        </w:rPr>
        <w:t>March 19, 2026</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tblGrid>
      <w:tr w:rsidR="00B928AF" w14:paraId="4B0EED87" w14:textId="77777777">
        <w:tblPrEx>
          <w:tblCellMar>
            <w:top w:w="0" w:type="dxa"/>
            <w:bottom w:w="0" w:type="dxa"/>
          </w:tblCellMar>
        </w:tblPrEx>
        <w:tc>
          <w:tcPr>
            <w:tcW w:w="5400" w:type="dxa"/>
            <w:tcBorders>
              <w:top w:val="single" w:sz="3" w:space="0" w:color="548235"/>
              <w:left w:val="single" w:sz="3" w:space="0" w:color="548235"/>
              <w:bottom w:val="single" w:sz="3" w:space="0" w:color="548235"/>
              <w:right w:val="single" w:sz="3" w:space="0" w:color="548235"/>
            </w:tcBorders>
            <w:shd w:val="clear" w:color="auto" w:fill="E8F5E9"/>
            <w:tcMar>
              <w:top w:w="200" w:type="dxa"/>
              <w:left w:w="300" w:type="dxa"/>
              <w:bottom w:w="200" w:type="dxa"/>
              <w:right w:w="300" w:type="dxa"/>
            </w:tcMar>
          </w:tcPr>
          <w:p w14:paraId="74278D2D" w14:textId="77777777" w:rsidR="00B928AF" w:rsidRDefault="00000000">
            <w:pPr>
              <w:spacing w:after="60"/>
              <w:jc w:val="center"/>
            </w:pPr>
            <w:r>
              <w:rPr>
                <w:color w:val="548235"/>
                <w:sz w:val="20"/>
                <w:szCs w:val="20"/>
              </w:rPr>
              <w:t>FINAL CLASSIFICATION</w:t>
            </w:r>
          </w:p>
          <w:p w14:paraId="2C5FF84D" w14:textId="77777777" w:rsidR="00B928AF" w:rsidRDefault="00000000">
            <w:pPr>
              <w:spacing w:after="60"/>
              <w:jc w:val="center"/>
            </w:pPr>
            <w:r>
              <w:rPr>
                <w:b/>
                <w:bCs/>
                <w:color w:val="548235"/>
                <w:sz w:val="36"/>
                <w:szCs w:val="36"/>
              </w:rPr>
              <w:t>INFRASTRUCTURE COMPOUNDER</w:t>
            </w:r>
          </w:p>
          <w:p w14:paraId="78C57B0F" w14:textId="77777777" w:rsidR="00B928AF" w:rsidRDefault="00000000">
            <w:pPr>
              <w:jc w:val="center"/>
            </w:pPr>
            <w:r>
              <w:rPr>
                <w:color w:val="1B3A5C"/>
                <w:sz w:val="20"/>
                <w:szCs w:val="20"/>
              </w:rPr>
              <w:t xml:space="preserve">Final Composite: 8.55 / </w:t>
            </w:r>
            <w:proofErr w:type="gramStart"/>
            <w:r>
              <w:rPr>
                <w:color w:val="1B3A5C"/>
                <w:sz w:val="20"/>
                <w:szCs w:val="20"/>
              </w:rPr>
              <w:t>10.0  |</w:t>
            </w:r>
            <w:proofErr w:type="gramEnd"/>
            <w:r>
              <w:rPr>
                <w:color w:val="1B3A5C"/>
                <w:sz w:val="20"/>
                <w:szCs w:val="20"/>
              </w:rPr>
              <w:t xml:space="preserve">  LMI Pre-Screen: 6/7 (</w:t>
            </w:r>
            <w:proofErr w:type="gramStart"/>
            <w:r>
              <w:rPr>
                <w:color w:val="1B3A5C"/>
                <w:sz w:val="20"/>
                <w:szCs w:val="20"/>
              </w:rPr>
              <w:t>FORTRESS)  |</w:t>
            </w:r>
            <w:proofErr w:type="gramEnd"/>
            <w:r>
              <w:rPr>
                <w:color w:val="1B3A5C"/>
                <w:sz w:val="20"/>
                <w:szCs w:val="20"/>
              </w:rPr>
              <w:t xml:space="preserve">  ROIC-WACC: +10.6%</w:t>
            </w:r>
          </w:p>
        </w:tc>
      </w:tr>
    </w:tbl>
    <w:p w14:paraId="16BB3048" w14:textId="77777777" w:rsidR="00B928AF" w:rsidRDefault="00B928AF">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B928AF" w14:paraId="4A64284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63804A3" w14:textId="77777777" w:rsidR="00B928AF" w:rsidRDefault="00000000">
            <w:pPr>
              <w:jc w:val="center"/>
            </w:pPr>
            <w:r>
              <w:rPr>
                <w:b/>
                <w:bCs/>
                <w:color w:val="FFFFFF"/>
                <w:sz w:val="20"/>
                <w:szCs w:val="20"/>
              </w:rPr>
              <w:t>Revenue (FY2025)</w:t>
            </w:r>
          </w:p>
        </w:tc>
        <w:tc>
          <w:tcPr>
            <w:tcW w:w="187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4E16A9D2" w14:textId="77777777" w:rsidR="00B928AF" w:rsidRDefault="00000000">
            <w:pPr>
              <w:jc w:val="center"/>
            </w:pPr>
            <w:r>
              <w:rPr>
                <w:b/>
                <w:bCs/>
                <w:color w:val="FFFFFF"/>
                <w:sz w:val="20"/>
                <w:szCs w:val="20"/>
              </w:rPr>
              <w:t>ROIC / WACC</w:t>
            </w:r>
          </w:p>
        </w:tc>
        <w:tc>
          <w:tcPr>
            <w:tcW w:w="187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67DB780" w14:textId="77777777" w:rsidR="00B928AF" w:rsidRDefault="00000000">
            <w:pPr>
              <w:jc w:val="center"/>
            </w:pPr>
            <w:r>
              <w:rPr>
                <w:b/>
                <w:bCs/>
                <w:color w:val="FFFFFF"/>
                <w:sz w:val="20"/>
                <w:szCs w:val="20"/>
              </w:rPr>
              <w:t>RPO (Backlog)</w:t>
            </w:r>
          </w:p>
        </w:tc>
        <w:tc>
          <w:tcPr>
            <w:tcW w:w="187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FF59E04" w14:textId="77777777" w:rsidR="00B928AF" w:rsidRDefault="00000000">
            <w:pPr>
              <w:jc w:val="center"/>
            </w:pPr>
            <w:r>
              <w:rPr>
                <w:b/>
                <w:bCs/>
                <w:color w:val="FFFFFF"/>
                <w:sz w:val="20"/>
                <w:szCs w:val="20"/>
              </w:rPr>
              <w:t xml:space="preserve">FCF / </w:t>
            </w:r>
            <w:proofErr w:type="spellStart"/>
            <w:r>
              <w:rPr>
                <w:b/>
                <w:bCs/>
                <w:color w:val="FFFFFF"/>
                <w:sz w:val="20"/>
                <w:szCs w:val="20"/>
              </w:rPr>
              <w:t>CapEx</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CBBC43C" w14:textId="77777777" w:rsidR="00B928AF" w:rsidRDefault="00000000">
            <w:pPr>
              <w:jc w:val="center"/>
            </w:pPr>
            <w:r>
              <w:rPr>
                <w:b/>
                <w:bCs/>
                <w:color w:val="FFFFFF"/>
                <w:sz w:val="20"/>
                <w:szCs w:val="20"/>
              </w:rPr>
              <w:t>Employees</w:t>
            </w:r>
          </w:p>
        </w:tc>
      </w:tr>
      <w:tr w:rsidR="00B928AF" w14:paraId="1A18991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694C8E" w14:textId="77777777" w:rsidR="00B928AF" w:rsidRDefault="00000000">
            <w:pPr>
              <w:jc w:val="center"/>
            </w:pPr>
            <w:r>
              <w:rPr>
                <w:b/>
                <w:bCs/>
                <w:color w:val="000000"/>
                <w:sz w:val="20"/>
                <w:szCs w:val="20"/>
              </w:rPr>
              <w:t>$17.0B (+17%)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AAE8F6" w14:textId="77777777" w:rsidR="00B928AF" w:rsidRDefault="00000000">
            <w:pPr>
              <w:jc w:val="center"/>
            </w:pPr>
            <w:r>
              <w:rPr>
                <w:b/>
                <w:bCs/>
                <w:color w:val="000000"/>
                <w:sz w:val="20"/>
                <w:szCs w:val="20"/>
              </w:rPr>
              <w:t>22.3% / 11.7%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B7E523" w14:textId="77777777" w:rsidR="00B928AF" w:rsidRDefault="00000000">
            <w:pPr>
              <w:jc w:val="center"/>
            </w:pPr>
            <w:r>
              <w:rPr>
                <w:b/>
                <w:bCs/>
                <w:color w:val="000000"/>
                <w:sz w:val="20"/>
                <w:szCs w:val="20"/>
              </w:rPr>
              <w:t>$13.25B (+31%)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DE12EF" w14:textId="77777777" w:rsidR="00B928AF" w:rsidRDefault="00000000">
            <w:pPr>
              <w:jc w:val="center"/>
            </w:pPr>
            <w:r>
              <w:rPr>
                <w:b/>
                <w:bCs/>
                <w:color w:val="000000"/>
                <w:sz w:val="20"/>
                <w:szCs w:val="20"/>
              </w:rPr>
              <w:t>~$1.3B / $75M</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91C8A" w14:textId="77777777" w:rsidR="00B928AF" w:rsidRDefault="00000000">
            <w:pPr>
              <w:jc w:val="center"/>
            </w:pPr>
            <w:r>
              <w:rPr>
                <w:b/>
                <w:bCs/>
                <w:color w:val="000000"/>
                <w:sz w:val="20"/>
                <w:szCs w:val="20"/>
              </w:rPr>
              <w:t>~44,000</w:t>
            </w:r>
          </w:p>
        </w:tc>
      </w:tr>
    </w:tbl>
    <w:p w14:paraId="3CB5378F" w14:textId="77777777" w:rsidR="00B928AF" w:rsidRDefault="00000000">
      <w:r>
        <w:br w:type="page"/>
      </w:r>
    </w:p>
    <w:p w14:paraId="0F2131A2" w14:textId="77777777" w:rsidR="00B928AF" w:rsidRDefault="00000000">
      <w:pPr>
        <w:pStyle w:val="Heading1"/>
        <w:spacing w:before="300" w:after="150"/>
      </w:pPr>
      <w:r>
        <w:lastRenderedPageBreak/>
        <w:t>FRAMEWORK OVERVIEW: INFRASTRUCTURE SERVICES COMPOUNDER v1.0</w:t>
      </w:r>
    </w:p>
    <w:p w14:paraId="0779CEAD" w14:textId="77777777" w:rsidR="00B928AF" w:rsidRDefault="00000000">
      <w:pPr>
        <w:spacing w:after="120"/>
      </w:pPr>
      <w:r>
        <w:rPr>
          <w:color w:val="000000"/>
        </w:rPr>
        <w:t>This framework is purpose-built for labor-intensive infrastructure services companies — businesses where the “installed base” is the skilled workforce, the “recurring revenue” is repeat customer relationships, and the “switching cost” is the risk of hiring an unproven contractor for mission-critical infrastructure. Traditional SaaS and device frameworks fail these companies because their moats are built on licensed labor, physical execution capability, and project complexity — not data flywheels or subscription economics.</w:t>
      </w:r>
    </w:p>
    <w:p w14:paraId="66FA6683" w14:textId="77777777" w:rsidR="00B928AF" w:rsidRDefault="00000000">
      <w:pPr>
        <w:spacing w:after="120"/>
      </w:pPr>
      <w:r>
        <w:rPr>
          <w:color w:val="000000"/>
        </w:rPr>
        <w:t>The framework’s intellectual foundation is Economic Value Added (EVA) and the value creation identity: Value Creation = Reinvestment Rate × ROIIC, where ROIIC is the Return on Incremental Invested Capital. A true infrastructure compounder earns returns well above its cost of capital (ROIC &gt;&gt; WACC), reinvests at high incremental returns (ROIIC), and compounds intrinsic value per share over time. The framework tests whether the company’s moat is durable enough to sustain this value creation engine.</w:t>
      </w:r>
    </w:p>
    <w:p w14:paraId="2F3B9B1D" w14:textId="77777777" w:rsidR="00B928AF" w:rsidRDefault="00B928AF">
      <w:pPr>
        <w:spacing w:after="120"/>
      </w:pPr>
    </w:p>
    <w:p w14:paraId="1CBA741D" w14:textId="77777777" w:rsidR="00B928AF" w:rsidRDefault="00000000">
      <w:pPr>
        <w:spacing w:after="120"/>
      </w:pPr>
      <w:r>
        <w:rPr>
          <w:b/>
          <w:bCs/>
        </w:rPr>
        <w:t xml:space="preserve">Core Thesis: </w:t>
      </w:r>
      <w:r>
        <w:t xml:space="preserve">An infrastructure services company is antifragile when demand for its services INCREASES as the world becomes more complex (AI data centers, electrification, energy transition, reshoring) AND the supply of its key input (skilled labor) becomes MORE constrained. This creates </w:t>
      </w:r>
      <w:proofErr w:type="gramStart"/>
      <w:r>
        <w:t>a structural</w:t>
      </w:r>
      <w:proofErr w:type="gramEnd"/>
      <w:r>
        <w:t xml:space="preserve"> pricing power and margin expansion dynamic that compounds over time.</w:t>
      </w:r>
    </w:p>
    <w:p w14:paraId="38054870" w14:textId="77777777" w:rsidR="00B928AF" w:rsidRDefault="00B928AF">
      <w:pPr>
        <w:spacing w:after="120"/>
      </w:pPr>
    </w:p>
    <w:p w14:paraId="3DB8CA9A" w14:textId="77777777" w:rsidR="00B928AF" w:rsidRDefault="00000000">
      <w:pPr>
        <w:pStyle w:val="Heading2"/>
        <w:spacing w:before="300" w:after="150"/>
      </w:pPr>
      <w:r>
        <w:t>Classification Thresholds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2200"/>
        <w:gridCol w:w="3160"/>
      </w:tblGrid>
      <w:tr w:rsidR="00B928AF" w14:paraId="49DFAE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5414E95" w14:textId="77777777" w:rsidR="00B928AF" w:rsidRDefault="00000000">
            <w:r>
              <w:rPr>
                <w:b/>
                <w:bCs/>
                <w:color w:val="FFFFFF"/>
                <w:sz w:val="20"/>
                <w:szCs w:val="20"/>
              </w:rPr>
              <w:t>Classification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570A5C2" w14:textId="77777777" w:rsidR="00B928AF" w:rsidRDefault="00000000">
            <w:pPr>
              <w:jc w:val="center"/>
            </w:pPr>
            <w:r>
              <w:rPr>
                <w:b/>
                <w:bCs/>
                <w:color w:val="FFFFFF"/>
                <w:sz w:val="20"/>
                <w:szCs w:val="20"/>
              </w:rPr>
              <w:t>Raw Score</w:t>
            </w:r>
          </w:p>
        </w:tc>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D93F897" w14:textId="77777777" w:rsidR="00B928AF" w:rsidRDefault="00000000">
            <w:pPr>
              <w:jc w:val="center"/>
            </w:pPr>
            <w:r>
              <w:rPr>
                <w:b/>
                <w:bCs/>
                <w:color w:val="FFFFFF"/>
                <w:sz w:val="20"/>
                <w:szCs w:val="20"/>
              </w:rPr>
              <w:t>ROIC-WACC Req.</w:t>
            </w:r>
          </w:p>
        </w:tc>
        <w:tc>
          <w:tcPr>
            <w:tcW w:w="3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0B48F06" w14:textId="77777777" w:rsidR="00B928AF" w:rsidRDefault="00000000">
            <w:r>
              <w:rPr>
                <w:b/>
                <w:bCs/>
                <w:color w:val="FFFFFF"/>
                <w:sz w:val="20"/>
                <w:szCs w:val="20"/>
              </w:rPr>
              <w:t>Description</w:t>
            </w:r>
          </w:p>
        </w:tc>
      </w:tr>
      <w:tr w:rsidR="00B928AF" w14:paraId="1427341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3CDFFE" w14:textId="77777777" w:rsidR="00B928AF" w:rsidRDefault="00000000">
            <w:r>
              <w:rPr>
                <w:b/>
                <w:bCs/>
                <w:color w:val="548235"/>
                <w:sz w:val="20"/>
                <w:szCs w:val="20"/>
              </w:rPr>
              <w:t>Infrastructure Compounder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69CF25" w14:textId="77777777" w:rsidR="00B928AF" w:rsidRDefault="00000000">
            <w:pPr>
              <w:jc w:val="center"/>
            </w:pPr>
            <w:r>
              <w:rPr>
                <w:color w:val="000000"/>
                <w:sz w:val="20"/>
                <w:szCs w:val="20"/>
              </w:rPr>
              <w:t>≥ 7.5</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3C76F1" w14:textId="77777777" w:rsidR="00B928AF" w:rsidRDefault="00000000">
            <w:pPr>
              <w:jc w:val="center"/>
            </w:pPr>
            <w:r>
              <w:rPr>
                <w:color w:val="000000"/>
                <w:sz w:val="20"/>
                <w:szCs w:val="20"/>
              </w:rPr>
              <w:t>&gt; 10%</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ABAD61" w14:textId="77777777" w:rsidR="00B928AF" w:rsidRDefault="00000000">
            <w:r>
              <w:rPr>
                <w:color w:val="000000"/>
                <w:sz w:val="20"/>
                <w:szCs w:val="20"/>
              </w:rPr>
              <w:t>Durable moat, high reinvestment quality, secular tailwinds. Size 4–5%.</w:t>
            </w:r>
          </w:p>
        </w:tc>
      </w:tr>
      <w:tr w:rsidR="00B928AF" w14:paraId="7CA74C8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50AC7" w14:textId="77777777" w:rsidR="00B928AF" w:rsidRDefault="00000000">
            <w:r>
              <w:rPr>
                <w:b/>
                <w:bCs/>
                <w:color w:val="2E75B6"/>
                <w:sz w:val="20"/>
                <w:szCs w:val="20"/>
              </w:rPr>
              <w:t>Growth Contractor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7B3A47" w14:textId="77777777" w:rsidR="00B928AF" w:rsidRDefault="00000000">
            <w:pPr>
              <w:jc w:val="center"/>
            </w:pPr>
            <w:r>
              <w:rPr>
                <w:color w:val="000000"/>
                <w:sz w:val="20"/>
                <w:szCs w:val="20"/>
              </w:rPr>
              <w:t>5.0–7.49</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77824B" w14:textId="77777777" w:rsidR="00B928AF" w:rsidRDefault="00000000">
            <w:pPr>
              <w:jc w:val="center"/>
            </w:pPr>
            <w:r>
              <w:rPr>
                <w:color w:val="000000"/>
                <w:sz w:val="20"/>
                <w:szCs w:val="20"/>
              </w:rPr>
              <w:t>&gt; 5%</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CE628C" w14:textId="77777777" w:rsidR="00B928AF" w:rsidRDefault="00000000">
            <w:r>
              <w:rPr>
                <w:color w:val="000000"/>
                <w:sz w:val="20"/>
                <w:szCs w:val="20"/>
              </w:rPr>
              <w:t xml:space="preserve">Good economics but moat less durable or </w:t>
            </w:r>
            <w:proofErr w:type="gramStart"/>
            <w:r>
              <w:rPr>
                <w:color w:val="000000"/>
                <w:sz w:val="20"/>
                <w:szCs w:val="20"/>
              </w:rPr>
              <w:t>demand less secular</w:t>
            </w:r>
            <w:proofErr w:type="gramEnd"/>
            <w:r>
              <w:rPr>
                <w:color w:val="000000"/>
                <w:sz w:val="20"/>
                <w:szCs w:val="20"/>
              </w:rPr>
              <w:t>. Size 2–3%.</w:t>
            </w:r>
          </w:p>
        </w:tc>
      </w:tr>
      <w:tr w:rsidR="00B928AF" w14:paraId="7ACA178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2FD5AC" w14:textId="77777777" w:rsidR="00B928AF" w:rsidRDefault="00000000">
            <w:r>
              <w:rPr>
                <w:b/>
                <w:bCs/>
                <w:color w:val="BF8F00"/>
                <w:sz w:val="20"/>
                <w:szCs w:val="20"/>
              </w:rPr>
              <w:t>Cyclical Contractor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25006C" w14:textId="77777777" w:rsidR="00B928AF" w:rsidRDefault="00000000">
            <w:pPr>
              <w:jc w:val="center"/>
            </w:pPr>
            <w:r>
              <w:rPr>
                <w:color w:val="000000"/>
                <w:sz w:val="20"/>
                <w:szCs w:val="20"/>
              </w:rPr>
              <w:t>3.0–4.99</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8E2060" w14:textId="77777777" w:rsidR="00B928AF" w:rsidRDefault="00000000">
            <w:pPr>
              <w:jc w:val="center"/>
            </w:pPr>
            <w:r>
              <w:rPr>
                <w:color w:val="000000"/>
                <w:sz w:val="20"/>
                <w:szCs w:val="20"/>
              </w:rPr>
              <w:t>&gt; 0%</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7CE781" w14:textId="77777777" w:rsidR="00B928AF" w:rsidRDefault="00000000">
            <w:r>
              <w:rPr>
                <w:color w:val="000000"/>
                <w:sz w:val="20"/>
                <w:szCs w:val="20"/>
              </w:rPr>
              <w:t xml:space="preserve">Positive EVA but exposed to cyclical demand. </w:t>
            </w:r>
            <w:proofErr w:type="gramStart"/>
            <w:r>
              <w:rPr>
                <w:color w:val="000000"/>
                <w:sz w:val="20"/>
                <w:szCs w:val="20"/>
              </w:rPr>
              <w:t>Trade,</w:t>
            </w:r>
            <w:proofErr w:type="gramEnd"/>
            <w:r>
              <w:rPr>
                <w:color w:val="000000"/>
                <w:sz w:val="20"/>
                <w:szCs w:val="20"/>
              </w:rPr>
              <w:t xml:space="preserve"> don’t compound. Size 1–2%.</w:t>
            </w:r>
          </w:p>
        </w:tc>
      </w:tr>
      <w:tr w:rsidR="00B928AF" w14:paraId="7164AC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F583D0" w14:textId="77777777" w:rsidR="00B928AF" w:rsidRDefault="00000000">
            <w:r>
              <w:rPr>
                <w:b/>
                <w:bCs/>
                <w:color w:val="C00000"/>
                <w:sz w:val="20"/>
                <w:szCs w:val="20"/>
              </w:rPr>
              <w:t>Value Trap</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CEA073" w14:textId="77777777" w:rsidR="00B928AF" w:rsidRDefault="00000000">
            <w:pPr>
              <w:jc w:val="center"/>
            </w:pPr>
            <w:r>
              <w:rPr>
                <w:color w:val="000000"/>
                <w:sz w:val="20"/>
                <w:szCs w:val="20"/>
              </w:rPr>
              <w:t>&lt; 3.0</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EE261B" w14:textId="77777777" w:rsidR="00B928AF" w:rsidRDefault="00000000">
            <w:pPr>
              <w:jc w:val="center"/>
            </w:pPr>
            <w:r>
              <w:rPr>
                <w:color w:val="000000"/>
                <w:sz w:val="20"/>
                <w:szCs w:val="20"/>
              </w:rPr>
              <w:t>≤ 0%</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38BAD7" w14:textId="77777777" w:rsidR="00B928AF" w:rsidRDefault="00000000">
            <w:r>
              <w:rPr>
                <w:color w:val="000000"/>
                <w:sz w:val="20"/>
                <w:szCs w:val="20"/>
              </w:rPr>
              <w:t>Negative EVA, destroying capital. Avoid.</w:t>
            </w:r>
          </w:p>
        </w:tc>
      </w:tr>
    </w:tbl>
    <w:p w14:paraId="3E3CDDB7" w14:textId="77777777" w:rsidR="00B928AF" w:rsidRDefault="00000000">
      <w:r>
        <w:br w:type="page"/>
      </w:r>
    </w:p>
    <w:p w14:paraId="40128162" w14:textId="77777777" w:rsidR="00B928AF" w:rsidRDefault="00000000">
      <w:pPr>
        <w:pStyle w:val="Heading1"/>
        <w:spacing w:before="300" w:after="150"/>
      </w:pPr>
      <w:r>
        <w:lastRenderedPageBreak/>
        <w:t>STAGE 1: LABOR MOAT INDEX (LMI) PRE-SCREEN</w:t>
      </w:r>
    </w:p>
    <w:p w14:paraId="20FA6685" w14:textId="77777777" w:rsidR="00B928AF" w:rsidRDefault="00000000">
      <w:pPr>
        <w:spacing w:after="120"/>
      </w:pPr>
      <w:r>
        <w:rPr>
          <w:color w:val="000000"/>
        </w:rPr>
        <w:t>The Labor Moat Index assesses the durability and depth of the company’s competitive advantage rooted in its workforce, licensing, and execution capability. In infrastructure services, the moat IS the workforce — you cannot build a data center, wire a hospital, or maintain a refinery without licensed, experienced tradespeople. The LMI tests whether the company has structural advantages in attracting, training, deploying, and retaining this scarce resource.</w:t>
      </w:r>
    </w:p>
    <w:p w14:paraId="413BAE98" w14:textId="77777777" w:rsidR="00B928AF" w:rsidRDefault="00000000">
      <w:pPr>
        <w:pStyle w:val="Heading2"/>
        <w:spacing w:before="300" w:after="150"/>
      </w:pPr>
      <w:r>
        <w:t>7-Moat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560"/>
      </w:tblGrid>
      <w:tr w:rsidR="00B928AF" w14:paraId="629C0A8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9A5D27D" w14:textId="77777777" w:rsidR="00B928AF" w:rsidRDefault="00000000">
            <w:r>
              <w:rPr>
                <w:b/>
                <w:bCs/>
                <w:color w:val="FFFFFF"/>
                <w:sz w:val="20"/>
                <w:szCs w:val="20"/>
              </w:rPr>
              <w:t>Moat</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5988D402" w14:textId="77777777" w:rsidR="00B928AF" w:rsidRDefault="00000000">
            <w:pPr>
              <w:jc w:val="center"/>
            </w:pPr>
            <w:r>
              <w:rPr>
                <w:b/>
                <w:bCs/>
                <w:color w:val="FFFFFF"/>
                <w:sz w:val="20"/>
                <w:szCs w:val="20"/>
              </w:rPr>
              <w:t>Status</w:t>
            </w:r>
          </w:p>
        </w:tc>
        <w:tc>
          <w:tcPr>
            <w:tcW w:w="5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713A3F51" w14:textId="77777777" w:rsidR="00B928AF" w:rsidRDefault="00000000">
            <w:r>
              <w:rPr>
                <w:b/>
                <w:bCs/>
                <w:color w:val="FFFFFF"/>
                <w:sz w:val="20"/>
                <w:szCs w:val="20"/>
              </w:rPr>
              <w:t>Evidence</w:t>
            </w:r>
          </w:p>
        </w:tc>
      </w:tr>
      <w:tr w:rsidR="00B928AF" w14:paraId="00F88E9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4C9983" w14:textId="77777777" w:rsidR="00B928AF" w:rsidRDefault="00000000">
            <w:r>
              <w:rPr>
                <w:b/>
                <w:bCs/>
                <w:color w:val="000000"/>
                <w:sz w:val="20"/>
                <w:szCs w:val="20"/>
              </w:rPr>
              <w:t>1. Licensing &amp; Certification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AA0077"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E0D92E" w14:textId="77777777" w:rsidR="00B928AF" w:rsidRDefault="00000000">
            <w:r>
              <w:rPr>
                <w:color w:val="000000"/>
                <w:sz w:val="20"/>
                <w:szCs w:val="20"/>
              </w:rPr>
              <w:t>Electrical and mechanical contractors must hold state-specific licenses; master electricians require 8–10 years of apprenticeship + journeyman experience + state exam. EMCOR subsidiaries hold hundreds of state/local contractor licenses across 50 states. NFPA certifications for fire protection, ASME certifications for pressure vessels/piping. License portability between states is limited, creating geographic barriers.</w:t>
            </w:r>
          </w:p>
        </w:tc>
      </w:tr>
      <w:tr w:rsidR="00B928AF" w14:paraId="2B02C5A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3A26E" w14:textId="77777777" w:rsidR="00B928AF" w:rsidRDefault="00000000">
            <w:r>
              <w:rPr>
                <w:b/>
                <w:bCs/>
                <w:color w:val="000000"/>
                <w:sz w:val="20"/>
                <w:szCs w:val="20"/>
              </w:rPr>
              <w:t>2. Apprenticeship Pipeline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FB32CD"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D8A36F" w14:textId="77777777" w:rsidR="00B928AF" w:rsidRDefault="00000000">
            <w:r>
              <w:rPr>
                <w:color w:val="000000"/>
                <w:sz w:val="20"/>
                <w:szCs w:val="20"/>
              </w:rPr>
              <w:t>EMCOR operates formal trade apprenticeship programs across all subsidiaries, typically 4–</w:t>
            </w:r>
            <w:proofErr w:type="gramStart"/>
            <w:r>
              <w:rPr>
                <w:color w:val="000000"/>
                <w:sz w:val="20"/>
                <w:szCs w:val="20"/>
              </w:rPr>
              <w:t>5 year</w:t>
            </w:r>
            <w:proofErr w:type="gramEnd"/>
            <w:r>
              <w:rPr>
                <w:color w:val="000000"/>
                <w:sz w:val="20"/>
                <w:szCs w:val="20"/>
              </w:rPr>
              <w:t xml:space="preserve"> programs combining classroom instruction with on-the-job training. EMCOR University provides supplemental training. Many EMCOR executives started as apprentices — institutional knowledge compounds over decades. The 4–</w:t>
            </w:r>
            <w:proofErr w:type="gramStart"/>
            <w:r>
              <w:rPr>
                <w:color w:val="000000"/>
                <w:sz w:val="20"/>
                <w:szCs w:val="20"/>
              </w:rPr>
              <w:t>5 year</w:t>
            </w:r>
            <w:proofErr w:type="gramEnd"/>
            <w:r>
              <w:rPr>
                <w:color w:val="000000"/>
                <w:sz w:val="20"/>
                <w:szCs w:val="20"/>
              </w:rPr>
              <w:t xml:space="preserve"> pipeline creates a structural delay for competitors trying to scale workforce.</w:t>
            </w:r>
          </w:p>
        </w:tc>
      </w:tr>
      <w:tr w:rsidR="00B928AF" w14:paraId="29A6E69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2423" w14:textId="77777777" w:rsidR="00B928AF" w:rsidRDefault="00000000">
            <w:r>
              <w:rPr>
                <w:b/>
                <w:bCs/>
                <w:color w:val="000000"/>
                <w:sz w:val="20"/>
                <w:szCs w:val="20"/>
              </w:rPr>
              <w:t>3. Self-Perform Capability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852595"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FFC148" w14:textId="77777777" w:rsidR="00B928AF" w:rsidRDefault="00000000">
            <w:r>
              <w:rPr>
                <w:color w:val="000000"/>
                <w:sz w:val="20"/>
                <w:szCs w:val="20"/>
              </w:rPr>
              <w:t xml:space="preserve">EMCOR self-performs approximately 80–85% of its construction work with its own ~44,000 employees, versus subcontracting. This is among the highest self-perform ratios in specialty construction. Self-performance provides quality control, schedule reliability, and margin advantage (no subcontractor markup). It also means the workforce IS the </w:t>
            </w:r>
            <w:proofErr w:type="gramStart"/>
            <w:r>
              <w:rPr>
                <w:color w:val="000000"/>
                <w:sz w:val="20"/>
                <w:szCs w:val="20"/>
              </w:rPr>
              <w:t>moat —</w:t>
            </w:r>
            <w:proofErr w:type="gramEnd"/>
            <w:r>
              <w:rPr>
                <w:color w:val="000000"/>
                <w:sz w:val="20"/>
                <w:szCs w:val="20"/>
              </w:rPr>
              <w:t xml:space="preserve"> competitors cannot quickly replicate 44,000 trained tradespeople.</w:t>
            </w:r>
          </w:p>
        </w:tc>
      </w:tr>
      <w:tr w:rsidR="00B928AF" w14:paraId="4331325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E9C777" w14:textId="77777777" w:rsidR="00B928AF" w:rsidRDefault="00000000">
            <w:r>
              <w:rPr>
                <w:b/>
                <w:bCs/>
                <w:color w:val="000000"/>
                <w:sz w:val="20"/>
                <w:szCs w:val="20"/>
              </w:rPr>
              <w:t>4. Skilled Trade Scarcity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95DD12"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EE843" w14:textId="77777777" w:rsidR="00B928AF" w:rsidRDefault="00000000">
            <w:r>
              <w:rPr>
                <w:color w:val="000000"/>
                <w:sz w:val="20"/>
                <w:szCs w:val="20"/>
              </w:rPr>
              <w:t xml:space="preserve">The U.S. faces a structural shortage of 500,000+ skilled construction workers (ABC estimate). Average age of electricians is 43; retirements </w:t>
            </w:r>
            <w:proofErr w:type="gramStart"/>
            <w:r>
              <w:rPr>
                <w:color w:val="000000"/>
                <w:sz w:val="20"/>
                <w:szCs w:val="20"/>
              </w:rPr>
              <w:t>outpace</w:t>
            </w:r>
            <w:proofErr w:type="gramEnd"/>
            <w:r>
              <w:rPr>
                <w:color w:val="000000"/>
                <w:sz w:val="20"/>
                <w:szCs w:val="20"/>
              </w:rPr>
              <w:t xml:space="preserve"> new apprentice starts. Immigration policy uncertainty constrains labor supply. EMCOR’s scale, training programs, benefits, and career path visibility give it preferential access to the shrinking pool of new entrants. Labor scarcity is a tailwind: it raises barriers for competitors and supports pricing power.</w:t>
            </w:r>
          </w:p>
        </w:tc>
      </w:tr>
      <w:tr w:rsidR="00B928AF" w14:paraId="5084DE8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6467C7" w14:textId="77777777" w:rsidR="00B928AF" w:rsidRDefault="00000000">
            <w:r>
              <w:rPr>
                <w:b/>
                <w:bCs/>
                <w:color w:val="000000"/>
                <w:sz w:val="20"/>
                <w:szCs w:val="20"/>
              </w:rPr>
              <w:t>5. Geographic Density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EE1E07"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02B920" w14:textId="77777777" w:rsidR="00B928AF" w:rsidRDefault="00000000">
            <w:r>
              <w:rPr>
                <w:color w:val="000000"/>
                <w:sz w:val="20"/>
                <w:szCs w:val="20"/>
              </w:rPr>
              <w:t xml:space="preserve">EMCOR operates through 100+ subsidiaries spanning all 50 states but with concentration in high-growth metros (Dallas, Phoenix, Northern Virginia, Atlanta — major data center corridors). Geographic density enables efficient deployment of crews, relationship depth with local general contractors and building owners, and knowledge of local codes/permitting. The Miller Electric acquisition ($865M, </w:t>
            </w:r>
            <w:r>
              <w:rPr>
                <w:color w:val="000000"/>
                <w:sz w:val="20"/>
                <w:szCs w:val="20"/>
              </w:rPr>
              <w:lastRenderedPageBreak/>
              <w:t>2025) strengthened presence in Southeast data center markets.</w:t>
            </w:r>
          </w:p>
        </w:tc>
      </w:tr>
      <w:tr w:rsidR="00B928AF" w14:paraId="68FDF8C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911EC" w14:textId="77777777" w:rsidR="00B928AF" w:rsidRDefault="00000000">
            <w:r>
              <w:rPr>
                <w:b/>
                <w:bCs/>
                <w:color w:val="000000"/>
                <w:sz w:val="20"/>
                <w:szCs w:val="20"/>
              </w:rPr>
              <w:lastRenderedPageBreak/>
              <w:t>6. Safety &amp; Bonding Capacity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114567" w14:textId="77777777" w:rsidR="00B928AF" w:rsidRDefault="00000000">
            <w:pPr>
              <w:jc w:val="center"/>
            </w:pPr>
            <w:r>
              <w:rPr>
                <w:b/>
                <w:bCs/>
                <w:color w:val="548235"/>
                <w:sz w:val="20"/>
                <w:szCs w:val="20"/>
              </w:rPr>
              <w:t>Strong</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A062E1" w14:textId="77777777" w:rsidR="00B928AF" w:rsidRDefault="00000000">
            <w:r>
              <w:rPr>
                <w:color w:val="000000"/>
                <w:sz w:val="20"/>
                <w:szCs w:val="20"/>
              </w:rPr>
              <w:t xml:space="preserve">EMCOR’s safety record (EMR well below industry average) and financial strength (investment-grade credit, $1.1B cash) enable surety bonding for the largest, most complex projects. Many competitors cannot qualify for $500M+ project bonds. Safety record directly affects insurance costs and project </w:t>
            </w:r>
            <w:proofErr w:type="gramStart"/>
            <w:r>
              <w:rPr>
                <w:color w:val="000000"/>
                <w:sz w:val="20"/>
                <w:szCs w:val="20"/>
              </w:rPr>
              <w:t>qualification — a</w:t>
            </w:r>
            <w:proofErr w:type="gramEnd"/>
            <w:r>
              <w:rPr>
                <w:color w:val="000000"/>
                <w:sz w:val="20"/>
                <w:szCs w:val="20"/>
              </w:rPr>
              <w:t xml:space="preserve"> poor EMR can disqualify a contractor from bidding on major work. This creates a self-reinforcing advantage.</w:t>
            </w:r>
          </w:p>
        </w:tc>
      </w:tr>
      <w:tr w:rsidR="00B928AF" w14:paraId="29E6EA38"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3DB61E" w14:textId="77777777" w:rsidR="00B928AF" w:rsidRDefault="00000000">
            <w:r>
              <w:rPr>
                <w:b/>
                <w:bCs/>
                <w:color w:val="000000"/>
                <w:sz w:val="20"/>
                <w:szCs w:val="20"/>
              </w:rPr>
              <w:t>7. Security Clearance / Specialized Access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809635" w14:textId="77777777" w:rsidR="00B928AF" w:rsidRDefault="00000000">
            <w:pPr>
              <w:jc w:val="center"/>
            </w:pPr>
            <w:r>
              <w:rPr>
                <w:b/>
                <w:bCs/>
                <w:color w:val="BF8F00"/>
                <w:sz w:val="20"/>
                <w:szCs w:val="20"/>
              </w:rPr>
              <w:t>Moderate</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0F4C18" w14:textId="77777777" w:rsidR="00B928AF" w:rsidRDefault="00000000">
            <w:r>
              <w:rPr>
                <w:color w:val="000000"/>
                <w:sz w:val="20"/>
                <w:szCs w:val="20"/>
              </w:rPr>
              <w:t xml:space="preserve">EMCOR performs some government/defense work requiring security clearances, but this is not a dominant portion of revenue. Federal/government work is approximately 5–10% of revenues. The company’s primary specialized access advantage is in data center construction, where relationships with </w:t>
            </w:r>
            <w:proofErr w:type="spellStart"/>
            <w:r>
              <w:rPr>
                <w:color w:val="000000"/>
                <w:sz w:val="20"/>
                <w:szCs w:val="20"/>
              </w:rPr>
              <w:t>hyperscaler</w:t>
            </w:r>
            <w:proofErr w:type="spellEnd"/>
            <w:r>
              <w:rPr>
                <w:color w:val="000000"/>
                <w:sz w:val="20"/>
                <w:szCs w:val="20"/>
              </w:rPr>
              <w:t xml:space="preserve"> customers (Google, Meta, Microsoft, Amazon) create repeat-business barriers — </w:t>
            </w:r>
            <w:proofErr w:type="spellStart"/>
            <w:r>
              <w:rPr>
                <w:color w:val="000000"/>
                <w:sz w:val="20"/>
                <w:szCs w:val="20"/>
              </w:rPr>
              <w:t>hyperscalers</w:t>
            </w:r>
            <w:proofErr w:type="spellEnd"/>
            <w:r>
              <w:rPr>
                <w:color w:val="000000"/>
                <w:sz w:val="20"/>
                <w:szCs w:val="20"/>
              </w:rPr>
              <w:t xml:space="preserve"> prefer proven contractors for mission-critical builds.</w:t>
            </w:r>
          </w:p>
        </w:tc>
      </w:tr>
    </w:tbl>
    <w:p w14:paraId="1AB43459" w14:textId="77777777" w:rsidR="00B928AF" w:rsidRDefault="00B928AF">
      <w:pPr>
        <w:spacing w:after="120"/>
      </w:pPr>
    </w:p>
    <w:p w14:paraId="0E48F12F" w14:textId="77777777" w:rsidR="00B928AF" w:rsidRDefault="00000000">
      <w:pPr>
        <w:pStyle w:val="Heading2"/>
        <w:spacing w:before="300" w:after="150"/>
      </w:pPr>
      <w:r>
        <w:t>LMI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B928AF" w14:paraId="616AB1C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594A0E" w14:textId="77777777" w:rsidR="00B928AF" w:rsidRDefault="00000000">
            <w:r>
              <w:rPr>
                <w:b/>
                <w:bCs/>
                <w:color w:val="000000"/>
                <w:sz w:val="20"/>
                <w:szCs w:val="20"/>
              </w:rPr>
              <w:t>LMI Score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7AB47B" w14:textId="77777777" w:rsidR="00B928AF" w:rsidRDefault="00000000">
            <w:r>
              <w:rPr>
                <w:b/>
                <w:bCs/>
                <w:color w:val="548235"/>
                <w:sz w:val="20"/>
                <w:szCs w:val="20"/>
              </w:rPr>
              <w:t>6 / 7 Strong (1 Moderate) → FORTRESS-class labor moat</w:t>
            </w:r>
          </w:p>
        </w:tc>
      </w:tr>
      <w:tr w:rsidR="00B928AF" w14:paraId="755B38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32994C" w14:textId="77777777" w:rsidR="00B928AF" w:rsidRDefault="00000000">
            <w:r>
              <w:rPr>
                <w:b/>
                <w:bCs/>
                <w:color w:val="000000"/>
                <w:sz w:val="20"/>
                <w:szCs w:val="20"/>
              </w:rPr>
              <w:t>Moat Type</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FE46F" w14:textId="77777777" w:rsidR="00B928AF" w:rsidRDefault="00000000">
            <w:r>
              <w:rPr>
                <w:color w:val="000000"/>
                <w:sz w:val="20"/>
                <w:szCs w:val="20"/>
              </w:rPr>
              <w:t>Licensed labor + self-perform scale + geographic density + bonding capacity</w:t>
            </w:r>
          </w:p>
        </w:tc>
      </w:tr>
      <w:tr w:rsidR="00B928AF" w14:paraId="6CB82C0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8FF5ED" w14:textId="77777777" w:rsidR="00B928AF" w:rsidRDefault="00000000">
            <w:r>
              <w:rPr>
                <w:b/>
                <w:bCs/>
                <w:color w:val="000000"/>
                <w:sz w:val="20"/>
                <w:szCs w:val="20"/>
              </w:rPr>
              <w:t>Moat Trajectory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DA6095" w14:textId="77777777" w:rsidR="00B928AF" w:rsidRDefault="00000000">
            <w:r>
              <w:rPr>
                <w:color w:val="000000"/>
                <w:sz w:val="20"/>
                <w:szCs w:val="20"/>
              </w:rPr>
              <w:t xml:space="preserve">STRENGTHENING — Skilled labor scarcity is a secular trend (demographic, immigration, declining trade school enrollment). As supply tightens, the value of EMCOR’s 44,000-person workforce INCREASES. </w:t>
            </w:r>
            <w:proofErr w:type="gramStart"/>
            <w:r>
              <w:rPr>
                <w:color w:val="000000"/>
                <w:sz w:val="20"/>
                <w:szCs w:val="20"/>
              </w:rPr>
              <w:t>Data center</w:t>
            </w:r>
            <w:proofErr w:type="gramEnd"/>
            <w:r>
              <w:rPr>
                <w:color w:val="000000"/>
                <w:sz w:val="20"/>
                <w:szCs w:val="20"/>
              </w:rPr>
              <w:t xml:space="preserve"> complexity is rising (liquid cooling, high-density power, AI-specific infrastructure), further favoring experienced contractors.</w:t>
            </w:r>
          </w:p>
        </w:tc>
      </w:tr>
      <w:tr w:rsidR="00B928AF" w14:paraId="0EA3C2B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7D60E7" w14:textId="77777777" w:rsidR="00B928AF" w:rsidRDefault="00000000">
            <w:r>
              <w:rPr>
                <w:b/>
                <w:bCs/>
                <w:color w:val="000000"/>
                <w:sz w:val="20"/>
                <w:szCs w:val="20"/>
              </w:rPr>
              <w:t>Key Vulnerability</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FB7AD4" w14:textId="77777777" w:rsidR="00B928AF" w:rsidRDefault="00000000">
            <w:r>
              <w:rPr>
                <w:color w:val="000000"/>
                <w:sz w:val="20"/>
                <w:szCs w:val="20"/>
              </w:rPr>
              <w:t>Unionized labor (~60% of construction workforce is union) creates wage inflation pressure. If project pricing doesn’t keep pace with labor cost increases, margins compress. However, EMCOR’s pricing discipline has been exceptional — operating margins expanded from ~5.5% (2020) to ~9.7% (Q4 2025) through this cycle.</w:t>
            </w:r>
          </w:p>
        </w:tc>
      </w:tr>
      <w:tr w:rsidR="00B928AF" w14:paraId="0C6C0AF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7122E5" w14:textId="77777777" w:rsidR="00B928AF" w:rsidRDefault="00000000">
            <w:r>
              <w:rPr>
                <w:b/>
                <w:bCs/>
                <w:color w:val="000000"/>
                <w:sz w:val="20"/>
                <w:szCs w:val="20"/>
              </w:rPr>
              <w:t>Compounder Signal</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548B2C" w14:textId="77777777" w:rsidR="00B928AF" w:rsidRDefault="00000000">
            <w:r>
              <w:rPr>
                <w:color w:val="000000"/>
                <w:sz w:val="20"/>
                <w:szCs w:val="20"/>
              </w:rPr>
              <w:t xml:space="preserve">The labor moat is self-reinforcing: EMCOR’s scale attracts the best apprentices → better execution → more repeat business → more scale → attracts more apprentices. This is the infrastructure services equivalent </w:t>
            </w:r>
            <w:proofErr w:type="gramStart"/>
            <w:r>
              <w:rPr>
                <w:color w:val="000000"/>
                <w:sz w:val="20"/>
                <w:szCs w:val="20"/>
              </w:rPr>
              <w:t>of</w:t>
            </w:r>
            <w:proofErr w:type="gramEnd"/>
            <w:r>
              <w:rPr>
                <w:color w:val="000000"/>
                <w:sz w:val="20"/>
                <w:szCs w:val="20"/>
              </w:rPr>
              <w:t xml:space="preserve"> a data flywheel. The moat widens </w:t>
            </w:r>
            <w:proofErr w:type="gramStart"/>
            <w:r>
              <w:rPr>
                <w:color w:val="000000"/>
                <w:sz w:val="20"/>
                <w:szCs w:val="20"/>
              </w:rPr>
              <w:t>as long as</w:t>
            </w:r>
            <w:proofErr w:type="gramEnd"/>
            <w:r>
              <w:rPr>
                <w:color w:val="000000"/>
                <w:sz w:val="20"/>
                <w:szCs w:val="20"/>
              </w:rPr>
              <w:t xml:space="preserve"> EMCOR executes well.</w:t>
            </w:r>
          </w:p>
        </w:tc>
      </w:tr>
    </w:tbl>
    <w:p w14:paraId="27EDD331" w14:textId="77777777" w:rsidR="00B928AF" w:rsidRDefault="00000000">
      <w:r>
        <w:br w:type="page"/>
      </w:r>
    </w:p>
    <w:p w14:paraId="69CBC562" w14:textId="77777777" w:rsidR="00B928AF" w:rsidRDefault="00000000">
      <w:pPr>
        <w:pStyle w:val="Heading1"/>
        <w:spacing w:before="300" w:after="150"/>
      </w:pPr>
      <w:r>
        <w:lastRenderedPageBreak/>
        <w:t>STAGE 2: VALUE CREATION ENGINE (VCE) — FOUR-DIMENSION SCORING</w:t>
      </w:r>
    </w:p>
    <w:p w14:paraId="49601E7D" w14:textId="77777777" w:rsidR="00B928AF" w:rsidRDefault="00000000">
      <w:pPr>
        <w:spacing w:after="120"/>
      </w:pPr>
      <w:r>
        <w:rPr>
          <w:b/>
          <w:bCs/>
        </w:rPr>
        <w:t xml:space="preserve">Stage 2 Starting Posture: </w:t>
      </w:r>
      <w:r>
        <w:t>FORTRESS-class labor moat from pre-screen. Approach scoring with high confidence. The LMI indicates a company with structural competitive advantages that are WIDENING. Now test whether these advantages translate into durable economic value creation.</w:t>
      </w:r>
    </w:p>
    <w:p w14:paraId="077E6BBE" w14:textId="77777777" w:rsidR="00B928AF" w:rsidRDefault="00000000">
      <w:pPr>
        <w:pStyle w:val="Heading2"/>
        <w:spacing w:before="300" w:after="150"/>
      </w:pPr>
      <w:r>
        <w:t xml:space="preserve">DIMENSION 1: CAPITAL EFFICIENCY (25% </w:t>
      </w:r>
      <w:proofErr w:type="gramStart"/>
      <w:r>
        <w:t>Weight) —</w:t>
      </w:r>
      <w:proofErr w:type="gramEnd"/>
      <w:r>
        <w:t xml:space="preserve"> Score: 9/10</w:t>
      </w:r>
    </w:p>
    <w:p w14:paraId="17F812B2" w14:textId="77777777" w:rsidR="00B928AF" w:rsidRDefault="00000000">
      <w:pPr>
        <w:spacing w:after="120"/>
      </w:pPr>
      <w:r>
        <w:rPr>
          <w:color w:val="000000"/>
        </w:rPr>
        <w:t>This is EMCOR’s crown jewel dimension and the primary evidence of a true compounder. EMCOR generates extraordinary returns on capital for an infrastructure services business, with minimal capital intensity.</w:t>
      </w:r>
    </w:p>
    <w:p w14:paraId="22F1F2C2" w14:textId="77777777" w:rsidR="00B928AF" w:rsidRDefault="00000000">
      <w:pPr>
        <w:spacing w:after="120"/>
      </w:pPr>
      <w:r>
        <w:rPr>
          <w:b/>
          <w:bCs/>
        </w:rPr>
        <w:t xml:space="preserve">ROIC (TTM): </w:t>
      </w:r>
      <w:r>
        <w:t>22.3% (</w:t>
      </w:r>
      <w:proofErr w:type="spellStart"/>
      <w:r>
        <w:t>GuruFocus</w:t>
      </w:r>
      <w:proofErr w:type="spellEnd"/>
      <w:r>
        <w:t>, NOPAT-</w:t>
      </w:r>
      <w:proofErr w:type="gramStart"/>
      <w:r>
        <w:t>based) —</w:t>
      </w:r>
      <w:proofErr w:type="gramEnd"/>
      <w:r>
        <w:t xml:space="preserve"> Some sources report 37.9% (ROE-based), reflecting low equity base from buybacks. The 22.3% NOPAT-based figure is the more conservative and appropriate measure.</w:t>
      </w:r>
    </w:p>
    <w:p w14:paraId="36FAC9E1" w14:textId="77777777" w:rsidR="00B928AF" w:rsidRDefault="00000000">
      <w:pPr>
        <w:spacing w:after="120"/>
      </w:pPr>
      <w:r>
        <w:rPr>
          <w:b/>
          <w:bCs/>
        </w:rPr>
        <w:t xml:space="preserve">WACC: </w:t>
      </w:r>
      <w:r>
        <w:t>~11.7% (</w:t>
      </w:r>
      <w:proofErr w:type="spellStart"/>
      <w:r>
        <w:t>GuruFocus</w:t>
      </w:r>
      <w:proofErr w:type="spellEnd"/>
      <w:r>
        <w:t xml:space="preserve"> estimate)</w:t>
      </w:r>
    </w:p>
    <w:p w14:paraId="4E1F8891" w14:textId="77777777" w:rsidR="00B928AF" w:rsidRDefault="00000000">
      <w:pPr>
        <w:spacing w:after="120"/>
      </w:pPr>
      <w:r>
        <w:rPr>
          <w:b/>
          <w:bCs/>
        </w:rPr>
        <w:t xml:space="preserve">ROIC – WACC Spread: </w:t>
      </w:r>
      <w:r>
        <w:t xml:space="preserve">+10.6 percentage points — This is an exceptional spread for ANY company, and extraordinary for a construction services business. It means every dollar EMCOR invests in the </w:t>
      </w:r>
      <w:proofErr w:type="gramStart"/>
      <w:r>
        <w:t>business</w:t>
      </w:r>
      <w:proofErr w:type="gramEnd"/>
      <w:r>
        <w:t xml:space="preserve"> generates 10.6 cents of economic profit above the cost of capital. This is the mathematical definition of value creation.</w:t>
      </w:r>
    </w:p>
    <w:p w14:paraId="2AC6F59F" w14:textId="77777777" w:rsidR="00B928AF" w:rsidRDefault="00000000">
      <w:pPr>
        <w:spacing w:after="120"/>
      </w:pPr>
      <w:r>
        <w:rPr>
          <w:b/>
          <w:bCs/>
        </w:rPr>
        <w:t xml:space="preserve">EVA (Economic Value Added): </w:t>
      </w:r>
      <w:r>
        <w:t>Positive and expanding. With ~$5.7B invested capital and 10.6% excess return, EMCOR generates approximately $600M+ in annual economic value added — real wealth creation above and beyond the cost of capital.</w:t>
      </w:r>
    </w:p>
    <w:p w14:paraId="2DC9B186" w14:textId="77777777" w:rsidR="00B928AF" w:rsidRDefault="00B928AF">
      <w:pPr>
        <w:spacing w:after="120"/>
      </w:pPr>
    </w:p>
    <w:p w14:paraId="2DAC3693" w14:textId="77777777" w:rsidR="00B928AF" w:rsidRDefault="00000000">
      <w:pPr>
        <w:spacing w:after="120"/>
      </w:pPr>
      <w:r>
        <w:rPr>
          <w:b/>
          <w:bCs/>
        </w:rPr>
        <w:t xml:space="preserve">Capital Intensity: </w:t>
      </w:r>
      <w:r>
        <w:t xml:space="preserve">Exceptionally low. </w:t>
      </w:r>
      <w:proofErr w:type="spellStart"/>
      <w:r>
        <w:t>CapEx</w:t>
      </w:r>
      <w:proofErr w:type="spellEnd"/>
      <w:r>
        <w:t xml:space="preserve"> was ~$75M in FY2024 on $14.6B revenue (0.5% of revenue). The business is fundamentally asset-light — the “assets” are people, not factories or equipment. This means almost all operating cash flow </w:t>
      </w:r>
      <w:proofErr w:type="gramStart"/>
      <w:r>
        <w:t>converts</w:t>
      </w:r>
      <w:proofErr w:type="gramEnd"/>
      <w:r>
        <w:t xml:space="preserve"> to free cash flow. FY2024 FCF was ~$1.34B on $1.4B operating cash flow — a 96% conversion rate.</w:t>
      </w:r>
    </w:p>
    <w:p w14:paraId="42B67786" w14:textId="77777777" w:rsidR="00B928AF" w:rsidRDefault="00000000">
      <w:pPr>
        <w:spacing w:after="120"/>
      </w:pPr>
      <w:r>
        <w:rPr>
          <w:b/>
          <w:bCs/>
        </w:rPr>
        <w:t xml:space="preserve">Capital Turnover: </w:t>
      </w:r>
      <w:r>
        <w:t xml:space="preserve">Revenue / Invested Capital = $17.0B / ~$5.7B = ~3.0x. This is remarkably high, meaning EMCOR generates $3 of revenue for every $1 of invested capital. Combined with 7.5%+ NOPAT margins, this drives </w:t>
      </w:r>
      <w:proofErr w:type="gramStart"/>
      <w:r>
        <w:t>the 22</w:t>
      </w:r>
      <w:proofErr w:type="gramEnd"/>
      <w:r>
        <w:t>%+ ROIC.</w:t>
      </w:r>
    </w:p>
    <w:p w14:paraId="6D142C83" w14:textId="77777777" w:rsidR="00B928AF" w:rsidRDefault="00000000">
      <w:pPr>
        <w:spacing w:after="120"/>
      </w:pPr>
      <w:r>
        <w:rPr>
          <w:b/>
          <w:bCs/>
        </w:rPr>
        <w:t xml:space="preserve">Working Capital: </w:t>
      </w:r>
      <w:r>
        <w:t>Net negative working capital is common in the industry (customers pay progress billings; suppliers and labor are paid after work is performed). EMCOR’s working capital efficiency is a competitive advantage: the business generates cash as it grows.</w:t>
      </w:r>
    </w:p>
    <w:p w14:paraId="39FC9FD1" w14:textId="77777777" w:rsidR="00B928AF" w:rsidRDefault="00000000">
      <w:pPr>
        <w:spacing w:after="120"/>
      </w:pPr>
      <w:r>
        <w:rPr>
          <w:b/>
          <w:bCs/>
        </w:rPr>
        <w:t xml:space="preserve">D1 Score: </w:t>
      </w:r>
      <w:r>
        <w:t xml:space="preserve">9 / 10 — The 22.3% ROIC with 10.6% excess spread, 0.5% </w:t>
      </w:r>
      <w:proofErr w:type="spellStart"/>
      <w:r>
        <w:t>CapEx</w:t>
      </w:r>
      <w:proofErr w:type="spellEnd"/>
      <w:r>
        <w:t xml:space="preserve"> intensity, 3.0x capital turnover, and 96% FCF conversion rate represent best-in-class capital efficiency. Score is 9 rather than 10 because ROIC has benefited from favorable project mix (high-margin data center work) that may moderate as competition for data center contracts increases.</w:t>
      </w:r>
    </w:p>
    <w:p w14:paraId="2B8BE314" w14:textId="77777777" w:rsidR="00B928AF" w:rsidRDefault="00000000">
      <w:pPr>
        <w:pStyle w:val="Heading2"/>
        <w:spacing w:before="300" w:after="150"/>
      </w:pPr>
      <w:r>
        <w:t xml:space="preserve">DIMENSION 2: REINVESTMENT QUALITY (30% </w:t>
      </w:r>
      <w:proofErr w:type="gramStart"/>
      <w:r>
        <w:t>Weight) —</w:t>
      </w:r>
      <w:proofErr w:type="gramEnd"/>
      <w:r>
        <w:t xml:space="preserve"> Score: 8/10</w:t>
      </w:r>
    </w:p>
    <w:p w14:paraId="30933B0D" w14:textId="77777777" w:rsidR="00B928AF" w:rsidRDefault="00000000">
      <w:pPr>
        <w:spacing w:after="120"/>
      </w:pPr>
      <w:r>
        <w:rPr>
          <w:color w:val="000000"/>
        </w:rPr>
        <w:t xml:space="preserve">Reinvestment quality — the ROIIC — is the engine of compounding. A company with high ROIC but no reinvestment opportunities is a cash cow, not a compounder. A company with high ROIC </w:t>
      </w:r>
      <w:r>
        <w:rPr>
          <w:color w:val="000000"/>
        </w:rPr>
        <w:lastRenderedPageBreak/>
        <w:t>AND high-</w:t>
      </w:r>
      <w:proofErr w:type="gramStart"/>
      <w:r>
        <w:rPr>
          <w:color w:val="000000"/>
        </w:rPr>
        <w:t>return</w:t>
      </w:r>
      <w:proofErr w:type="gramEnd"/>
      <w:r>
        <w:rPr>
          <w:color w:val="000000"/>
        </w:rPr>
        <w:t xml:space="preserve"> reinvestment opportunities is a compounding machine. EMCOR passes this test convincingly.</w:t>
      </w:r>
    </w:p>
    <w:p w14:paraId="1B4D31D3" w14:textId="77777777" w:rsidR="00B928AF" w:rsidRDefault="00000000">
      <w:pPr>
        <w:spacing w:after="120"/>
      </w:pPr>
      <w:r>
        <w:rPr>
          <w:b/>
          <w:bCs/>
        </w:rPr>
        <w:t xml:space="preserve">ROIIC (3-Year): </w:t>
      </w:r>
      <w:r>
        <w:t xml:space="preserve">From FY2022 to FY2025, EMCOR grew NOPAT from approximately $530M to approximately $1.27B (+$740M). </w:t>
      </w:r>
      <w:proofErr w:type="gramStart"/>
      <w:r>
        <w:t>Incremental</w:t>
      </w:r>
      <w:proofErr w:type="gramEnd"/>
      <w:r>
        <w:t xml:space="preserve"> invested capital over the same period was approximately $1.8B (including acquisitions). ROIIC = $740M / $1.8B = ~41%. This is exceptional. It means every incremental dollar EMCOR invested over the past 3 years generated 41 cents of incremental operating profit. This is the hallmark of a true compounder.</w:t>
      </w:r>
    </w:p>
    <w:p w14:paraId="7B7D25CB" w14:textId="77777777" w:rsidR="00B928AF" w:rsidRDefault="00B928AF">
      <w:pPr>
        <w:spacing w:after="120"/>
      </w:pPr>
    </w:p>
    <w:p w14:paraId="0B1FDB27" w14:textId="77777777" w:rsidR="00B928AF" w:rsidRDefault="00000000">
      <w:pPr>
        <w:pStyle w:val="Heading3"/>
        <w:spacing w:before="300" w:after="150"/>
      </w:pPr>
      <w:r>
        <w:t>M&amp;A Discipline</w:t>
      </w:r>
    </w:p>
    <w:p w14:paraId="60272B20" w14:textId="77777777" w:rsidR="00B928AF" w:rsidRDefault="00000000">
      <w:pPr>
        <w:spacing w:after="120"/>
      </w:pPr>
      <w:r>
        <w:rPr>
          <w:color w:val="000000"/>
        </w:rPr>
        <w:t>EMCOR’s acquisition strategy is the textbook bolt-on compounder playbook: acquire regional specialty contractors at 8–10x EBITDA, integrate them into the EMCOR platform (safety systems, bonding capacity, cross-sell relationships), and improve their margins through scale and process discipline. Key recent deals:</w:t>
      </w:r>
    </w:p>
    <w:p w14:paraId="59AE6129" w14:textId="77777777" w:rsidR="00B928AF" w:rsidRDefault="00000000">
      <w:pPr>
        <w:spacing w:after="120"/>
      </w:pPr>
      <w:r>
        <w:rPr>
          <w:b/>
          <w:bCs/>
        </w:rPr>
        <w:t xml:space="preserve">Miller Electric (2025, ~$865M): </w:t>
      </w:r>
      <w:r>
        <w:t>Expected $805M revenue, ~$80M EBITDA (10.8x). Southeastern electrical contractor with strong data center capabilities. Accretive to EMCOR’s data center corridor presence (Jacksonville, Southeast).</w:t>
      </w:r>
    </w:p>
    <w:p w14:paraId="11D24960" w14:textId="77777777" w:rsidR="00B928AF" w:rsidRDefault="00000000">
      <w:pPr>
        <w:spacing w:after="120"/>
      </w:pPr>
      <w:r>
        <w:rPr>
          <w:b/>
          <w:bCs/>
        </w:rPr>
        <w:t xml:space="preserve">John W. Danforth (2025): </w:t>
      </w:r>
      <w:r>
        <w:t>Mechanical/HVAC contractor in the Northeast, expanding geographic density in a high-demand market.</w:t>
      </w:r>
    </w:p>
    <w:p w14:paraId="4B55956E" w14:textId="77777777" w:rsidR="00B928AF" w:rsidRDefault="00000000">
      <w:pPr>
        <w:spacing w:after="120"/>
      </w:pPr>
      <w:r>
        <w:rPr>
          <w:b/>
          <w:bCs/>
        </w:rPr>
        <w:t xml:space="preserve">ECM Holding (2023, ~$60M revenue): </w:t>
      </w:r>
      <w:r>
        <w:t>Energy efficiency specialty services. Adds capability in building energy performance — a growing regulatory-driven market.</w:t>
      </w:r>
    </w:p>
    <w:p w14:paraId="2D528796" w14:textId="77777777" w:rsidR="00B928AF" w:rsidRDefault="00000000">
      <w:pPr>
        <w:spacing w:after="120"/>
      </w:pPr>
      <w:r>
        <w:rPr>
          <w:color w:val="000000"/>
        </w:rPr>
        <w:t>The M&amp;A track record over the past decade shows disciplined pricing (8–12x EBITDA), rapid integration, and consistent margin improvement post-acquisition. Management has resisted the temptation to overpay for “transformative” deals, preferring a steady stream of bolt-</w:t>
      </w:r>
      <w:proofErr w:type="spellStart"/>
      <w:r>
        <w:rPr>
          <w:color w:val="000000"/>
        </w:rPr>
        <w:t>ons</w:t>
      </w:r>
      <w:proofErr w:type="spellEnd"/>
      <w:r>
        <w:rPr>
          <w:color w:val="000000"/>
        </w:rPr>
        <w:t xml:space="preserve"> that extend geographic reach and technical capability.</w:t>
      </w:r>
    </w:p>
    <w:p w14:paraId="52284B2D" w14:textId="77777777" w:rsidR="00B928AF" w:rsidRDefault="00B928AF">
      <w:pPr>
        <w:spacing w:after="120"/>
      </w:pPr>
    </w:p>
    <w:p w14:paraId="6ED8D456" w14:textId="77777777" w:rsidR="00B928AF" w:rsidRDefault="00000000">
      <w:pPr>
        <w:pStyle w:val="Heading3"/>
        <w:spacing w:before="300" w:after="150"/>
      </w:pPr>
      <w:r>
        <w:t>Organic Reinvestment</w:t>
      </w:r>
    </w:p>
    <w:p w14:paraId="0F56E307" w14:textId="77777777" w:rsidR="00B928AF" w:rsidRDefault="00000000">
      <w:pPr>
        <w:spacing w:after="120"/>
      </w:pPr>
      <w:r>
        <w:rPr>
          <w:color w:val="000000"/>
        </w:rPr>
        <w:t>Beyond M&amp;A, EMCOR reinvests organically through: (1) apprenticeship programs that build the workforce pipeline; (2) technology investments in BIM (Building Information Modeling), prefabrication, and modular construction that improve productivity; (3) expanding into adjacent services (building automation, energy efficiency, EV charging infrastructure); (4) geographic expansion into high-growth data center corridors.</w:t>
      </w:r>
    </w:p>
    <w:p w14:paraId="135039B8" w14:textId="77777777" w:rsidR="00B928AF" w:rsidRDefault="00000000">
      <w:pPr>
        <w:spacing w:after="120"/>
      </w:pPr>
      <w:r>
        <w:rPr>
          <w:b/>
          <w:bCs/>
        </w:rPr>
        <w:t xml:space="preserve">Organic Revenue Growth (FY2025): </w:t>
      </w:r>
      <w:r>
        <w:t>~12–14% (excluding acquisitions, on base of ~$14.6B). Strong organic growth demonstrates that reinvestment is generating real revenue expansion, not just M&amp;A-driven.</w:t>
      </w:r>
    </w:p>
    <w:p w14:paraId="07C307D6" w14:textId="77777777" w:rsidR="00B928AF" w:rsidRDefault="00B928AF">
      <w:pPr>
        <w:spacing w:after="120"/>
      </w:pPr>
    </w:p>
    <w:p w14:paraId="601054DD" w14:textId="77777777" w:rsidR="00B928AF" w:rsidRDefault="00000000">
      <w:pPr>
        <w:pStyle w:val="Heading3"/>
        <w:spacing w:before="300" w:after="150"/>
      </w:pPr>
      <w:r>
        <w:t>Capital Return</w:t>
      </w:r>
    </w:p>
    <w:p w14:paraId="6D947DFF" w14:textId="77777777" w:rsidR="00B928AF" w:rsidRDefault="00000000">
      <w:pPr>
        <w:spacing w:after="120"/>
      </w:pPr>
      <w:r>
        <w:rPr>
          <w:b/>
          <w:bCs/>
        </w:rPr>
        <w:t xml:space="preserve">Share Buybacks (FY2024): </w:t>
      </w:r>
      <w:r>
        <w:t>$490M (283% increase YoY). Share count declining steadily — management is buying back stock at high ROIC, effectively reinvesting in the business at 22%+ returns when the stock trades at levels where buybacks are accretive.</w:t>
      </w:r>
    </w:p>
    <w:p w14:paraId="74B28610" w14:textId="77777777" w:rsidR="00B928AF" w:rsidRDefault="00000000">
      <w:pPr>
        <w:spacing w:after="120"/>
      </w:pPr>
      <w:r>
        <w:rPr>
          <w:b/>
          <w:bCs/>
        </w:rPr>
        <w:lastRenderedPageBreak/>
        <w:t xml:space="preserve">Dividends: </w:t>
      </w:r>
      <w:r>
        <w:t xml:space="preserve">$0.40/quarter ($1.60 annual), recently increased 60%. Low payout ratio (~6% of </w:t>
      </w:r>
      <w:proofErr w:type="gramStart"/>
      <w:r>
        <w:t>earnings) —</w:t>
      </w:r>
      <w:proofErr w:type="gramEnd"/>
      <w:r>
        <w:t xml:space="preserve"> management retains </w:t>
      </w:r>
      <w:proofErr w:type="gramStart"/>
      <w:r>
        <w:t>the vast majority of</w:t>
      </w:r>
      <w:proofErr w:type="gramEnd"/>
      <w:r>
        <w:t xml:space="preserve"> earnings for reinvestment and buybacks.</w:t>
      </w:r>
    </w:p>
    <w:p w14:paraId="7FCDF956" w14:textId="77777777" w:rsidR="00B928AF" w:rsidRDefault="00000000">
      <w:pPr>
        <w:spacing w:after="120"/>
      </w:pPr>
      <w:r>
        <w:rPr>
          <w:b/>
          <w:bCs/>
        </w:rPr>
        <w:t xml:space="preserve">D2 Score: </w:t>
      </w:r>
      <w:r>
        <w:t xml:space="preserve">8 / 10 — The 41% 3-year ROIIC is exceptional. M&amp;A is disciplined and accretive. Organic growth is strong. Capital return is </w:t>
      </w:r>
      <w:proofErr w:type="gramStart"/>
      <w:r>
        <w:t>shareholder-friendly</w:t>
      </w:r>
      <w:proofErr w:type="gramEnd"/>
      <w:r>
        <w:t>. Score is 8 rather than 9–10 because: (a) the Miller Electric acquisition at 10.8x EBITDA is at the higher end of historical range, suggesting deal pricing may be getting competitive in the data center space; (b) the 3-year ROIIC benefited from favorable data center margins that may moderate.</w:t>
      </w:r>
    </w:p>
    <w:p w14:paraId="1BE35D3E" w14:textId="77777777" w:rsidR="00B928AF" w:rsidRDefault="00000000">
      <w:r>
        <w:br w:type="page"/>
      </w:r>
    </w:p>
    <w:p w14:paraId="7C7CD6E1" w14:textId="77777777" w:rsidR="00B928AF" w:rsidRDefault="00000000">
      <w:pPr>
        <w:pStyle w:val="Heading2"/>
        <w:spacing w:before="300" w:after="150"/>
      </w:pPr>
      <w:r>
        <w:lastRenderedPageBreak/>
        <w:t xml:space="preserve">DIMENSION 3: REVENUE DURABILITY (20% </w:t>
      </w:r>
      <w:proofErr w:type="gramStart"/>
      <w:r>
        <w:t>Weight) —</w:t>
      </w:r>
      <w:proofErr w:type="gramEnd"/>
      <w:r>
        <w:t xml:space="preserve"> Score: 7/10</w:t>
      </w:r>
    </w:p>
    <w:p w14:paraId="5C4C8141" w14:textId="77777777" w:rsidR="00B928AF" w:rsidRDefault="00000000">
      <w:pPr>
        <w:spacing w:after="120"/>
      </w:pPr>
      <w:r>
        <w:rPr>
          <w:color w:val="000000"/>
        </w:rPr>
        <w:t>Revenue durability is the Achilles’ heel of construction services companies — project-based revenue is inherently less predictable than SaaS subscriptions or device consumables. The framework tests whether the company has structural mechanisms that create revenue visibility and repeat business, mitigating the cyclicality of pure project work.</w:t>
      </w:r>
    </w:p>
    <w:p w14:paraId="7E077CD7" w14:textId="77777777" w:rsidR="00B928AF" w:rsidRDefault="00000000">
      <w:pPr>
        <w:spacing w:after="120"/>
      </w:pPr>
      <w:r>
        <w:rPr>
          <w:b/>
          <w:bCs/>
        </w:rPr>
        <w:t xml:space="preserve">Remaining Performance Obligations (RPO): </w:t>
      </w:r>
      <w:r>
        <w:t>$13.25B (+31% YoY) as of Q4 2025. This is a record, providing approximately 9–10 months of revenue visibility at current run rates. RPO growth of 31% vs. revenue growth of 17% indicates accelerating bookings and lengthening visibility.</w:t>
      </w:r>
    </w:p>
    <w:p w14:paraId="004D4955" w14:textId="77777777" w:rsidR="00B928AF" w:rsidRDefault="00000000">
      <w:pPr>
        <w:spacing w:after="120"/>
      </w:pPr>
      <w:r>
        <w:rPr>
          <w:b/>
          <w:bCs/>
        </w:rPr>
        <w:t xml:space="preserve">Data Center RPO Concentration: </w:t>
      </w:r>
      <w:r>
        <w:t xml:space="preserve">~85% of the $11.75B RPO figure (as of mid-2025) was tied to data center-related projects. Network and Communications RPOs reached $4.3B in Q3 2025, nearly doubling YoY. This provides multi-year visibility into the highest-growth, </w:t>
      </w:r>
      <w:proofErr w:type="gramStart"/>
      <w:r>
        <w:t>highest-margin</w:t>
      </w:r>
      <w:proofErr w:type="gramEnd"/>
      <w:r>
        <w:t xml:space="preserve"> segment.</w:t>
      </w:r>
    </w:p>
    <w:p w14:paraId="3002F3DB" w14:textId="77777777" w:rsidR="00B928AF" w:rsidRDefault="00000000">
      <w:pPr>
        <w:spacing w:after="120"/>
      </w:pPr>
      <w:r>
        <w:rPr>
          <w:b/>
          <w:bCs/>
        </w:rPr>
        <w:t xml:space="preserve">Revenue Mix — Construction vs. Services: </w:t>
      </w:r>
      <w:r>
        <w:t>Building Services and Facilities Services segments provide recurring maintenance revenue (~25–30% of total revenue), creating a stable base beneath the project-driven construction segments. This recurring base includes HVAC maintenance, energy management, janitorial, and facilities operations.</w:t>
      </w:r>
    </w:p>
    <w:p w14:paraId="7C51F851" w14:textId="77777777" w:rsidR="00B928AF" w:rsidRDefault="00000000">
      <w:pPr>
        <w:spacing w:after="120"/>
      </w:pPr>
      <w:r>
        <w:rPr>
          <w:b/>
          <w:bCs/>
        </w:rPr>
        <w:t xml:space="preserve">Customer Repeat Rate: </w:t>
      </w:r>
      <w:r>
        <w:t xml:space="preserve">EMCOR does not disclose a specific repeat customer rate, but management consistently references “long-standing customer relationships” and “repeat business with blue-chip clients” as growth drivers. The </w:t>
      </w:r>
      <w:proofErr w:type="spellStart"/>
      <w:r>
        <w:t>hyperscaler</w:t>
      </w:r>
      <w:proofErr w:type="spellEnd"/>
      <w:r>
        <w:t xml:space="preserve"> data center business is particularly sticky — once an electrical contractor proves it can build mission-critical infrastructure on time and on budget, the </w:t>
      </w:r>
      <w:proofErr w:type="spellStart"/>
      <w:r>
        <w:t>hyperscaler</w:t>
      </w:r>
      <w:proofErr w:type="spellEnd"/>
      <w:r>
        <w:t xml:space="preserve"> keeps coming back.</w:t>
      </w:r>
    </w:p>
    <w:p w14:paraId="6FB028E5" w14:textId="77777777" w:rsidR="00B928AF" w:rsidRDefault="00000000">
      <w:pPr>
        <w:spacing w:after="120"/>
      </w:pPr>
      <w:r>
        <w:rPr>
          <w:b/>
          <w:bCs/>
        </w:rPr>
        <w:t xml:space="preserve">End Market Diversification: </w:t>
      </w:r>
      <w:r>
        <w:t>While data centers are 33% of revenue, EMCOR serves healthcare (~15%), commercial/institutional (~20%), industrial (~10%), and government (~5–10%). The Electrical Construction segment’s Q4 2025 growth was notable: roughly HALF of the 45.8% growth came from non-data-center verticals (healthcare, hospitality, institutional), demonstrating breadth.</w:t>
      </w:r>
    </w:p>
    <w:p w14:paraId="541DC191" w14:textId="77777777" w:rsidR="00B928AF" w:rsidRDefault="00000000">
      <w:pPr>
        <w:spacing w:after="120"/>
      </w:pPr>
      <w:r>
        <w:rPr>
          <w:b/>
          <w:bCs/>
        </w:rPr>
        <w:t xml:space="preserve">Contract Types: </w:t>
      </w:r>
      <w:r>
        <w:t xml:space="preserve">Mix of fixed-price, guaranteed-maximum-price, cost-plus, and unit-price contracts. </w:t>
      </w:r>
      <w:proofErr w:type="gramStart"/>
      <w:r>
        <w:t>Fixed-price</w:t>
      </w:r>
      <w:proofErr w:type="gramEnd"/>
      <w:r>
        <w:t xml:space="preserve"> creates margin risk in inflationary environments but also creates margin expansion opportunity when execution is disciplined (as it has been).</w:t>
      </w:r>
    </w:p>
    <w:p w14:paraId="1497B291" w14:textId="77777777" w:rsidR="00B928AF" w:rsidRDefault="00000000">
      <w:pPr>
        <w:spacing w:after="120"/>
      </w:pPr>
      <w:r>
        <w:rPr>
          <w:b/>
          <w:bCs/>
        </w:rPr>
        <w:t xml:space="preserve">D3 Score: </w:t>
      </w:r>
      <w:r>
        <w:t xml:space="preserve">7 / 10 — RPO of $13.25B provides strong visibility, and the building services recurring base provides stability. Score is 7 rather than 8–10 because: (a) construction revenue is inherently project-based and lumpy; (b) 33% data center concentration creates end-market risk if </w:t>
      </w:r>
      <w:proofErr w:type="spellStart"/>
      <w:r>
        <w:t>hyperscaler</w:t>
      </w:r>
      <w:proofErr w:type="spellEnd"/>
      <w:r>
        <w:t xml:space="preserve"> capex slows; (c) no formal “NRR” equivalent exists for project-based businesses — repeat relationships are real but less contractually locked-in than subscriptions.</w:t>
      </w:r>
    </w:p>
    <w:p w14:paraId="1AAA24D1" w14:textId="77777777" w:rsidR="00B928AF" w:rsidRDefault="00000000">
      <w:r>
        <w:br w:type="page"/>
      </w:r>
    </w:p>
    <w:p w14:paraId="0C532BFD" w14:textId="77777777" w:rsidR="00B928AF" w:rsidRDefault="00000000">
      <w:pPr>
        <w:pStyle w:val="Heading2"/>
        <w:spacing w:before="300" w:after="150"/>
      </w:pPr>
      <w:r>
        <w:lastRenderedPageBreak/>
        <w:t xml:space="preserve">DIMENSION 4: SECULAR DEMAND TAILWINDS (25% </w:t>
      </w:r>
      <w:proofErr w:type="gramStart"/>
      <w:r>
        <w:t>Weight) —</w:t>
      </w:r>
      <w:proofErr w:type="gramEnd"/>
      <w:r>
        <w:t xml:space="preserve"> Score: 9/10</w:t>
      </w:r>
    </w:p>
    <w:p w14:paraId="6DCB3604" w14:textId="77777777" w:rsidR="00B928AF" w:rsidRDefault="00000000">
      <w:pPr>
        <w:spacing w:after="120"/>
      </w:pPr>
      <w:r>
        <w:rPr>
          <w:color w:val="000000"/>
        </w:rPr>
        <w:t>This is the dimension that separates infrastructure services compounders from cyclical contractors. A compounder rides secular demand waves that persist for 10–20 years regardless of economic cycles. EMCOR sits at the intersection of multiple, independent secular megatrends — the kind of structural demand environment that creates multi-decade compounding.</w:t>
      </w:r>
    </w:p>
    <w:p w14:paraId="27E41EA2" w14:textId="77777777" w:rsidR="00B928AF" w:rsidRDefault="00B928AF">
      <w:pPr>
        <w:spacing w:after="120"/>
      </w:pPr>
    </w:p>
    <w:p w14:paraId="7577E4F8" w14:textId="77777777" w:rsidR="00B928AF" w:rsidRDefault="00000000">
      <w:pPr>
        <w:pStyle w:val="Heading3"/>
        <w:spacing w:before="300" w:after="150"/>
      </w:pPr>
      <w:r>
        <w:t>Secular Demand Drivers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1274"/>
        <w:gridCol w:w="5895"/>
      </w:tblGrid>
      <w:tr w:rsidR="00B928AF" w14:paraId="71E868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398002C" w14:textId="77777777" w:rsidR="00B928AF" w:rsidRDefault="00000000">
            <w:r>
              <w:rPr>
                <w:b/>
                <w:bCs/>
                <w:color w:val="FFFFFF"/>
                <w:sz w:val="20"/>
                <w:szCs w:val="20"/>
              </w:rPr>
              <w:t>Demand Driver</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494B580C" w14:textId="77777777" w:rsidR="00B928AF" w:rsidRDefault="00000000">
            <w:pPr>
              <w:jc w:val="center"/>
            </w:pPr>
            <w:r>
              <w:rPr>
                <w:b/>
                <w:bCs/>
                <w:color w:val="FFFFFF"/>
                <w:sz w:val="20"/>
                <w:szCs w:val="20"/>
              </w:rPr>
              <w:t>Duration</w:t>
            </w:r>
          </w:p>
        </w:tc>
        <w:tc>
          <w:tcPr>
            <w:tcW w:w="5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A7DA9CF" w14:textId="77777777" w:rsidR="00B928AF" w:rsidRDefault="00000000">
            <w:r>
              <w:rPr>
                <w:b/>
                <w:bCs/>
                <w:color w:val="FFFFFF"/>
                <w:sz w:val="20"/>
                <w:szCs w:val="20"/>
              </w:rPr>
              <w:t>Mechanism &amp; Evidence</w:t>
            </w:r>
          </w:p>
        </w:tc>
      </w:tr>
      <w:tr w:rsidR="00B928AF" w14:paraId="036C40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F086F7" w14:textId="77777777" w:rsidR="00B928AF" w:rsidRDefault="00000000">
            <w:r>
              <w:rPr>
                <w:b/>
                <w:bCs/>
                <w:color w:val="000000"/>
                <w:sz w:val="20"/>
                <w:szCs w:val="20"/>
              </w:rPr>
              <w:t>AI / Data Center Buildout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76BA06" w14:textId="77777777" w:rsidR="00B928AF" w:rsidRDefault="00000000">
            <w:pPr>
              <w:jc w:val="center"/>
            </w:pPr>
            <w:r>
              <w:rPr>
                <w:b/>
                <w:bCs/>
                <w:color w:val="548235"/>
                <w:sz w:val="20"/>
                <w:szCs w:val="20"/>
              </w:rPr>
              <w:t>10–20 yrs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CB619B" w14:textId="77777777" w:rsidR="00B928AF" w:rsidRDefault="00000000">
            <w:proofErr w:type="spellStart"/>
            <w:r>
              <w:rPr>
                <w:color w:val="000000"/>
                <w:sz w:val="20"/>
                <w:szCs w:val="20"/>
              </w:rPr>
              <w:t>Hyperscaler</w:t>
            </w:r>
            <w:proofErr w:type="spellEnd"/>
            <w:r>
              <w:rPr>
                <w:color w:val="000000"/>
                <w:sz w:val="20"/>
                <w:szCs w:val="20"/>
              </w:rPr>
              <w:t xml:space="preserve"> capex $200B+ annually and accelerating. Every AI training cluster needs electrical distribution (medium/high voltage), cooling (liquid cooling systems), fire protection, and mechanical infrastructure. EMCOR is one of a handful of contractors qualified for this work. Data center construction CAGR estimated at 12.4%. 33% of EMCOR revenue </w:t>
            </w:r>
            <w:proofErr w:type="gramStart"/>
            <w:r>
              <w:rPr>
                <w:color w:val="000000"/>
                <w:sz w:val="20"/>
                <w:szCs w:val="20"/>
              </w:rPr>
              <w:t>already</w:t>
            </w:r>
            <w:proofErr w:type="gramEnd"/>
            <w:r>
              <w:rPr>
                <w:color w:val="000000"/>
                <w:sz w:val="20"/>
                <w:szCs w:val="20"/>
              </w:rPr>
              <w:t xml:space="preserve"> here.</w:t>
            </w:r>
          </w:p>
        </w:tc>
      </w:tr>
      <w:tr w:rsidR="00B928AF" w14:paraId="0F4EEC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F6AD0E" w14:textId="77777777" w:rsidR="00B928AF" w:rsidRDefault="00000000">
            <w:r>
              <w:rPr>
                <w:b/>
                <w:bCs/>
                <w:color w:val="000000"/>
                <w:sz w:val="20"/>
                <w:szCs w:val="20"/>
              </w:rPr>
              <w:t>Grid Modernization / Electrification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59E7E0" w14:textId="77777777" w:rsidR="00B928AF" w:rsidRDefault="00000000">
            <w:pPr>
              <w:jc w:val="center"/>
            </w:pPr>
            <w:r>
              <w:rPr>
                <w:b/>
                <w:bCs/>
                <w:color w:val="548235"/>
                <w:sz w:val="20"/>
                <w:szCs w:val="20"/>
              </w:rPr>
              <w:t>15–25 yrs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214488" w14:textId="77777777" w:rsidR="00B928AF" w:rsidRDefault="00000000">
            <w:r>
              <w:rPr>
                <w:color w:val="000000"/>
                <w:sz w:val="20"/>
                <w:szCs w:val="20"/>
              </w:rPr>
              <w:t>$1.2T needed for U.S. grid upgrades (DOE estimate). EV charging infrastructure buildout. Building electrification mandates (all-electric new construction in CA, NY, WA). Every electrification project needs licensed electricians. EMCOR’s Electrical Construction segment grew 51.8% in FY2025.</w:t>
            </w:r>
          </w:p>
        </w:tc>
      </w:tr>
      <w:tr w:rsidR="00B928AF" w14:paraId="41A57C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C73ADC" w14:textId="77777777" w:rsidR="00B928AF" w:rsidRDefault="00000000">
            <w:r>
              <w:rPr>
                <w:b/>
                <w:bCs/>
                <w:color w:val="000000"/>
                <w:sz w:val="20"/>
                <w:szCs w:val="20"/>
              </w:rPr>
              <w:t>Healthcare Modernization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29F2D3" w14:textId="77777777" w:rsidR="00B928AF" w:rsidRDefault="00000000">
            <w:pPr>
              <w:jc w:val="center"/>
            </w:pPr>
            <w:r>
              <w:rPr>
                <w:b/>
                <w:bCs/>
                <w:color w:val="548235"/>
                <w:sz w:val="20"/>
                <w:szCs w:val="20"/>
              </w:rPr>
              <w:t>10–15 yrs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554784" w14:textId="77777777" w:rsidR="00B928AF" w:rsidRDefault="00000000">
            <w:r>
              <w:rPr>
                <w:color w:val="000000"/>
                <w:sz w:val="20"/>
                <w:szCs w:val="20"/>
              </w:rPr>
              <w:t xml:space="preserve">$200B+ in deferred healthcare facility maintenance and modernization nationally. Aging hospital infrastructure requires MEP upgrades. Ambulatory surgery center and medical office building construction accelerating. Healthcare is EMCOR’s </w:t>
            </w:r>
            <w:proofErr w:type="gramStart"/>
            <w:r>
              <w:rPr>
                <w:color w:val="000000"/>
                <w:sz w:val="20"/>
                <w:szCs w:val="20"/>
              </w:rPr>
              <w:t>second-largest</w:t>
            </w:r>
            <w:proofErr w:type="gramEnd"/>
            <w:r>
              <w:rPr>
                <w:color w:val="000000"/>
                <w:sz w:val="20"/>
                <w:szCs w:val="20"/>
              </w:rPr>
              <w:t xml:space="preserve"> vertical after data centers.</w:t>
            </w:r>
          </w:p>
        </w:tc>
      </w:tr>
      <w:tr w:rsidR="00B928AF" w14:paraId="162B35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92FF52" w14:textId="77777777" w:rsidR="00B928AF" w:rsidRDefault="00000000">
            <w:r>
              <w:rPr>
                <w:b/>
                <w:bCs/>
                <w:color w:val="000000"/>
                <w:sz w:val="20"/>
                <w:szCs w:val="20"/>
              </w:rPr>
              <w:t>Industrial Reshoring / CHIPS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598ECF" w14:textId="77777777" w:rsidR="00B928AF" w:rsidRDefault="00000000">
            <w:pPr>
              <w:jc w:val="center"/>
            </w:pPr>
            <w:r>
              <w:rPr>
                <w:b/>
                <w:bCs/>
                <w:color w:val="548235"/>
                <w:sz w:val="20"/>
                <w:szCs w:val="20"/>
              </w:rPr>
              <w:t>10–15 yrs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C86083" w14:textId="77777777" w:rsidR="00B928AF" w:rsidRDefault="00000000">
            <w:r>
              <w:rPr>
                <w:color w:val="000000"/>
                <w:sz w:val="20"/>
                <w:szCs w:val="20"/>
              </w:rPr>
              <w:t>CHIPS and Science Act ($52B) driving semiconductor fab construction in the U.S. IRA incentives driving EV battery plant and renewable energy manufacturing. Each fab requires $5–10B in construction, heavy on electrical and mechanical work.</w:t>
            </w:r>
          </w:p>
        </w:tc>
      </w:tr>
      <w:tr w:rsidR="00B928AF" w14:paraId="1A3C0A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B97DB0" w14:textId="77777777" w:rsidR="00B928AF" w:rsidRDefault="00000000">
            <w:r>
              <w:rPr>
                <w:b/>
                <w:bCs/>
                <w:color w:val="000000"/>
                <w:sz w:val="20"/>
                <w:szCs w:val="20"/>
              </w:rPr>
              <w:t>Energy Transition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1177D3C" w14:textId="77777777" w:rsidR="00B928AF" w:rsidRDefault="00000000">
            <w:pPr>
              <w:jc w:val="center"/>
            </w:pPr>
            <w:r>
              <w:rPr>
                <w:b/>
                <w:bCs/>
                <w:color w:val="548235"/>
                <w:sz w:val="20"/>
                <w:szCs w:val="20"/>
              </w:rPr>
              <w:t>10–20 yrs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2C5EC2" w14:textId="77777777" w:rsidR="00B928AF" w:rsidRDefault="00000000">
            <w:r>
              <w:rPr>
                <w:color w:val="000000"/>
                <w:sz w:val="20"/>
                <w:szCs w:val="20"/>
              </w:rPr>
              <w:t>IRA tax credits driving renewable energy construction (solar, wind, battery storage). Grid interconnection queues are 5+ years long, requiring massive transmission and substation construction. EMCOR’s energy infrastructure capabilities are directly applicable.</w:t>
            </w:r>
          </w:p>
        </w:tc>
      </w:tr>
      <w:tr w:rsidR="00B928AF" w14:paraId="37CB67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7DCBC6" w14:textId="77777777" w:rsidR="00B928AF" w:rsidRDefault="00000000">
            <w:r>
              <w:rPr>
                <w:b/>
                <w:bCs/>
                <w:color w:val="000000"/>
                <w:sz w:val="20"/>
                <w:szCs w:val="20"/>
              </w:rPr>
              <w:t>Building Code Complexity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3230" w14:textId="77777777" w:rsidR="00B928AF" w:rsidRDefault="00000000">
            <w:pPr>
              <w:jc w:val="center"/>
            </w:pPr>
            <w:r>
              <w:rPr>
                <w:b/>
                <w:bCs/>
                <w:color w:val="548235"/>
                <w:sz w:val="20"/>
                <w:szCs w:val="20"/>
              </w:rPr>
              <w:t>Permanent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352B4F" w14:textId="77777777" w:rsidR="00B928AF" w:rsidRDefault="00000000">
            <w:r>
              <w:rPr>
                <w:color w:val="000000"/>
                <w:sz w:val="20"/>
                <w:szCs w:val="20"/>
              </w:rPr>
              <w:t xml:space="preserve">Energy codes (ASHRAE 90.1, Title 24), fire codes (NFPA), accessibility (ADA), and seismic requirements grow more complex with each cycle. Complexity favors experienced contractors with engineering capability. This is a permanent tailwind for </w:t>
            </w:r>
            <w:proofErr w:type="gramStart"/>
            <w:r>
              <w:rPr>
                <w:color w:val="000000"/>
                <w:sz w:val="20"/>
                <w:szCs w:val="20"/>
              </w:rPr>
              <w:t>scaled,</w:t>
            </w:r>
            <w:proofErr w:type="gramEnd"/>
            <w:r>
              <w:rPr>
                <w:color w:val="000000"/>
                <w:sz w:val="20"/>
                <w:szCs w:val="20"/>
              </w:rPr>
              <w:t xml:space="preserve"> compliant contractors.</w:t>
            </w:r>
          </w:p>
        </w:tc>
      </w:tr>
    </w:tbl>
    <w:p w14:paraId="1154C92A" w14:textId="77777777" w:rsidR="00B928AF" w:rsidRDefault="00B928AF">
      <w:pPr>
        <w:spacing w:after="120"/>
      </w:pPr>
    </w:p>
    <w:p w14:paraId="7CB61304" w14:textId="77777777" w:rsidR="00B928AF" w:rsidRDefault="00000000">
      <w:pPr>
        <w:spacing w:after="120"/>
      </w:pPr>
      <w:r>
        <w:rPr>
          <w:b/>
          <w:bCs/>
        </w:rPr>
        <w:t xml:space="preserve">Demand Independence: </w:t>
      </w:r>
      <w:r>
        <w:t xml:space="preserve">Critically, these 6 secular drivers are largely INDEPENDENT of each other. A slowdown in data center construction would not eliminate demand from healthcare </w:t>
      </w:r>
      <w:r>
        <w:lastRenderedPageBreak/>
        <w:t>modernization, grid electrification, or industrial reshoring. This multi-driver demand structure provides resilience against any single end-market downturn.</w:t>
      </w:r>
    </w:p>
    <w:p w14:paraId="70047A95" w14:textId="77777777" w:rsidR="00B928AF" w:rsidRDefault="00000000">
      <w:pPr>
        <w:spacing w:after="120"/>
      </w:pPr>
      <w:r>
        <w:rPr>
          <w:b/>
          <w:bCs/>
        </w:rPr>
        <w:t xml:space="preserve">Antifragility Signal: </w:t>
      </w:r>
      <w:r>
        <w:t xml:space="preserve">The demand environment is genuinely </w:t>
      </w:r>
      <w:proofErr w:type="gramStart"/>
      <w:r>
        <w:t>antifragile</w:t>
      </w:r>
      <w:proofErr w:type="gramEnd"/>
      <w:r>
        <w:t>: AI proliferation creates MORE data center demand. Climate change creates MORE electrification and energy transition demand. Aging infrastructure creates MORE modernization demand. Reshoring creates MORE industrial construction demand. The macro forces driving EMCOR’s growth are structural and self-reinforcing.</w:t>
      </w:r>
    </w:p>
    <w:p w14:paraId="76DFA953" w14:textId="77777777" w:rsidR="00B928AF" w:rsidRDefault="00000000">
      <w:pPr>
        <w:spacing w:after="120"/>
      </w:pPr>
      <w:r>
        <w:rPr>
          <w:b/>
          <w:bCs/>
        </w:rPr>
        <w:t xml:space="preserve">D4 Score: </w:t>
      </w:r>
      <w:r>
        <w:t xml:space="preserve">9 / 10 — Six independent secular tailwinds spanning 10–25 years each, with a permanent complexity driver beneath all of them. Score is 9 rather than 10 because: (a) a severe recession could temporarily slow </w:t>
      </w:r>
      <w:proofErr w:type="gramStart"/>
      <w:r>
        <w:t>project starts</w:t>
      </w:r>
      <w:proofErr w:type="gramEnd"/>
      <w:r>
        <w:t xml:space="preserve"> across multiple verticals simultaneously; (b) data center concentration risk — if </w:t>
      </w:r>
      <w:proofErr w:type="spellStart"/>
      <w:r>
        <w:t>hyperscaler</w:t>
      </w:r>
      <w:proofErr w:type="spellEnd"/>
      <w:r>
        <w:t xml:space="preserve"> capex pauses (as it briefly did in 2023), EMCOR’s highest-margin segment would feel it.</w:t>
      </w:r>
    </w:p>
    <w:p w14:paraId="7D6FD773" w14:textId="77777777" w:rsidR="00B928AF" w:rsidRDefault="00000000">
      <w:r>
        <w:br w:type="page"/>
      </w:r>
    </w:p>
    <w:p w14:paraId="46A9522F" w14:textId="77777777" w:rsidR="00B928AF" w:rsidRDefault="00000000">
      <w:pPr>
        <w:pStyle w:val="Heading1"/>
        <w:spacing w:before="300" w:after="150"/>
      </w:pPr>
      <w:r>
        <w:lastRenderedPageBreak/>
        <w:t>STEP 3: RAW COMPOSITE CALCULATION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1200"/>
        <w:gridCol w:w="1200"/>
        <w:gridCol w:w="2560"/>
      </w:tblGrid>
      <w:tr w:rsidR="00B928AF" w14:paraId="60A5AFC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8C2B534" w14:textId="77777777" w:rsidR="00B928AF" w:rsidRDefault="00000000">
            <w:r>
              <w:rPr>
                <w:b/>
                <w:bCs/>
                <w:color w:val="FFFFFF"/>
                <w:sz w:val="20"/>
                <w:szCs w:val="20"/>
              </w:rPr>
              <w:t>Dimension</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0AE8DD2" w14:textId="77777777" w:rsidR="00B928AF" w:rsidRDefault="00000000">
            <w:pPr>
              <w:jc w:val="center"/>
            </w:pPr>
            <w:r>
              <w:rPr>
                <w:b/>
                <w:bCs/>
                <w:color w:val="FFFFFF"/>
                <w:sz w:val="20"/>
                <w:szCs w:val="20"/>
              </w:rPr>
              <w:t>Weight</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383636B" w14:textId="77777777" w:rsidR="00B928AF" w:rsidRDefault="00000000">
            <w:pPr>
              <w:jc w:val="center"/>
            </w:pPr>
            <w:r>
              <w:rPr>
                <w:b/>
                <w:bCs/>
                <w:color w:val="FFFFFF"/>
                <w:sz w:val="20"/>
                <w:szCs w:val="20"/>
              </w:rPr>
              <w:t>Score</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3289C734" w14:textId="77777777" w:rsidR="00B928AF" w:rsidRDefault="00000000">
            <w:pPr>
              <w:jc w:val="center"/>
            </w:pPr>
            <w:r>
              <w:rPr>
                <w:b/>
                <w:bCs/>
                <w:color w:val="FFFFFF"/>
                <w:sz w:val="20"/>
                <w:szCs w:val="20"/>
              </w:rPr>
              <w:t>Weighted</w:t>
            </w:r>
          </w:p>
        </w:tc>
        <w:tc>
          <w:tcPr>
            <w:tcW w:w="2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AABECBB" w14:textId="77777777" w:rsidR="00B928AF" w:rsidRDefault="00000000">
            <w:r>
              <w:rPr>
                <w:b/>
                <w:bCs/>
                <w:color w:val="FFFFFF"/>
                <w:sz w:val="20"/>
                <w:szCs w:val="20"/>
              </w:rPr>
              <w:t>Key Driver</w:t>
            </w:r>
          </w:p>
        </w:tc>
      </w:tr>
      <w:tr w:rsidR="00B928AF" w14:paraId="3F1287E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554A12" w14:textId="77777777" w:rsidR="00B928AF" w:rsidRDefault="00000000">
            <w:r>
              <w:rPr>
                <w:b/>
                <w:bCs/>
                <w:color w:val="000000"/>
                <w:sz w:val="20"/>
                <w:szCs w:val="20"/>
              </w:rPr>
              <w:t>D1: Capital Efficiency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077A25" w14:textId="77777777" w:rsidR="00B928AF" w:rsidRDefault="00000000">
            <w:pPr>
              <w:jc w:val="center"/>
            </w:pPr>
            <w:r>
              <w:rPr>
                <w:color w:val="000000"/>
                <w:sz w:val="20"/>
                <w:szCs w:val="20"/>
              </w:rPr>
              <w:t>25%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E59C9B" w14:textId="77777777" w:rsidR="00B928AF" w:rsidRDefault="00000000">
            <w:pPr>
              <w:jc w:val="center"/>
            </w:pPr>
            <w:r>
              <w:rPr>
                <w:b/>
                <w:bCs/>
                <w:color w:val="548235"/>
                <w:sz w:val="20"/>
                <w:szCs w:val="20"/>
              </w:rPr>
              <w:t>9/10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B5C4DD" w14:textId="77777777" w:rsidR="00B928AF" w:rsidRDefault="00000000">
            <w:pPr>
              <w:jc w:val="center"/>
            </w:pPr>
            <w:r>
              <w:rPr>
                <w:color w:val="000000"/>
                <w:sz w:val="20"/>
                <w:szCs w:val="20"/>
              </w:rPr>
              <w:t>2.25</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4E5B55" w14:textId="77777777" w:rsidR="00B928AF" w:rsidRDefault="00000000">
            <w:r>
              <w:rPr>
                <w:color w:val="000000"/>
                <w:sz w:val="20"/>
                <w:szCs w:val="20"/>
              </w:rPr>
              <w:t>ROIC 22.3%, spread +10.6%</w:t>
            </w:r>
          </w:p>
        </w:tc>
      </w:tr>
      <w:tr w:rsidR="00B928AF" w14:paraId="599FF9B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448FD" w14:textId="77777777" w:rsidR="00B928AF" w:rsidRDefault="00000000">
            <w:r>
              <w:rPr>
                <w:b/>
                <w:bCs/>
                <w:color w:val="000000"/>
                <w:sz w:val="20"/>
                <w:szCs w:val="20"/>
              </w:rPr>
              <w:t>D2: Reinvestment Quality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A0E1DB" w14:textId="77777777" w:rsidR="00B928AF" w:rsidRDefault="00000000">
            <w:pPr>
              <w:jc w:val="center"/>
            </w:pPr>
            <w:r>
              <w:rPr>
                <w:color w:val="000000"/>
                <w:sz w:val="20"/>
                <w:szCs w:val="20"/>
              </w:rPr>
              <w:t>30%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05877E" w14:textId="77777777" w:rsidR="00B928AF" w:rsidRDefault="00000000">
            <w:pPr>
              <w:jc w:val="center"/>
            </w:pPr>
            <w:r>
              <w:rPr>
                <w:b/>
                <w:bCs/>
                <w:color w:val="548235"/>
                <w:sz w:val="20"/>
                <w:szCs w:val="20"/>
              </w:rPr>
              <w:t>8/10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2BCD0F" w14:textId="77777777" w:rsidR="00B928AF" w:rsidRDefault="00000000">
            <w:pPr>
              <w:jc w:val="center"/>
            </w:pPr>
            <w:r>
              <w:rPr>
                <w:color w:val="000000"/>
                <w:sz w:val="20"/>
                <w:szCs w:val="20"/>
              </w:rPr>
              <w:t>2.40</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667B96" w14:textId="77777777" w:rsidR="00B928AF" w:rsidRDefault="00000000">
            <w:r>
              <w:rPr>
                <w:color w:val="000000"/>
                <w:sz w:val="20"/>
                <w:szCs w:val="20"/>
              </w:rPr>
              <w:t>ROIIC ~41%, disciplined M&amp;A</w:t>
            </w:r>
          </w:p>
        </w:tc>
      </w:tr>
      <w:tr w:rsidR="00B928AF" w14:paraId="5BF157C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3CB61A" w14:textId="77777777" w:rsidR="00B928AF" w:rsidRDefault="00000000">
            <w:r>
              <w:rPr>
                <w:b/>
                <w:bCs/>
                <w:color w:val="000000"/>
                <w:sz w:val="20"/>
                <w:szCs w:val="20"/>
              </w:rPr>
              <w:t>D3: Revenue Durability</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22F99B" w14:textId="77777777" w:rsidR="00B928AF" w:rsidRDefault="00000000">
            <w:pPr>
              <w:jc w:val="center"/>
            </w:pPr>
            <w:r>
              <w:rPr>
                <w:color w:val="000000"/>
                <w:sz w:val="20"/>
                <w:szCs w:val="20"/>
              </w:rPr>
              <w:t>20%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CE9A4F" w14:textId="77777777" w:rsidR="00B928AF" w:rsidRDefault="00000000">
            <w:pPr>
              <w:jc w:val="center"/>
            </w:pPr>
            <w:r>
              <w:rPr>
                <w:b/>
                <w:bCs/>
                <w:color w:val="548235"/>
                <w:sz w:val="20"/>
                <w:szCs w:val="20"/>
              </w:rPr>
              <w:t>7/10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28ADC" w14:textId="77777777" w:rsidR="00B928AF" w:rsidRDefault="00000000">
            <w:pPr>
              <w:jc w:val="center"/>
            </w:pPr>
            <w:r>
              <w:rPr>
                <w:color w:val="000000"/>
                <w:sz w:val="20"/>
                <w:szCs w:val="20"/>
              </w:rPr>
              <w:t>1.40</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9602AB" w14:textId="77777777" w:rsidR="00B928AF" w:rsidRDefault="00000000">
            <w:r>
              <w:rPr>
                <w:color w:val="000000"/>
                <w:sz w:val="20"/>
                <w:szCs w:val="20"/>
              </w:rPr>
              <w:t>$13.25B RPO, but project-based</w:t>
            </w:r>
          </w:p>
        </w:tc>
      </w:tr>
      <w:tr w:rsidR="00B928AF" w14:paraId="408C080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C1384C" w14:textId="77777777" w:rsidR="00B928AF" w:rsidRDefault="00000000">
            <w:r>
              <w:rPr>
                <w:b/>
                <w:bCs/>
                <w:color w:val="000000"/>
                <w:sz w:val="20"/>
                <w:szCs w:val="20"/>
              </w:rPr>
              <w:t>D4: Secular Demand Tailwinds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998EA2" w14:textId="77777777" w:rsidR="00B928AF" w:rsidRDefault="00000000">
            <w:pPr>
              <w:jc w:val="center"/>
            </w:pPr>
            <w:r>
              <w:rPr>
                <w:color w:val="000000"/>
                <w:sz w:val="20"/>
                <w:szCs w:val="20"/>
              </w:rPr>
              <w:t>25%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019A39" w14:textId="77777777" w:rsidR="00B928AF" w:rsidRDefault="00000000">
            <w:pPr>
              <w:jc w:val="center"/>
            </w:pPr>
            <w:r>
              <w:rPr>
                <w:b/>
                <w:bCs/>
                <w:color w:val="548235"/>
                <w:sz w:val="20"/>
                <w:szCs w:val="20"/>
              </w:rPr>
              <w:t>9/10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86271E" w14:textId="77777777" w:rsidR="00B928AF" w:rsidRDefault="00000000">
            <w:pPr>
              <w:jc w:val="center"/>
            </w:pPr>
            <w:r>
              <w:rPr>
                <w:color w:val="000000"/>
                <w:sz w:val="20"/>
                <w:szCs w:val="20"/>
              </w:rPr>
              <w:t>2.25</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977C66" w14:textId="77777777" w:rsidR="00B928AF" w:rsidRDefault="00000000">
            <w:r>
              <w:rPr>
                <w:color w:val="000000"/>
                <w:sz w:val="20"/>
                <w:szCs w:val="20"/>
              </w:rPr>
              <w:t>6 independent secular drivers</w:t>
            </w:r>
          </w:p>
        </w:tc>
      </w:tr>
      <w:tr w:rsidR="00B928AF" w14:paraId="31851C7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1BFBFB" w14:textId="77777777" w:rsidR="00B928AF" w:rsidRDefault="00000000">
            <w:r>
              <w:rPr>
                <w:b/>
                <w:bCs/>
                <w:color w:val="000000"/>
                <w:sz w:val="20"/>
                <w:szCs w:val="20"/>
              </w:rPr>
              <w:t>RAW COMPOSITE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9EC26B" w14:textId="77777777" w:rsidR="00B928AF" w:rsidRDefault="00000000">
            <w:pPr>
              <w:jc w:val="center"/>
            </w:pPr>
            <w:r>
              <w:rPr>
                <w:color w:val="000000"/>
                <w:sz w:val="20"/>
                <w:szCs w:val="20"/>
              </w:rPr>
              <w:t>100%</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9574D6" w14:textId="77777777" w:rsidR="00B928AF" w:rsidRDefault="00B928AF"/>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B01A26" w14:textId="77777777" w:rsidR="00B928AF" w:rsidRDefault="00000000">
            <w:pPr>
              <w:jc w:val="center"/>
            </w:pPr>
            <w:r>
              <w:rPr>
                <w:b/>
                <w:bCs/>
                <w:color w:val="548235"/>
                <w:sz w:val="20"/>
                <w:szCs w:val="20"/>
              </w:rPr>
              <w:t>8.30</w:t>
            </w:r>
          </w:p>
        </w:tc>
        <w:tc>
          <w:tcPr>
            <w:tcW w:w="2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E7E691" w14:textId="77777777" w:rsidR="00B928AF" w:rsidRDefault="00000000">
            <w:r>
              <w:rPr>
                <w:b/>
                <w:bCs/>
                <w:color w:val="548235"/>
                <w:sz w:val="20"/>
                <w:szCs w:val="20"/>
              </w:rPr>
              <w:t>INFRASTRUCTURE COMPOUNDER (≥ 7.5)</w:t>
            </w:r>
          </w:p>
        </w:tc>
      </w:tr>
    </w:tbl>
    <w:p w14:paraId="5AA11E19" w14:textId="77777777" w:rsidR="00B928AF" w:rsidRDefault="00B928AF">
      <w:pPr>
        <w:spacing w:after="120"/>
      </w:pPr>
    </w:p>
    <w:p w14:paraId="720C995E" w14:textId="77777777" w:rsidR="00B928AF" w:rsidRDefault="00000000">
      <w:pPr>
        <w:spacing w:after="120"/>
      </w:pPr>
      <w:r>
        <w:rPr>
          <w:b/>
          <w:bCs/>
        </w:rPr>
        <w:t xml:space="preserve">EVA Gate (required): </w:t>
      </w:r>
      <w:r>
        <w:t>ROIC (22.3%) &gt; WACC (11.7%) = POSITIVE EVA. Gate PASSES. EMCOR creates genuine economic value above its cost of capital.</w:t>
      </w:r>
    </w:p>
    <w:p w14:paraId="6864A7C1" w14:textId="77777777" w:rsidR="00B928AF" w:rsidRDefault="00000000">
      <w:pPr>
        <w:spacing w:after="120"/>
      </w:pPr>
      <w:r>
        <w:rPr>
          <w:b/>
          <w:bCs/>
        </w:rPr>
        <w:t xml:space="preserve">Pre-Screen Consistency: </w:t>
      </w:r>
      <w:r>
        <w:t>LMI returned FORTRESS (6/7 Strong). Raw composite is 8.30 (Infrastructure Compounder). These are fully consistent — a company with a fortress-class labor moat, 22%+ ROIC, 41% ROIIC, and 6 independent secular demand tailwinds should score at the top of this framework.</w:t>
      </w:r>
    </w:p>
    <w:p w14:paraId="788473A6" w14:textId="77777777" w:rsidR="00B928AF" w:rsidRDefault="00000000">
      <w:r>
        <w:br w:type="page"/>
      </w:r>
    </w:p>
    <w:p w14:paraId="0C558DA9" w14:textId="77777777" w:rsidR="00B928AF" w:rsidRDefault="00000000">
      <w:pPr>
        <w:pStyle w:val="Heading1"/>
        <w:spacing w:before="300" w:after="150"/>
      </w:pPr>
      <w:r>
        <w:lastRenderedPageBreak/>
        <w:t>STEP 4: ANTIFRAGILITY MODIFIER (AFM)</w:t>
      </w:r>
    </w:p>
    <w:p w14:paraId="492844AA" w14:textId="77777777" w:rsidR="00B928AF" w:rsidRDefault="00000000">
      <w:pPr>
        <w:spacing w:after="120"/>
      </w:pPr>
      <w:r>
        <w:rPr>
          <w:color w:val="000000"/>
        </w:rPr>
        <w:t xml:space="preserve">The Antifragility Modifier tests whether the company’s competitive position </w:t>
      </w:r>
      <w:proofErr w:type="gramStart"/>
      <w:r>
        <w:rPr>
          <w:color w:val="000000"/>
        </w:rPr>
        <w:t>actually STRENGTHENS</w:t>
      </w:r>
      <w:proofErr w:type="gramEnd"/>
      <w:r>
        <w:rPr>
          <w:color w:val="000000"/>
        </w:rPr>
        <w:t xml:space="preserve"> under stress — the Taleb criterion. For infrastructure services, antifragility manifests differently than for SaaS: it’s about whether demand and pricing power INCREASE as the macro environment becomes more complex, volatile, or constrained.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000"/>
        <w:gridCol w:w="3360"/>
      </w:tblGrid>
      <w:tr w:rsidR="00B928AF" w14:paraId="07790460"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8DF1769" w14:textId="77777777" w:rsidR="00B928AF" w:rsidRDefault="00000000">
            <w:r>
              <w:rPr>
                <w:b/>
                <w:bCs/>
                <w:color w:val="FFFFFF"/>
                <w:sz w:val="20"/>
                <w:szCs w:val="20"/>
              </w:rPr>
              <w:t>Antifragility Test</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191CEF8" w14:textId="77777777" w:rsidR="00B928AF" w:rsidRDefault="00000000">
            <w:pPr>
              <w:jc w:val="center"/>
            </w:pPr>
            <w:r>
              <w:rPr>
                <w:b/>
                <w:bCs/>
                <w:color w:val="FFFFFF"/>
                <w:sz w:val="20"/>
                <w:szCs w:val="20"/>
              </w:rPr>
              <w:t>Result</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1BDBFEF" w14:textId="77777777" w:rsidR="00B928AF" w:rsidRDefault="00000000">
            <w:r>
              <w:rPr>
                <w:b/>
                <w:bCs/>
                <w:color w:val="FFFFFF"/>
                <w:sz w:val="20"/>
                <w:szCs w:val="20"/>
              </w:rPr>
              <w:t>Evidence</w:t>
            </w:r>
          </w:p>
        </w:tc>
      </w:tr>
      <w:tr w:rsidR="00B928AF" w14:paraId="32FF8AB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99477" w14:textId="77777777" w:rsidR="00B928AF" w:rsidRDefault="00000000">
            <w:r>
              <w:rPr>
                <w:color w:val="000000"/>
                <w:sz w:val="20"/>
                <w:szCs w:val="20"/>
              </w:rPr>
              <w:t>1. Does demand INCREASE as the world becomes more complex?</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B17EE9" w14:textId="77777777" w:rsidR="00B928AF" w:rsidRDefault="00000000">
            <w:pPr>
              <w:jc w:val="center"/>
            </w:pPr>
            <w:r>
              <w:rPr>
                <w:b/>
                <w:bCs/>
                <w:color w:val="548235"/>
                <w:sz w:val="20"/>
                <w:szCs w:val="20"/>
              </w:rPr>
              <w:t>YES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5E76C7" w14:textId="77777777" w:rsidR="00B928AF" w:rsidRDefault="00000000">
            <w:r>
              <w:rPr>
                <w:color w:val="000000"/>
                <w:sz w:val="20"/>
                <w:szCs w:val="20"/>
              </w:rPr>
              <w:t>AI proliferation → more data centers. Climate change → more electrification. Cyber threats → more hardened facilities. Each layer of complexity creates more MEP construction and maintenance demand.</w:t>
            </w:r>
          </w:p>
        </w:tc>
      </w:tr>
      <w:tr w:rsidR="00B928AF" w14:paraId="4DCE7D68"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7A0AFE" w14:textId="77777777" w:rsidR="00B928AF" w:rsidRDefault="00000000">
            <w:r>
              <w:rPr>
                <w:color w:val="000000"/>
                <w:sz w:val="20"/>
                <w:szCs w:val="20"/>
              </w:rPr>
              <w:t>2. Does labor scarcity INCREASE barriers to entry over time?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046AB2" w14:textId="77777777" w:rsidR="00B928AF" w:rsidRDefault="00000000">
            <w:pPr>
              <w:jc w:val="center"/>
            </w:pPr>
            <w:r>
              <w:rPr>
                <w:b/>
                <w:bCs/>
                <w:color w:val="548235"/>
                <w:sz w:val="20"/>
                <w:szCs w:val="20"/>
              </w:rPr>
              <w:t>YES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7DFFE4" w14:textId="77777777" w:rsidR="00B928AF" w:rsidRDefault="00000000">
            <w:r>
              <w:rPr>
                <w:color w:val="000000"/>
                <w:sz w:val="20"/>
                <w:szCs w:val="20"/>
              </w:rPr>
              <w:t xml:space="preserve">500K+ worker shortage </w:t>
            </w:r>
            <w:proofErr w:type="gramStart"/>
            <w:r>
              <w:rPr>
                <w:color w:val="000000"/>
                <w:sz w:val="20"/>
                <w:szCs w:val="20"/>
              </w:rPr>
              <w:t>growing</w:t>
            </w:r>
            <w:proofErr w:type="gramEnd"/>
            <w:r>
              <w:rPr>
                <w:color w:val="000000"/>
                <w:sz w:val="20"/>
                <w:szCs w:val="20"/>
              </w:rPr>
              <w:t xml:space="preserve"> as Baby Boomers retire. Trade school enrollment flat. Immigration policy uncertain. Each year, the structural labor gap widens, making EMCOR’s existing workforce more valuable.</w:t>
            </w:r>
          </w:p>
        </w:tc>
      </w:tr>
      <w:tr w:rsidR="00B928AF" w14:paraId="0406823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ADE5BD" w14:textId="77777777" w:rsidR="00B928AF" w:rsidRDefault="00000000">
            <w:r>
              <w:rPr>
                <w:color w:val="000000"/>
                <w:sz w:val="20"/>
                <w:szCs w:val="20"/>
              </w:rPr>
              <w:t>3. Does project complexity INCREASE with technological change?</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5326CC" w14:textId="77777777" w:rsidR="00B928AF" w:rsidRDefault="00000000">
            <w:pPr>
              <w:jc w:val="center"/>
            </w:pPr>
            <w:r>
              <w:rPr>
                <w:b/>
                <w:bCs/>
                <w:color w:val="548235"/>
                <w:sz w:val="20"/>
                <w:szCs w:val="20"/>
              </w:rPr>
              <w:t>YES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046794" w14:textId="77777777" w:rsidR="00B928AF" w:rsidRDefault="00000000">
            <w:r>
              <w:rPr>
                <w:color w:val="000000"/>
                <w:sz w:val="20"/>
                <w:szCs w:val="20"/>
              </w:rPr>
              <w:t xml:space="preserve">AI data centers require liquid cooling, high-density power (100kW+ per rack), custom electrical distribution. Healthcare facilities require advanced air handling, clean rooms, medical gas systems. Building codes </w:t>
            </w:r>
            <w:proofErr w:type="gramStart"/>
            <w:r>
              <w:rPr>
                <w:color w:val="000000"/>
                <w:sz w:val="20"/>
                <w:szCs w:val="20"/>
              </w:rPr>
              <w:t>grow</w:t>
            </w:r>
            <w:proofErr w:type="gramEnd"/>
            <w:r>
              <w:rPr>
                <w:color w:val="000000"/>
                <w:sz w:val="20"/>
                <w:szCs w:val="20"/>
              </w:rPr>
              <w:t xml:space="preserve"> more complex. Each wave of technology raises the execution bar.</w:t>
            </w:r>
          </w:p>
        </w:tc>
      </w:tr>
      <w:tr w:rsidR="00B928AF" w14:paraId="0D4338F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BD5B16" w14:textId="77777777" w:rsidR="00B928AF" w:rsidRDefault="00000000">
            <w:r>
              <w:rPr>
                <w:color w:val="000000"/>
                <w:sz w:val="20"/>
                <w:szCs w:val="20"/>
              </w:rPr>
              <w:t>4. Does regulatory burden INCREASE the moat?</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5C00D4" w14:textId="77777777" w:rsidR="00B928AF" w:rsidRDefault="00000000">
            <w:pPr>
              <w:jc w:val="center"/>
            </w:pPr>
            <w:r>
              <w:rPr>
                <w:b/>
                <w:bCs/>
                <w:color w:val="548235"/>
                <w:sz w:val="20"/>
                <w:szCs w:val="20"/>
              </w:rPr>
              <w:t>YES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8BACD" w14:textId="77777777" w:rsidR="00B928AF" w:rsidRDefault="00000000">
            <w:r>
              <w:rPr>
                <w:color w:val="000000"/>
                <w:sz w:val="20"/>
                <w:szCs w:val="20"/>
              </w:rPr>
              <w:t>Energy codes (ASHRAE 90.1 updates), fire codes (NFPA revisions), seismic requirements, and accessibility mandates grow more stringent. Compliance requires engineering expertise and training investment that smaller competitors lack.</w:t>
            </w:r>
          </w:p>
        </w:tc>
      </w:tr>
      <w:tr w:rsidR="00B928AF" w14:paraId="4F2955DA"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EE3F0A" w14:textId="77777777" w:rsidR="00B928AF" w:rsidRDefault="00000000">
            <w:r>
              <w:rPr>
                <w:color w:val="000000"/>
                <w:sz w:val="20"/>
                <w:szCs w:val="20"/>
              </w:rPr>
              <w:t>5. Does a recession create ACQUISITION opportunities?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CF54982" w14:textId="77777777" w:rsidR="00B928AF" w:rsidRDefault="00000000">
            <w:pPr>
              <w:jc w:val="center"/>
            </w:pPr>
            <w:r>
              <w:rPr>
                <w:b/>
                <w:bCs/>
                <w:color w:val="548235"/>
                <w:sz w:val="20"/>
                <w:szCs w:val="20"/>
              </w:rPr>
              <w:t>YES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11E920" w14:textId="77777777" w:rsidR="00B928AF" w:rsidRDefault="00000000">
            <w:r>
              <w:rPr>
                <w:color w:val="000000"/>
                <w:sz w:val="20"/>
                <w:szCs w:val="20"/>
              </w:rPr>
              <w:t>During downturns, smaller regional contractors lose bonding capacity, key employees, and customer relationships. EMCOR’s financial strength ($1.1B cash, investment-grade credit) enables counter-cyclical M&amp;A — buying distressed competitors at discounted valuations.</w:t>
            </w:r>
          </w:p>
        </w:tc>
      </w:tr>
    </w:tbl>
    <w:p w14:paraId="7FCF753E" w14:textId="77777777" w:rsidR="00B928AF" w:rsidRDefault="00B928AF">
      <w:pPr>
        <w:spacing w:after="120"/>
      </w:pPr>
    </w:p>
    <w:p w14:paraId="54D1BEB0" w14:textId="77777777" w:rsidR="00B928AF" w:rsidRDefault="00000000">
      <w:pPr>
        <w:spacing w:after="120"/>
      </w:pPr>
      <w:r>
        <w:rPr>
          <w:b/>
          <w:bCs/>
        </w:rPr>
        <w:t xml:space="preserve">AFM Score: </w:t>
      </w:r>
      <w:r>
        <w:t>5 / 5 → +0.25 modifier</w:t>
      </w:r>
    </w:p>
    <w:p w14:paraId="0D8D46D3" w14:textId="77777777" w:rsidR="00B928AF" w:rsidRDefault="00000000">
      <w:pPr>
        <w:spacing w:after="120"/>
      </w:pPr>
      <w:r>
        <w:rPr>
          <w:color w:val="000000"/>
        </w:rPr>
        <w:lastRenderedPageBreak/>
        <w:t xml:space="preserve">All five antifragility tests pass. EMCOR is one of the rare companies where EVERY major macro stress vector — technological complexity, labor scarcity, regulatory burden, climate change, economic downturn — </w:t>
      </w:r>
      <w:proofErr w:type="gramStart"/>
      <w:r>
        <w:rPr>
          <w:color w:val="000000"/>
        </w:rPr>
        <w:t>actually STRENGTHENS</w:t>
      </w:r>
      <w:proofErr w:type="gramEnd"/>
      <w:r>
        <w:rPr>
          <w:color w:val="000000"/>
        </w:rPr>
        <w:t xml:space="preserve"> the competitive position. The modifier is intentionally modest (+0.25) because the raw score already captures most of this advantage; the AFM confirms directionality.</w:t>
      </w:r>
    </w:p>
    <w:p w14:paraId="7FE2BACE" w14:textId="77777777" w:rsidR="00B928AF" w:rsidRDefault="00000000">
      <w:r>
        <w:br w:type="page"/>
      </w:r>
    </w:p>
    <w:p w14:paraId="38256CD8" w14:textId="77777777" w:rsidR="00B928AF" w:rsidRDefault="00000000">
      <w:pPr>
        <w:pStyle w:val="Heading1"/>
        <w:spacing w:before="300" w:after="150"/>
      </w:pPr>
      <w:r>
        <w:lastRenderedPageBreak/>
        <w:t>STEP 5: FINAL COMPOSITE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928AF" w14:paraId="080B1F5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D65A0" w14:textId="77777777" w:rsidR="00B928AF" w:rsidRDefault="00000000">
            <w:r>
              <w:rPr>
                <w:b/>
                <w:bCs/>
                <w:color w:val="000000"/>
                <w:sz w:val="20"/>
                <w:szCs w:val="20"/>
              </w:rPr>
              <w:t>Raw Composite</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C065B7" w14:textId="77777777" w:rsidR="00B928AF" w:rsidRDefault="00000000">
            <w:pPr>
              <w:jc w:val="center"/>
            </w:pPr>
            <w:r>
              <w:rPr>
                <w:b/>
                <w:bCs/>
                <w:color w:val="000000"/>
                <w:sz w:val="20"/>
                <w:szCs w:val="20"/>
              </w:rPr>
              <w:t>8.30</w:t>
            </w:r>
          </w:p>
        </w:tc>
      </w:tr>
      <w:tr w:rsidR="00B928AF" w14:paraId="0FA7D6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BDD17A" w14:textId="77777777" w:rsidR="00B928AF" w:rsidRDefault="00000000">
            <w:r>
              <w:rPr>
                <w:b/>
                <w:bCs/>
                <w:color w:val="000000"/>
                <w:sz w:val="20"/>
                <w:szCs w:val="20"/>
              </w:rPr>
              <w:t>Antifragility Modifier</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1A07BD" w14:textId="77777777" w:rsidR="00B928AF" w:rsidRDefault="00000000">
            <w:pPr>
              <w:jc w:val="center"/>
            </w:pPr>
            <w:r>
              <w:rPr>
                <w:b/>
                <w:bCs/>
                <w:color w:val="548235"/>
                <w:sz w:val="20"/>
                <w:szCs w:val="20"/>
              </w:rPr>
              <w:t>+0.25</w:t>
            </w:r>
          </w:p>
        </w:tc>
      </w:tr>
      <w:tr w:rsidR="00B928AF" w14:paraId="3920E4A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4D7C5E4" w14:textId="77777777" w:rsidR="00B928AF" w:rsidRDefault="00000000">
            <w:r>
              <w:rPr>
                <w:b/>
                <w:bCs/>
                <w:color w:val="FFFFFF"/>
              </w:rPr>
              <w:t>FINAL COMPOSITE</w:t>
            </w:r>
          </w:p>
        </w:tc>
        <w:tc>
          <w:tcPr>
            <w:tcW w:w="46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4CF8B53" w14:textId="77777777" w:rsidR="00B928AF" w:rsidRDefault="00000000">
            <w:pPr>
              <w:jc w:val="center"/>
            </w:pPr>
            <w:r>
              <w:rPr>
                <w:b/>
                <w:bCs/>
                <w:color w:val="548235"/>
              </w:rPr>
              <w:t>8.55 — INFRASTRUCTURE COMPOUNDER</w:t>
            </w:r>
          </w:p>
        </w:tc>
      </w:tr>
    </w:tbl>
    <w:p w14:paraId="3DF03A39" w14:textId="77777777" w:rsidR="00B928AF" w:rsidRDefault="00B928AF">
      <w:pPr>
        <w:spacing w:after="120"/>
      </w:pPr>
    </w:p>
    <w:p w14:paraId="43F683F5" w14:textId="77777777" w:rsidR="00B928AF" w:rsidRDefault="00000000">
      <w:pPr>
        <w:spacing w:after="120"/>
      </w:pPr>
      <w:r>
        <w:rPr>
          <w:b/>
          <w:bCs/>
        </w:rPr>
        <w:t xml:space="preserve">Classification: </w:t>
      </w:r>
      <w:r>
        <w:t>INFRASTRUCTURE COMPOUNDER — Not modifier-dependent. Raw score of 8.30 clears the 7.5 threshold on its own.</w:t>
      </w:r>
    </w:p>
    <w:p w14:paraId="63313361" w14:textId="77777777" w:rsidR="00B928AF" w:rsidRDefault="00000000">
      <w:pPr>
        <w:spacing w:after="120"/>
      </w:pPr>
      <w:r>
        <w:rPr>
          <w:b/>
          <w:bCs/>
        </w:rPr>
        <w:t xml:space="preserve">ROIC-WACC Gate: </w:t>
      </w:r>
      <w:r>
        <w:t>PASS (+10.6% spread, threshold &gt;10%)</w:t>
      </w:r>
    </w:p>
    <w:p w14:paraId="718D0739" w14:textId="77777777" w:rsidR="00B928AF" w:rsidRDefault="00000000">
      <w:pPr>
        <w:spacing w:after="120"/>
      </w:pPr>
      <w:r>
        <w:rPr>
          <w:b/>
          <w:bCs/>
        </w:rPr>
        <w:t xml:space="preserve">EVA: </w:t>
      </w:r>
      <w:r>
        <w:t>~$600M+ annually — genuine economic value creation</w:t>
      </w:r>
    </w:p>
    <w:p w14:paraId="4A5B00A1" w14:textId="77777777" w:rsidR="00B928AF" w:rsidRDefault="00B928AF">
      <w:pPr>
        <w:spacing w:after="120"/>
      </w:pPr>
    </w:p>
    <w:p w14:paraId="2034021F" w14:textId="77777777" w:rsidR="00B928AF" w:rsidRDefault="00000000">
      <w:pPr>
        <w:pStyle w:val="Heading2"/>
        <w:spacing w:before="300" w:after="150"/>
      </w:pPr>
      <w:r>
        <w:t>The Value Creation Identity</w:t>
      </w:r>
    </w:p>
    <w:p w14:paraId="06422CBE" w14:textId="77777777" w:rsidR="00B928AF" w:rsidRDefault="00000000">
      <w:pPr>
        <w:spacing w:after="120"/>
      </w:pPr>
      <w:r>
        <w:rPr>
          <w:b/>
          <w:bCs/>
        </w:rPr>
        <w:t xml:space="preserve">Intrinsic Value Growth Rate = </w:t>
      </w:r>
      <w:r>
        <w:t>Reinvestment Rate × ROIIC</w:t>
      </w:r>
    </w:p>
    <w:p w14:paraId="33BB2175" w14:textId="77777777" w:rsidR="00B928AF" w:rsidRDefault="00000000">
      <w:pPr>
        <w:spacing w:after="120"/>
      </w:pPr>
      <w:r>
        <w:rPr>
          <w:b/>
          <w:bCs/>
        </w:rPr>
        <w:t xml:space="preserve">Reinvestment Rate: </w:t>
      </w:r>
      <w:r>
        <w:t>EMCOR retains ~94% of earnings (6% dividend payout ratio). After buybacks (~$490M) and M&amp;A (~$865M Miller Electric), the effective reinvestment rate in growth is approximately 60–65% of NOPAT.</w:t>
      </w:r>
    </w:p>
    <w:p w14:paraId="2CFF5454" w14:textId="77777777" w:rsidR="00B928AF" w:rsidRDefault="00000000">
      <w:pPr>
        <w:spacing w:after="120"/>
      </w:pPr>
      <w:r>
        <w:rPr>
          <w:b/>
          <w:bCs/>
        </w:rPr>
        <w:t xml:space="preserve">ROIIC: </w:t>
      </w:r>
      <w:r>
        <w:t>~41% (3-year trailing)</w:t>
      </w:r>
    </w:p>
    <w:p w14:paraId="5A52F7A6" w14:textId="77777777" w:rsidR="00B928AF" w:rsidRDefault="00000000">
      <w:pPr>
        <w:spacing w:after="120"/>
      </w:pPr>
      <w:r>
        <w:rPr>
          <w:b/>
          <w:bCs/>
        </w:rPr>
        <w:t xml:space="preserve">Implied Intrinsic Value Growth: </w:t>
      </w:r>
      <w:r>
        <w:t>60–65% × 41% = ~25–27% per year</w:t>
      </w:r>
    </w:p>
    <w:p w14:paraId="3BF3930A" w14:textId="77777777" w:rsidR="00B928AF" w:rsidRDefault="00000000">
      <w:pPr>
        <w:spacing w:after="120"/>
      </w:pPr>
      <w:r>
        <w:rPr>
          <w:color w:val="000000"/>
        </w:rPr>
        <w:t>This implies EMCOR’s intrinsic value per share is compounding at approximately 25–27% annually — which is remarkably consistent with the actual stock price appreciation over the past 3 years (~35% CAGR, including multiple expansion). The math checks.</w:t>
      </w:r>
    </w:p>
    <w:p w14:paraId="0A5CCA84" w14:textId="77777777" w:rsidR="00B928AF" w:rsidRDefault="00000000">
      <w:r>
        <w:br w:type="page"/>
      </w:r>
    </w:p>
    <w:p w14:paraId="24D1E24D" w14:textId="77777777" w:rsidR="00B928AF" w:rsidRDefault="00000000">
      <w:pPr>
        <w:pStyle w:val="Heading1"/>
        <w:spacing w:before="300" w:after="150"/>
      </w:pPr>
      <w:r>
        <w:lastRenderedPageBreak/>
        <w:t>STEP 6: SCENARIO MODELING</w:t>
      </w:r>
    </w:p>
    <w:p w14:paraId="22E36E3B" w14:textId="77777777" w:rsidR="00B928AF" w:rsidRDefault="00000000">
      <w:pPr>
        <w:pStyle w:val="Heading2"/>
        <w:spacing w:before="300" w:after="150"/>
      </w:pPr>
      <w:r>
        <w:t xml:space="preserve">Bull Case (Secular </w:t>
      </w:r>
      <w:proofErr w:type="gramStart"/>
      <w:r>
        <w:t>Supercycle) —</w:t>
      </w:r>
      <w:proofErr w:type="gramEnd"/>
      <w:r>
        <w:t xml:space="preserve"> 30% probability</w:t>
      </w:r>
    </w:p>
    <w:p w14:paraId="0A088123" w14:textId="77777777" w:rsidR="00B928AF" w:rsidRDefault="00000000">
      <w:pPr>
        <w:spacing w:after="120"/>
      </w:pPr>
      <w:proofErr w:type="spellStart"/>
      <w:r>
        <w:rPr>
          <w:color w:val="000000"/>
        </w:rPr>
        <w:t>Hyperscaler</w:t>
      </w:r>
      <w:proofErr w:type="spellEnd"/>
      <w:r>
        <w:rPr>
          <w:color w:val="000000"/>
        </w:rPr>
        <w:t xml:space="preserve"> data center capex remains $200B+ annually through 2030. EMCOR captures disproportionate share due to execution track record and workforce advantage. Revenue reaches $25B+ by FY2028. Operating margins sustain 9.5–10% as data center mix remains favorable. Bolt-on M&amp;A adds $1B+ revenue annually. EPS compounds at 20–25% annually. Stock re-rates to 25–30x P/E as the market recognizes EMCOR as an infrastructure compounder rather than a cyclical contractor.</w:t>
      </w:r>
    </w:p>
    <w:p w14:paraId="034EDBEF" w14:textId="77777777" w:rsidR="00B928AF" w:rsidRDefault="00000000">
      <w:pPr>
        <w:spacing w:after="120"/>
      </w:pPr>
      <w:r>
        <w:rPr>
          <w:b/>
          <w:bCs/>
        </w:rPr>
        <w:t xml:space="preserve">What </w:t>
      </w:r>
      <w:proofErr w:type="gramStart"/>
      <w:r>
        <w:rPr>
          <w:b/>
          <w:bCs/>
        </w:rPr>
        <w:t>has to</w:t>
      </w:r>
      <w:proofErr w:type="gramEnd"/>
      <w:r>
        <w:rPr>
          <w:b/>
          <w:bCs/>
        </w:rPr>
        <w:t xml:space="preserve"> be true: </w:t>
      </w:r>
      <w:r>
        <w:t>AI infrastructure buildout does not materially slow. EMCOR maintains pricing discipline despite competitive entry. Labor scarcity persists, protecting margins. M&amp;A pipeline remains accretive at &lt;12x EBITDA.</w:t>
      </w:r>
    </w:p>
    <w:p w14:paraId="0358067E" w14:textId="77777777" w:rsidR="00B928AF" w:rsidRDefault="00000000">
      <w:pPr>
        <w:pStyle w:val="Heading2"/>
        <w:spacing w:before="300" w:after="150"/>
      </w:pPr>
      <w:r>
        <w:t xml:space="preserve">Base Case (Steady </w:t>
      </w:r>
      <w:proofErr w:type="gramStart"/>
      <w:r>
        <w:t>Compounding) —</w:t>
      </w:r>
      <w:proofErr w:type="gramEnd"/>
      <w:r>
        <w:t xml:space="preserve"> 50% probability</w:t>
      </w:r>
    </w:p>
    <w:p w14:paraId="62FDB8C2" w14:textId="77777777" w:rsidR="00B928AF" w:rsidRDefault="00000000">
      <w:pPr>
        <w:spacing w:after="120"/>
      </w:pPr>
      <w:r>
        <w:rPr>
          <w:color w:val="000000"/>
        </w:rPr>
        <w:t>Revenue grows 10–14% annually through FY2028 (organic + bolt-</w:t>
      </w:r>
      <w:proofErr w:type="spellStart"/>
      <w:r>
        <w:rPr>
          <w:color w:val="000000"/>
        </w:rPr>
        <w:t>ons</w:t>
      </w:r>
      <w:proofErr w:type="spellEnd"/>
      <w:r>
        <w:rPr>
          <w:color w:val="000000"/>
        </w:rPr>
        <w:t xml:space="preserve">). Data center revenue remains 30–35% of total. Operating margins sustain 8.5–9.5% as project mix normalizes. EPS compounds at 15–18% annually (revenue growth + margin stability + share buybacks). Stock trades in the 20–25x P/E range. FCF generation of $1.5B+ </w:t>
      </w:r>
      <w:proofErr w:type="gramStart"/>
      <w:r>
        <w:rPr>
          <w:color w:val="000000"/>
        </w:rPr>
        <w:t>annually</w:t>
      </w:r>
      <w:proofErr w:type="gramEnd"/>
      <w:r>
        <w:rPr>
          <w:color w:val="000000"/>
        </w:rPr>
        <w:t xml:space="preserve"> funds continued M&amp;A and buybacks.</w:t>
      </w:r>
    </w:p>
    <w:p w14:paraId="3AA5E906" w14:textId="77777777" w:rsidR="00B928AF" w:rsidRDefault="00000000">
      <w:pPr>
        <w:spacing w:after="120"/>
      </w:pPr>
      <w:r>
        <w:rPr>
          <w:b/>
          <w:bCs/>
        </w:rPr>
        <w:t xml:space="preserve">Key milestones: </w:t>
      </w:r>
      <w:r>
        <w:t>RPO sustains above $12B. Operating margin holds above 8.5%. Organic growth sustains above 8%. Miller Electric integration exceeds $80M EBITDA target. New end-market diversification (EV charging, grid-scale battery storage) reaches 5%+ of revenue.</w:t>
      </w:r>
    </w:p>
    <w:p w14:paraId="09E94DB8" w14:textId="77777777" w:rsidR="00B928AF" w:rsidRDefault="00000000">
      <w:pPr>
        <w:pStyle w:val="Heading2"/>
        <w:spacing w:before="300" w:after="150"/>
      </w:pPr>
      <w:r>
        <w:t xml:space="preserve">Bear Case (Cyclical </w:t>
      </w:r>
      <w:proofErr w:type="gramStart"/>
      <w:r>
        <w:t>Slowdown) —</w:t>
      </w:r>
      <w:proofErr w:type="gramEnd"/>
      <w:r>
        <w:t xml:space="preserve"> 20% probability</w:t>
      </w:r>
    </w:p>
    <w:p w14:paraId="56574AB5" w14:textId="77777777" w:rsidR="00B928AF" w:rsidRDefault="00000000">
      <w:pPr>
        <w:spacing w:after="120"/>
      </w:pPr>
      <w:proofErr w:type="spellStart"/>
      <w:r>
        <w:rPr>
          <w:color w:val="000000"/>
        </w:rPr>
        <w:t>Hyperscaler</w:t>
      </w:r>
      <w:proofErr w:type="spellEnd"/>
      <w:r>
        <w:rPr>
          <w:color w:val="000000"/>
        </w:rPr>
        <w:t xml:space="preserve"> data center capex pauses or moderates (as occurred briefly in 2023 when cloud optimization dominated). Recession slows commercial construction starts. Data center revenue drops to 20–25% of total. Operating margins compress to 7–8% as lower-margin work fills the gap. Revenue growth decelerates to 3–5%. EPS growth stalls at 5–8%. Stock de-rates to 15–18x P/E. However, even in the bear case, EMCOR’s financial strength, diversified end markets, and recurring building services revenue prevent fundamental impairment.</w:t>
      </w:r>
    </w:p>
    <w:p w14:paraId="6DD9EACD" w14:textId="77777777" w:rsidR="00B928AF" w:rsidRDefault="00000000">
      <w:pPr>
        <w:spacing w:after="120"/>
      </w:pPr>
      <w:r>
        <w:rPr>
          <w:b/>
          <w:bCs/>
        </w:rPr>
        <w:t xml:space="preserve">Bear case mechanism: </w:t>
      </w:r>
      <w:r>
        <w:t>Cyclical slowdown in the highest-margin segment (data centers), NOT structural impairment. Year 1–2: margin compression and multiple de-rating. Year 3+: recovery as secular tailwinds reassert. EMCOR uses the downturn for counter-cyclical M&amp;A.</w:t>
      </w:r>
    </w:p>
    <w:p w14:paraId="5C11ADA3" w14:textId="77777777" w:rsidR="00B928AF" w:rsidRDefault="00000000">
      <w:r>
        <w:br w:type="page"/>
      </w:r>
    </w:p>
    <w:p w14:paraId="2D3F2719" w14:textId="77777777" w:rsidR="00B928AF" w:rsidRDefault="00000000">
      <w:pPr>
        <w:pStyle w:val="Heading1"/>
        <w:spacing w:before="300" w:after="150"/>
      </w:pPr>
      <w:r>
        <w:lastRenderedPageBreak/>
        <w:t>STEP 7: VALUATION GATE</w:t>
      </w:r>
    </w:p>
    <w:p w14:paraId="6ACBBE99" w14:textId="77777777" w:rsidR="00B928AF" w:rsidRDefault="00000000">
      <w:pPr>
        <w:pStyle w:val="Heading2"/>
        <w:spacing w:before="300" w:after="150"/>
      </w:pPr>
      <w:r>
        <w:t>7A. Current Valuation</w:t>
      </w:r>
    </w:p>
    <w:p w14:paraId="255BEF97" w14:textId="77777777" w:rsidR="00B928AF" w:rsidRDefault="00000000">
      <w:pPr>
        <w:spacing w:after="120"/>
      </w:pPr>
      <w:r>
        <w:rPr>
          <w:b/>
          <w:bCs/>
        </w:rPr>
        <w:t xml:space="preserve">Market Cap: </w:t>
      </w:r>
      <w:r>
        <w:t>~$32–34B (at ~$750/share, ~44M diluted shares)</w:t>
      </w:r>
    </w:p>
    <w:p w14:paraId="53033F02" w14:textId="77777777" w:rsidR="00B928AF" w:rsidRDefault="00000000">
      <w:pPr>
        <w:spacing w:after="120"/>
      </w:pPr>
      <w:r>
        <w:rPr>
          <w:b/>
          <w:bCs/>
        </w:rPr>
        <w:t xml:space="preserve">Enterprise Value: </w:t>
      </w:r>
      <w:r>
        <w:t>~$33–34B (market cap + $0.84B debt – $1.1B cash)</w:t>
      </w:r>
    </w:p>
    <w:p w14:paraId="3E9510AF" w14:textId="77777777" w:rsidR="00B928AF" w:rsidRDefault="00000000">
      <w:pPr>
        <w:spacing w:after="120"/>
      </w:pPr>
      <w:r>
        <w:rPr>
          <w:b/>
          <w:bCs/>
        </w:rPr>
        <w:t xml:space="preserve">FY2025 EBITDA: </w:t>
      </w:r>
      <w:r>
        <w:t>~$1.76–1.99B</w:t>
      </w:r>
    </w:p>
    <w:p w14:paraId="77ADE50F" w14:textId="77777777" w:rsidR="00B928AF" w:rsidRDefault="00000000">
      <w:pPr>
        <w:spacing w:after="120"/>
      </w:pPr>
      <w:r>
        <w:rPr>
          <w:b/>
          <w:bCs/>
        </w:rPr>
        <w:t xml:space="preserve">EV/EBITDA: </w:t>
      </w:r>
      <w:r>
        <w:t>~17–19x (depending on EBITDA measure)</w:t>
      </w:r>
    </w:p>
    <w:p w14:paraId="65396855" w14:textId="77777777" w:rsidR="00B928AF" w:rsidRDefault="00000000">
      <w:pPr>
        <w:spacing w:after="120"/>
      </w:pPr>
      <w:r>
        <w:rPr>
          <w:b/>
          <w:bCs/>
        </w:rPr>
        <w:t xml:space="preserve">P/E (TTM): </w:t>
      </w:r>
      <w:r>
        <w:t>~26x ($28.19 EPS)</w:t>
      </w:r>
    </w:p>
    <w:p w14:paraId="666476B1" w14:textId="77777777" w:rsidR="00B928AF" w:rsidRDefault="00000000">
      <w:pPr>
        <w:spacing w:after="120"/>
      </w:pPr>
      <w:r>
        <w:rPr>
          <w:b/>
          <w:bCs/>
        </w:rPr>
        <w:t xml:space="preserve">FY2026 EPS Guidance Midpoint: </w:t>
      </w:r>
      <w:r>
        <w:t>$28.25</w:t>
      </w:r>
    </w:p>
    <w:p w14:paraId="372A6122" w14:textId="77777777" w:rsidR="00B928AF" w:rsidRDefault="00000000">
      <w:pPr>
        <w:spacing w:after="120"/>
      </w:pPr>
      <w:r>
        <w:rPr>
          <w:b/>
          <w:bCs/>
        </w:rPr>
        <w:t xml:space="preserve">Forward P/E: </w:t>
      </w:r>
      <w:r>
        <w:t>~26.6x (at $750/share)</w:t>
      </w:r>
    </w:p>
    <w:p w14:paraId="6FDD205A" w14:textId="77777777" w:rsidR="00B928AF" w:rsidRDefault="00000000">
      <w:pPr>
        <w:spacing w:after="120"/>
      </w:pPr>
      <w:r>
        <w:rPr>
          <w:b/>
          <w:bCs/>
        </w:rPr>
        <w:t xml:space="preserve">FCF Yield: </w:t>
      </w:r>
      <w:r>
        <w:t>~4.0–4.5% ($1.3–1.5B FCF on ~$33B EV)</w:t>
      </w:r>
    </w:p>
    <w:p w14:paraId="112F1615" w14:textId="77777777" w:rsidR="00B928AF" w:rsidRDefault="00000000">
      <w:pPr>
        <w:pStyle w:val="Heading2"/>
        <w:spacing w:before="300" w:after="150"/>
      </w:pPr>
      <w:r>
        <w:t>7B. Implied Growth Check</w:t>
      </w:r>
    </w:p>
    <w:p w14:paraId="566EE0FE" w14:textId="77777777" w:rsidR="00B928AF" w:rsidRDefault="00000000">
      <w:pPr>
        <w:spacing w:after="120"/>
      </w:pPr>
      <w:r>
        <w:rPr>
          <w:color w:val="000000"/>
        </w:rPr>
        <w:t>At the current EV of ~$33B, assuming a 15x terminal EV/EBITDA multiple in year 10 (premium for infrastructure compounder), the implied 10-year EBITDA CAGR required is approximately 8–10%.</w:t>
      </w:r>
    </w:p>
    <w:p w14:paraId="76BA6768" w14:textId="77777777" w:rsidR="00B928AF" w:rsidRDefault="00000000">
      <w:pPr>
        <w:spacing w:after="120"/>
      </w:pPr>
      <w:r>
        <w:rPr>
          <w:b/>
          <w:bCs/>
        </w:rPr>
        <w:t xml:space="preserve">Current growth rate: </w:t>
      </w:r>
      <w:r>
        <w:t>FY2025 revenue +17%, EPS +20%. FY2026 guidance implies +4–10% revenue growth (conservative guide, consistent with management style).</w:t>
      </w:r>
    </w:p>
    <w:p w14:paraId="681DF9A3" w14:textId="77777777" w:rsidR="00B928AF" w:rsidRDefault="00000000">
      <w:pPr>
        <w:spacing w:after="120"/>
      </w:pPr>
      <w:r>
        <w:rPr>
          <w:b/>
          <w:bCs/>
        </w:rPr>
        <w:t xml:space="preserve">Is implied CAGR achievable? </w:t>
      </w:r>
      <w:r>
        <w:t>Yes, with HIGH confidence. EMCOR has grown revenue at a 14% CAGR over the past 5 years, and the secular demand environment is stronger now than at any point in its history. Achieving 8–10% EBITDA growth for 10 years is conservative given the tailwinds.</w:t>
      </w:r>
    </w:p>
    <w:p w14:paraId="60FEE1F7" w14:textId="77777777" w:rsidR="00B928AF" w:rsidRDefault="00000000">
      <w:pPr>
        <w:pStyle w:val="Heading2"/>
        <w:spacing w:before="300" w:after="150"/>
      </w:pPr>
      <w:r>
        <w:t>7C. Valuation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928AF" w14:paraId="34EE94A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D2FB552" w14:textId="77777777" w:rsidR="00B928AF" w:rsidRDefault="00000000">
            <w:r>
              <w:rPr>
                <w:b/>
                <w:bCs/>
                <w:color w:val="FFFFFF"/>
                <w:sz w:val="20"/>
                <w:szCs w:val="20"/>
              </w:rPr>
              <w:t>Classification</w:t>
            </w:r>
          </w:p>
        </w:tc>
        <w:tc>
          <w:tcPr>
            <w:tcW w:w="234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A4BD68B" w14:textId="77777777" w:rsidR="00B928AF" w:rsidRDefault="00000000">
            <w:pPr>
              <w:jc w:val="center"/>
            </w:pPr>
            <w:r>
              <w:rPr>
                <w:b/>
                <w:bCs/>
                <w:color w:val="FFFFFF"/>
                <w:sz w:val="20"/>
                <w:szCs w:val="20"/>
              </w:rPr>
              <w:t>Acceptable Entry</w:t>
            </w:r>
          </w:p>
        </w:tc>
        <w:tc>
          <w:tcPr>
            <w:tcW w:w="234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A725E79" w14:textId="77777777" w:rsidR="00B928AF" w:rsidRDefault="00000000">
            <w:pPr>
              <w:jc w:val="center"/>
            </w:pPr>
            <w:r>
              <w:rPr>
                <w:b/>
                <w:bCs/>
                <w:color w:val="FFFFFF"/>
                <w:sz w:val="20"/>
                <w:szCs w:val="20"/>
              </w:rPr>
              <w:t>Current Multiple</w:t>
            </w:r>
          </w:p>
        </w:tc>
        <w:tc>
          <w:tcPr>
            <w:tcW w:w="234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409F28D7" w14:textId="77777777" w:rsidR="00B928AF" w:rsidRDefault="00000000">
            <w:pPr>
              <w:jc w:val="center"/>
            </w:pPr>
            <w:r>
              <w:rPr>
                <w:b/>
                <w:bCs/>
                <w:color w:val="FFFFFF"/>
                <w:sz w:val="20"/>
                <w:szCs w:val="20"/>
              </w:rPr>
              <w:t>Verdict</w:t>
            </w:r>
          </w:p>
        </w:tc>
      </w:tr>
      <w:tr w:rsidR="00B928AF" w14:paraId="176DA3B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C893C5" w14:textId="77777777" w:rsidR="00B928AF" w:rsidRDefault="00000000">
            <w:r>
              <w:rPr>
                <w:b/>
                <w:bCs/>
                <w:color w:val="548235"/>
                <w:sz w:val="20"/>
                <w:szCs w:val="20"/>
              </w:rPr>
              <w:t>INFRA COMPOUNDER</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D9B7A6" w14:textId="77777777" w:rsidR="00B928AF" w:rsidRDefault="00000000">
            <w:pPr>
              <w:jc w:val="center"/>
            </w:pPr>
            <w:r>
              <w:rPr>
                <w:color w:val="000000"/>
                <w:sz w:val="20"/>
                <w:szCs w:val="20"/>
              </w:rPr>
              <w:t>Up to 22x P/E / 18x EV/EBITDA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670EEF" w14:textId="77777777" w:rsidR="00B928AF" w:rsidRPr="00FD2D6A" w:rsidRDefault="00000000">
            <w:pPr>
              <w:jc w:val="center"/>
              <w:rPr>
                <w:lang w:val="es-ES"/>
              </w:rPr>
            </w:pPr>
            <w:r w:rsidRPr="00FD2D6A">
              <w:rPr>
                <w:b/>
                <w:bCs/>
                <w:color w:val="000000"/>
                <w:sz w:val="20"/>
                <w:szCs w:val="20"/>
                <w:lang w:val="es-ES"/>
              </w:rPr>
              <w:t>~26x P/E / ~18x EBITDA</w:t>
            </w:r>
          </w:p>
        </w:tc>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4A011" w14:textId="77777777" w:rsidR="00B928AF" w:rsidRDefault="00000000">
            <w:pPr>
              <w:jc w:val="center"/>
            </w:pPr>
            <w:r>
              <w:rPr>
                <w:b/>
                <w:bCs/>
                <w:color w:val="BF8F00"/>
                <w:sz w:val="20"/>
                <w:szCs w:val="20"/>
              </w:rPr>
              <w:t>BORDERLINE</w:t>
            </w:r>
          </w:p>
        </w:tc>
      </w:tr>
    </w:tbl>
    <w:p w14:paraId="642D65E9" w14:textId="77777777" w:rsidR="00B928AF" w:rsidRDefault="00B928AF">
      <w:pPr>
        <w:spacing w:after="120"/>
      </w:pPr>
    </w:p>
    <w:p w14:paraId="3CAB86B8" w14:textId="77777777" w:rsidR="00B928AF" w:rsidRDefault="00000000">
      <w:pPr>
        <w:spacing w:after="120"/>
      </w:pPr>
      <w:r>
        <w:rPr>
          <w:b/>
          <w:bCs/>
        </w:rPr>
        <w:t xml:space="preserve">Valuation Gate: </w:t>
      </w:r>
      <w:r>
        <w:t>BORDERLINE. At ~26x forward P/E and ~18x EV/EBITDA, EMCOR is trading at the upper end of the acceptable range for an Infrastructure Compounder. The stock has appreciated ~200% over the past 3 years as the market recognized the data center/secular growth thesis. At current levels, the entry multiple is full — the margin of safety is thin. However, for a company compounding intrinsic value at 25%+ annually, a 26x P/E is not unreasonable if the compounding persists.</w:t>
      </w:r>
    </w:p>
    <w:p w14:paraId="1B5C09FA" w14:textId="77777777" w:rsidR="00B928AF" w:rsidRDefault="00000000">
      <w:pPr>
        <w:pStyle w:val="Heading2"/>
        <w:spacing w:before="300" w:after="150"/>
      </w:pPr>
      <w:r>
        <w:t>7D. Historical Context</w:t>
      </w:r>
    </w:p>
    <w:p w14:paraId="34F77A16" w14:textId="77777777" w:rsidR="00B928AF" w:rsidRDefault="00000000">
      <w:pPr>
        <w:spacing w:after="120"/>
      </w:pPr>
      <w:r>
        <w:rPr>
          <w:b/>
          <w:bCs/>
        </w:rPr>
        <w:t xml:space="preserve">3-year average P/E: </w:t>
      </w:r>
      <w:r>
        <w:t>~20–22x</w:t>
      </w:r>
    </w:p>
    <w:p w14:paraId="151375A9" w14:textId="77777777" w:rsidR="00B928AF" w:rsidRDefault="00000000">
      <w:pPr>
        <w:spacing w:after="120"/>
      </w:pPr>
      <w:r>
        <w:rPr>
          <w:b/>
          <w:bCs/>
        </w:rPr>
        <w:t xml:space="preserve">Current as % of historical average: </w:t>
      </w:r>
      <w:r>
        <w:t>~120–130%</w:t>
      </w:r>
    </w:p>
    <w:p w14:paraId="26959BCE" w14:textId="77777777" w:rsidR="00B928AF" w:rsidRDefault="00000000">
      <w:pPr>
        <w:spacing w:after="120"/>
      </w:pPr>
      <w:r>
        <w:rPr>
          <w:color w:val="000000"/>
        </w:rPr>
        <w:lastRenderedPageBreak/>
        <w:t xml:space="preserve">EMCOR is trading at a meaningful premium to its historical average, reflecting the market’s recognition of the data center/AI infrastructure </w:t>
      </w:r>
      <w:proofErr w:type="spellStart"/>
      <w:r>
        <w:rPr>
          <w:color w:val="000000"/>
        </w:rPr>
        <w:t>supercycle</w:t>
      </w:r>
      <w:proofErr w:type="spellEnd"/>
      <w:r>
        <w:rPr>
          <w:color w:val="000000"/>
        </w:rPr>
        <w:t xml:space="preserve"> and the secular rerating from “cyclical contractor” to “infrastructure compounder.” The premium is warranted by the improved business quality (operating margins expanding from 5.5% to 9.7%), but it also means the stock has less margin of safety than it did 2–3 years ago.</w:t>
      </w:r>
    </w:p>
    <w:p w14:paraId="5486E548" w14:textId="77777777" w:rsidR="00B928AF" w:rsidRDefault="00000000">
      <w:r>
        <w:br w:type="page"/>
      </w:r>
    </w:p>
    <w:p w14:paraId="5616E4E1" w14:textId="77777777" w:rsidR="00B928AF" w:rsidRDefault="00000000">
      <w:pPr>
        <w:pStyle w:val="Heading1"/>
        <w:spacing w:before="300" w:after="150"/>
      </w:pPr>
      <w:r>
        <w:lastRenderedPageBreak/>
        <w:t>STEP 8: FINAL VERDICT</w:t>
      </w:r>
    </w:p>
    <w:p w14:paraId="475770E4" w14:textId="77777777" w:rsidR="00B928AF" w:rsidRDefault="00000000">
      <w:pPr>
        <w:spacing w:after="120"/>
      </w:pPr>
      <w:r>
        <w:rPr>
          <w:b/>
          <w:bCs/>
        </w:rPr>
        <w:t xml:space="preserve">Company: </w:t>
      </w:r>
      <w:r>
        <w:t>EMCOR Group, Inc.</w:t>
      </w:r>
    </w:p>
    <w:p w14:paraId="0092BCEA" w14:textId="77777777" w:rsidR="00B928AF" w:rsidRDefault="00000000">
      <w:pPr>
        <w:spacing w:after="120"/>
      </w:pPr>
      <w:r>
        <w:rPr>
          <w:b/>
          <w:bCs/>
        </w:rPr>
        <w:t xml:space="preserve">Ticker: </w:t>
      </w:r>
      <w:r>
        <w:t>EME (NYSE)</w:t>
      </w:r>
    </w:p>
    <w:p w14:paraId="18660792" w14:textId="77777777" w:rsidR="00B928AF" w:rsidRDefault="00000000">
      <w:pPr>
        <w:spacing w:after="120"/>
      </w:pPr>
      <w:r>
        <w:rPr>
          <w:b/>
          <w:bCs/>
        </w:rPr>
        <w:t xml:space="preserve">Date of Assessment: </w:t>
      </w:r>
      <w:r>
        <w:t>March 19, 2026</w:t>
      </w:r>
    </w:p>
    <w:p w14:paraId="1D3D261D" w14:textId="77777777" w:rsidR="00B928AF" w:rsidRDefault="00000000">
      <w:pPr>
        <w:pStyle w:val="Heading2"/>
        <w:spacing w:before="300" w:after="150"/>
      </w:pPr>
      <w:r>
        <w:t>Integrated Scorecard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5"/>
        <w:gridCol w:w="1580"/>
        <w:gridCol w:w="1707"/>
        <w:gridCol w:w="2918"/>
      </w:tblGrid>
      <w:tr w:rsidR="00B928AF" w14:paraId="559029C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4DEBDCBF" w14:textId="77777777" w:rsidR="00B928AF" w:rsidRDefault="00000000">
            <w:r>
              <w:rPr>
                <w:b/>
                <w:bCs/>
                <w:color w:val="FFFFFF"/>
                <w:sz w:val="20"/>
                <w:szCs w:val="20"/>
              </w:rPr>
              <w:t>Component</w:t>
            </w:r>
          </w:p>
        </w:tc>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6C80620A" w14:textId="77777777" w:rsidR="00B928AF" w:rsidRDefault="00000000">
            <w:pPr>
              <w:jc w:val="center"/>
            </w:pPr>
            <w:r>
              <w:rPr>
                <w:b/>
                <w:bCs/>
                <w:color w:val="FFFFFF"/>
                <w:sz w:val="20"/>
                <w:szCs w:val="20"/>
              </w:rPr>
              <w:t>Score</w:t>
            </w:r>
          </w:p>
        </w:tc>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143E0947" w14:textId="77777777" w:rsidR="00B928AF" w:rsidRDefault="00000000">
            <w:pPr>
              <w:jc w:val="center"/>
            </w:pPr>
            <w:r>
              <w:rPr>
                <w:b/>
                <w:bCs/>
                <w:color w:val="FFFFFF"/>
                <w:sz w:val="20"/>
                <w:szCs w:val="20"/>
              </w:rPr>
              <w:t>Weight/Mod</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vAlign w:val="center"/>
          </w:tcPr>
          <w:p w14:paraId="2AF6B526" w14:textId="77777777" w:rsidR="00B928AF" w:rsidRDefault="00000000">
            <w:r>
              <w:rPr>
                <w:b/>
                <w:bCs/>
                <w:color w:val="FFFFFF"/>
                <w:sz w:val="20"/>
                <w:szCs w:val="20"/>
              </w:rPr>
              <w:t>Key Driver</w:t>
            </w:r>
          </w:p>
        </w:tc>
      </w:tr>
      <w:tr w:rsidR="00B928AF" w14:paraId="07A28E4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A083C1" w14:textId="77777777" w:rsidR="00B928AF" w:rsidRDefault="00000000">
            <w:r>
              <w:rPr>
                <w:b/>
                <w:bCs/>
                <w:color w:val="000000"/>
                <w:sz w:val="20"/>
                <w:szCs w:val="20"/>
              </w:rPr>
              <w:t xml:space="preserve">LMI </w:t>
            </w:r>
            <w:proofErr w:type="gramStart"/>
            <w:r>
              <w:rPr>
                <w:b/>
                <w:bCs/>
                <w:color w:val="000000"/>
                <w:sz w:val="20"/>
                <w:szCs w:val="20"/>
              </w:rPr>
              <w:t>Pre-Screen</w:t>
            </w:r>
            <w:proofErr w:type="gram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EB3445" w14:textId="77777777" w:rsidR="00B928AF" w:rsidRDefault="00000000">
            <w:pPr>
              <w:jc w:val="center"/>
            </w:pPr>
            <w:r>
              <w:rPr>
                <w:b/>
                <w:bCs/>
                <w:color w:val="000000"/>
                <w:sz w:val="20"/>
                <w:szCs w:val="20"/>
              </w:rPr>
              <w:t>6/7 Strong</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40F48A" w14:textId="77777777" w:rsidR="00B928AF" w:rsidRDefault="00000000">
            <w:pPr>
              <w:jc w:val="center"/>
            </w:pPr>
            <w:r>
              <w:rPr>
                <w:color w:val="548235"/>
                <w:sz w:val="20"/>
                <w:szCs w:val="20"/>
              </w:rPr>
              <w:t>FORTRESS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F211D2" w14:textId="77777777" w:rsidR="00B928AF" w:rsidRDefault="00000000">
            <w:r>
              <w:rPr>
                <w:color w:val="000000"/>
                <w:sz w:val="20"/>
                <w:szCs w:val="20"/>
              </w:rPr>
              <w:t>44K workforce, 80–85% self-perform</w:t>
            </w:r>
          </w:p>
        </w:tc>
      </w:tr>
      <w:tr w:rsidR="00B928AF" w14:paraId="31B925F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388C8A" w14:textId="77777777" w:rsidR="00B928AF" w:rsidRDefault="00000000">
            <w:r>
              <w:rPr>
                <w:b/>
                <w:bCs/>
                <w:color w:val="000000"/>
                <w:sz w:val="20"/>
                <w:szCs w:val="20"/>
              </w:rPr>
              <w:t>D1: Capital Efficiency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E7448B3" w14:textId="77777777" w:rsidR="00B928AF" w:rsidRDefault="00000000">
            <w:pPr>
              <w:jc w:val="center"/>
            </w:pPr>
            <w:r>
              <w:rPr>
                <w:b/>
                <w:bCs/>
                <w:color w:val="548235"/>
                <w:sz w:val="20"/>
                <w:szCs w:val="20"/>
              </w:rPr>
              <w:t>9/10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5C834" w14:textId="77777777" w:rsidR="00B928AF" w:rsidRDefault="00000000">
            <w:pPr>
              <w:jc w:val="center"/>
            </w:pPr>
            <w:r>
              <w:rPr>
                <w:color w:val="000000"/>
                <w:sz w:val="20"/>
                <w:szCs w:val="20"/>
              </w:rPr>
              <w:t>25%</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AE672F" w14:textId="77777777" w:rsidR="00B928AF" w:rsidRDefault="00000000">
            <w:r>
              <w:rPr>
                <w:color w:val="000000"/>
                <w:sz w:val="20"/>
                <w:szCs w:val="20"/>
              </w:rPr>
              <w:t>ROIC 22.3%, spread +10.6%</w:t>
            </w:r>
          </w:p>
        </w:tc>
      </w:tr>
      <w:tr w:rsidR="00B928AF" w14:paraId="57F46D0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F1DE1B" w14:textId="77777777" w:rsidR="00B928AF" w:rsidRDefault="00000000">
            <w:r>
              <w:rPr>
                <w:b/>
                <w:bCs/>
                <w:color w:val="000000"/>
                <w:sz w:val="20"/>
                <w:szCs w:val="20"/>
              </w:rPr>
              <w:t>D2: Reinvestment Quality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7E26AD5" w14:textId="77777777" w:rsidR="00B928AF" w:rsidRDefault="00000000">
            <w:pPr>
              <w:jc w:val="center"/>
            </w:pPr>
            <w:r>
              <w:rPr>
                <w:b/>
                <w:bCs/>
                <w:color w:val="548235"/>
                <w:sz w:val="20"/>
                <w:szCs w:val="20"/>
              </w:rPr>
              <w:t>8/10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29299F" w14:textId="77777777" w:rsidR="00B928AF" w:rsidRDefault="00000000">
            <w:pPr>
              <w:jc w:val="center"/>
            </w:pPr>
            <w:r>
              <w:rPr>
                <w:color w:val="000000"/>
                <w:sz w:val="20"/>
                <w:szCs w:val="20"/>
              </w:rPr>
              <w:t>30%</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2E941A" w14:textId="77777777" w:rsidR="00B928AF" w:rsidRDefault="00000000">
            <w:r>
              <w:rPr>
                <w:color w:val="000000"/>
                <w:sz w:val="20"/>
                <w:szCs w:val="20"/>
              </w:rPr>
              <w:t>ROIIC ~41%, M&amp;A at 8–11x</w:t>
            </w:r>
          </w:p>
        </w:tc>
      </w:tr>
      <w:tr w:rsidR="00B928AF" w14:paraId="211D7C6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079F9A" w14:textId="77777777" w:rsidR="00B928AF" w:rsidRDefault="00000000">
            <w:r>
              <w:rPr>
                <w:b/>
                <w:bCs/>
                <w:color w:val="000000"/>
                <w:sz w:val="20"/>
                <w:szCs w:val="20"/>
              </w:rPr>
              <w:t>D3: Revenue Durability</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82ACA9" w14:textId="77777777" w:rsidR="00B928AF" w:rsidRDefault="00000000">
            <w:pPr>
              <w:jc w:val="center"/>
            </w:pPr>
            <w:r>
              <w:rPr>
                <w:b/>
                <w:bCs/>
                <w:color w:val="548235"/>
                <w:sz w:val="20"/>
                <w:szCs w:val="20"/>
              </w:rPr>
              <w:t>7/10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26C7CD" w14:textId="77777777" w:rsidR="00B928AF" w:rsidRDefault="00000000">
            <w:pPr>
              <w:jc w:val="center"/>
            </w:pPr>
            <w:r>
              <w:rPr>
                <w:color w:val="000000"/>
                <w:sz w:val="20"/>
                <w:szCs w:val="20"/>
              </w:rPr>
              <w:t>20%</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CBFFB5" w14:textId="77777777" w:rsidR="00B928AF" w:rsidRDefault="00000000">
            <w:r>
              <w:rPr>
                <w:color w:val="000000"/>
                <w:sz w:val="20"/>
                <w:szCs w:val="20"/>
              </w:rPr>
              <w:t>$13.25B RPO, project-based risk</w:t>
            </w:r>
          </w:p>
        </w:tc>
      </w:tr>
      <w:tr w:rsidR="00B928AF" w14:paraId="33C3A44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393C81" w14:textId="77777777" w:rsidR="00B928AF" w:rsidRDefault="00000000">
            <w:r>
              <w:rPr>
                <w:b/>
                <w:bCs/>
                <w:color w:val="000000"/>
                <w:sz w:val="20"/>
                <w:szCs w:val="20"/>
              </w:rPr>
              <w:t>D4: Secular Demand</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D2DB3B" w14:textId="77777777" w:rsidR="00B928AF" w:rsidRDefault="00000000">
            <w:pPr>
              <w:jc w:val="center"/>
            </w:pPr>
            <w:r>
              <w:rPr>
                <w:b/>
                <w:bCs/>
                <w:color w:val="548235"/>
                <w:sz w:val="20"/>
                <w:szCs w:val="20"/>
              </w:rPr>
              <w:t>9/10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315362" w14:textId="77777777" w:rsidR="00B928AF" w:rsidRDefault="00000000">
            <w:pPr>
              <w:jc w:val="center"/>
            </w:pPr>
            <w:r>
              <w:rPr>
                <w:color w:val="000000"/>
                <w:sz w:val="20"/>
                <w:szCs w:val="20"/>
              </w:rPr>
              <w:t>25%</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58A521" w14:textId="77777777" w:rsidR="00B928AF" w:rsidRDefault="00000000">
            <w:r>
              <w:rPr>
                <w:color w:val="000000"/>
                <w:sz w:val="20"/>
                <w:szCs w:val="20"/>
              </w:rPr>
              <w:t>6 independent secular drivers</w:t>
            </w:r>
          </w:p>
        </w:tc>
      </w:tr>
      <w:tr w:rsidR="00B928AF" w14:paraId="5F9625D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810D1B" w14:textId="77777777" w:rsidR="00B928AF" w:rsidRDefault="00000000">
            <w:r>
              <w:rPr>
                <w:b/>
                <w:bCs/>
                <w:color w:val="000000"/>
                <w:sz w:val="20"/>
                <w:szCs w:val="20"/>
              </w:rPr>
              <w:t>Raw Composite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E0A731" w14:textId="77777777" w:rsidR="00B928AF" w:rsidRDefault="00000000">
            <w:pPr>
              <w:jc w:val="center"/>
            </w:pPr>
            <w:r>
              <w:rPr>
                <w:b/>
                <w:bCs/>
                <w:color w:val="000000"/>
                <w:sz w:val="20"/>
                <w:szCs w:val="20"/>
              </w:rPr>
              <w:t>8.30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7AC950" w14:textId="77777777" w:rsidR="00B928AF" w:rsidRDefault="00B928AF"/>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89B29F" w14:textId="77777777" w:rsidR="00B928AF" w:rsidRDefault="00000000">
            <w:r>
              <w:rPr>
                <w:color w:val="000000"/>
                <w:sz w:val="20"/>
                <w:szCs w:val="20"/>
              </w:rPr>
              <w:t>Infrastructure Compounder on raw</w:t>
            </w:r>
          </w:p>
        </w:tc>
      </w:tr>
      <w:tr w:rsidR="00B928AF" w14:paraId="1F4E9CB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36D67E" w14:textId="77777777" w:rsidR="00B928AF" w:rsidRDefault="00000000">
            <w:r>
              <w:rPr>
                <w:b/>
                <w:bCs/>
                <w:color w:val="000000"/>
                <w:sz w:val="20"/>
                <w:szCs w:val="20"/>
              </w:rPr>
              <w:t>Antifragility Modifier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CF5F63" w14:textId="77777777" w:rsidR="00B928AF" w:rsidRDefault="00000000">
            <w:pPr>
              <w:jc w:val="center"/>
            </w:pPr>
            <w:r>
              <w:rPr>
                <w:color w:val="000000"/>
                <w:sz w:val="20"/>
                <w:szCs w:val="20"/>
              </w:rPr>
              <w:t>5/5</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8B3AFA" w14:textId="77777777" w:rsidR="00B928AF" w:rsidRDefault="00000000">
            <w:pPr>
              <w:jc w:val="center"/>
            </w:pPr>
            <w:r>
              <w:rPr>
                <w:color w:val="548235"/>
                <w:sz w:val="20"/>
                <w:szCs w:val="20"/>
              </w:rPr>
              <w:t>+0.25</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622C6A" w14:textId="77777777" w:rsidR="00B928AF" w:rsidRDefault="00000000">
            <w:r>
              <w:rPr>
                <w:color w:val="000000"/>
                <w:sz w:val="20"/>
                <w:szCs w:val="20"/>
              </w:rPr>
              <w:t>All 5 stress tests pass</w:t>
            </w:r>
          </w:p>
        </w:tc>
      </w:tr>
      <w:tr w:rsidR="00B928AF" w14:paraId="32B58AE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5DE4FBA" w14:textId="77777777" w:rsidR="00B928AF" w:rsidRDefault="00000000">
            <w:r>
              <w:rPr>
                <w:b/>
                <w:bCs/>
                <w:color w:val="FFFFFF"/>
              </w:rPr>
              <w:t>FINAL COMPOSITE</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CA55E19" w14:textId="77777777" w:rsidR="00B928AF" w:rsidRDefault="00000000">
            <w:pPr>
              <w:jc w:val="center"/>
            </w:pPr>
            <w:r>
              <w:rPr>
                <w:b/>
                <w:bCs/>
                <w:color w:val="548235"/>
              </w:rPr>
              <w:t>8.55</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17C284" w14:textId="77777777" w:rsidR="00B928AF" w:rsidRDefault="00000000">
            <w:pPr>
              <w:jc w:val="center"/>
            </w:pPr>
            <w:r>
              <w:rPr>
                <w:b/>
                <w:bCs/>
                <w:color w:val="548235"/>
                <w:sz w:val="20"/>
                <w:szCs w:val="20"/>
              </w:rPr>
              <w:t>COMPOUNDER</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8E2F32" w14:textId="77777777" w:rsidR="00B928AF" w:rsidRDefault="00000000">
            <w:r>
              <w:rPr>
                <w:color w:val="000000"/>
                <w:sz w:val="20"/>
                <w:szCs w:val="20"/>
              </w:rPr>
              <w:t>Not modifier-dependent</w:t>
            </w:r>
          </w:p>
        </w:tc>
      </w:tr>
    </w:tbl>
    <w:p w14:paraId="799F5FF0" w14:textId="77777777" w:rsidR="00B928AF" w:rsidRDefault="00B928AF">
      <w:pPr>
        <w:spacing w:after="120"/>
      </w:pPr>
    </w:p>
    <w:p w14:paraId="72308314" w14:textId="77777777" w:rsidR="00B928AF" w:rsidRDefault="00000000">
      <w:pPr>
        <w:spacing w:after="120"/>
      </w:pPr>
      <w:r>
        <w:rPr>
          <w:b/>
          <w:bCs/>
        </w:rPr>
        <w:t xml:space="preserve">Classification: </w:t>
      </w:r>
      <w:r>
        <w:t>INFRASTRUCTURE COMPOUNDER — Antifragile value creator</w:t>
      </w:r>
    </w:p>
    <w:p w14:paraId="4A219113" w14:textId="77777777" w:rsidR="00B928AF" w:rsidRDefault="00000000">
      <w:pPr>
        <w:spacing w:after="120"/>
      </w:pPr>
      <w:r>
        <w:rPr>
          <w:b/>
          <w:bCs/>
        </w:rPr>
        <w:t xml:space="preserve">EVA Status: </w:t>
      </w:r>
      <w:r>
        <w:t>Positive and expanding (~$600M+ annually)</w:t>
      </w:r>
    </w:p>
    <w:p w14:paraId="04C754A8" w14:textId="77777777" w:rsidR="00B928AF" w:rsidRDefault="00000000">
      <w:pPr>
        <w:spacing w:after="120"/>
      </w:pPr>
      <w:r>
        <w:rPr>
          <w:b/>
          <w:bCs/>
        </w:rPr>
        <w:t xml:space="preserve">Value Creation Identity: </w:t>
      </w:r>
      <w:r>
        <w:t>~25–27% intrinsic value compounding rate</w:t>
      </w:r>
    </w:p>
    <w:p w14:paraId="6E0760D5" w14:textId="77777777" w:rsidR="00B928AF" w:rsidRDefault="00000000">
      <w:pPr>
        <w:spacing w:after="120"/>
      </w:pPr>
      <w:r>
        <w:rPr>
          <w:b/>
          <w:bCs/>
        </w:rPr>
        <w:t xml:space="preserve">Scenarios: </w:t>
      </w:r>
      <w:r>
        <w:t>Bull: 30% | Base: 50% | Bear: 20%</w:t>
      </w:r>
    </w:p>
    <w:p w14:paraId="2C1AC73D" w14:textId="77777777" w:rsidR="00B928AF" w:rsidRDefault="00000000">
      <w:pPr>
        <w:spacing w:after="120"/>
      </w:pPr>
      <w:r>
        <w:rPr>
          <w:b/>
          <w:bCs/>
        </w:rPr>
        <w:t xml:space="preserve">Valuation: </w:t>
      </w:r>
      <w:r>
        <w:t>~26x forward P/E / ~18x EV/EBITDA — BORDERLINE (full but not egregious for a 22% ROIC compounder)</w:t>
      </w:r>
    </w:p>
    <w:p w14:paraId="1A5A2C61" w14:textId="77777777" w:rsidR="00B928AF" w:rsidRDefault="00000000">
      <w:pPr>
        <w:pStyle w:val="Heading2"/>
        <w:spacing w:before="300" w:after="150"/>
      </w:pPr>
      <w:r>
        <w:t>Investment Rating &amp; Sizing</w:t>
      </w:r>
    </w:p>
    <w:p w14:paraId="10654814" w14:textId="77777777" w:rsidR="00B928AF" w:rsidRDefault="00000000">
      <w:pPr>
        <w:spacing w:after="120"/>
      </w:pPr>
      <w:r>
        <w:rPr>
          <w:b/>
          <w:bCs/>
        </w:rPr>
        <w:t xml:space="preserve">Rating: </w:t>
      </w:r>
      <w:r>
        <w:t>BUY on pullbacks to 20–22x P/E (~$560–$620) / HOLD at current levels</w:t>
      </w:r>
    </w:p>
    <w:p w14:paraId="188ADBA5" w14:textId="77777777" w:rsidR="00B928AF" w:rsidRDefault="00000000">
      <w:pPr>
        <w:spacing w:after="120"/>
      </w:pPr>
      <w:r>
        <w:rPr>
          <w:b/>
          <w:bCs/>
        </w:rPr>
        <w:t xml:space="preserve">Position Size: </w:t>
      </w:r>
      <w:r>
        <w:t>3–4% of portfolio (full 4–5% sizing at 20x P/E entry)</w:t>
      </w:r>
    </w:p>
    <w:p w14:paraId="2218FB25" w14:textId="77777777" w:rsidR="00B928AF" w:rsidRDefault="00B928AF">
      <w:pPr>
        <w:spacing w:after="120"/>
      </w:pPr>
    </w:p>
    <w:p w14:paraId="336788BE" w14:textId="77777777" w:rsidR="00B928AF" w:rsidRDefault="00000000">
      <w:pPr>
        <w:pStyle w:val="Heading3"/>
        <w:spacing w:before="300" w:after="150"/>
      </w:pPr>
      <w:r>
        <w:t>The Thesis in Two Sentences:</w:t>
      </w:r>
    </w:p>
    <w:p w14:paraId="25F5B3BF" w14:textId="77777777" w:rsidR="00B928AF" w:rsidRDefault="00000000">
      <w:pPr>
        <w:spacing w:after="120"/>
      </w:pPr>
      <w:r>
        <w:rPr>
          <w:color w:val="000000"/>
        </w:rPr>
        <w:t xml:space="preserve">EMCOR is a genuine infrastructure compounder — a company earning 22%+ ROIC with a 10.6% spread over cost of capital, reinvesting at 41% incremental returns, protected by a fortress-class labor moat of 44,000 skilled tradespeople that competitors cannot replicate. Riding six independent secular demand tailwinds (AI data centers, electrification, healthcare, reshoring, energy transition, code complexity), EMCOR’s intrinsic value is compounding at </w:t>
      </w:r>
      <w:r>
        <w:rPr>
          <w:color w:val="000000"/>
        </w:rPr>
        <w:lastRenderedPageBreak/>
        <w:t xml:space="preserve">~25% annually; at 26x P/E, the stock is </w:t>
      </w:r>
      <w:proofErr w:type="gramStart"/>
      <w:r>
        <w:rPr>
          <w:color w:val="000000"/>
        </w:rPr>
        <w:t>fairly valued</w:t>
      </w:r>
      <w:proofErr w:type="gramEnd"/>
      <w:r>
        <w:rPr>
          <w:color w:val="000000"/>
        </w:rPr>
        <w:t xml:space="preserve"> but not cheap — wait for pullbacks to build a full-sized position.</w:t>
      </w:r>
    </w:p>
    <w:p w14:paraId="5DFD6E3E" w14:textId="77777777" w:rsidR="00B928AF" w:rsidRDefault="00B928AF">
      <w:pPr>
        <w:spacing w:after="120"/>
      </w:pPr>
    </w:p>
    <w:p w14:paraId="5E7B21C7" w14:textId="77777777" w:rsidR="00B928AF" w:rsidRDefault="00000000">
      <w:pPr>
        <w:pStyle w:val="Heading3"/>
        <w:spacing w:before="300" w:after="150"/>
      </w:pPr>
      <w:r>
        <w:t>The Biggest Risk the market may be underpricing:</w:t>
      </w:r>
    </w:p>
    <w:p w14:paraId="34CBC6A8" w14:textId="77777777" w:rsidR="00B928AF" w:rsidRDefault="00000000">
      <w:pPr>
        <w:spacing w:after="120"/>
      </w:pPr>
      <w:r>
        <w:rPr>
          <w:color w:val="000000"/>
        </w:rPr>
        <w:t xml:space="preserve">Data center concentration risk. At 33% of revenue and 85% of RPO, EMCOR’s highest-margin work is heavily concentrated in </w:t>
      </w:r>
      <w:proofErr w:type="spellStart"/>
      <w:r>
        <w:rPr>
          <w:color w:val="000000"/>
        </w:rPr>
        <w:t>hyperscaler</w:t>
      </w:r>
      <w:proofErr w:type="spellEnd"/>
      <w:r>
        <w:rPr>
          <w:color w:val="000000"/>
        </w:rPr>
        <w:t xml:space="preserve"> data center construction. If </w:t>
      </w:r>
      <w:proofErr w:type="spellStart"/>
      <w:r>
        <w:rPr>
          <w:color w:val="000000"/>
        </w:rPr>
        <w:t>hyperscaler</w:t>
      </w:r>
      <w:proofErr w:type="spellEnd"/>
      <w:r>
        <w:rPr>
          <w:color w:val="000000"/>
        </w:rPr>
        <w:t xml:space="preserve"> capex materially slows (budget cuts, technology shifts, regulatory delays on power permitting), EMCOR’s operating margin would compress from ~9.7% back toward 7–8%, and the stock’s premium multiple would de-rate. Management’s Q4 2025 commentary that “roughly half of Electrical Construction growth came from non-data-center verticals” is an important diversification signal, but the RPO composition tells the real story.</w:t>
      </w:r>
    </w:p>
    <w:p w14:paraId="0890DC13" w14:textId="77777777" w:rsidR="00B928AF" w:rsidRDefault="00B928AF">
      <w:pPr>
        <w:spacing w:after="120"/>
      </w:pPr>
    </w:p>
    <w:p w14:paraId="38576B7E" w14:textId="77777777" w:rsidR="00B928AF" w:rsidRDefault="00000000">
      <w:pPr>
        <w:pStyle w:val="Heading3"/>
        <w:spacing w:before="300" w:after="150"/>
      </w:pPr>
      <w:r>
        <w:t>The Kill Switch — Sell immediately if:</w:t>
      </w:r>
    </w:p>
    <w:p w14:paraId="0CC38928" w14:textId="77777777" w:rsidR="00B928AF" w:rsidRDefault="00000000">
      <w:pPr>
        <w:spacing w:after="120"/>
      </w:pPr>
      <w:r>
        <w:rPr>
          <w:color w:val="000000"/>
        </w:rPr>
        <w:t>ROIC falls below 15% for two consecutive quarters (signals margin erosion or capital allocation deterioration). OR: Operating margin falls below 7.5% (signals pricing discipline breakdown or adverse project mix shift). OR: RPO declines more than 15% year-over-year (signals demand cliff, not just lumpy bookings). OR: Management makes a large, transformative acquisition at &gt;15x EBITDA (signals abandonment of the disciplined bolt-on playbook that built the compounding engine).</w:t>
      </w:r>
    </w:p>
    <w:p w14:paraId="447188D7" w14:textId="77777777" w:rsidR="00B928AF" w:rsidRDefault="00B928AF">
      <w:pPr>
        <w:spacing w:after="120"/>
      </w:pPr>
    </w:p>
    <w:p w14:paraId="529B7A9E" w14:textId="77777777" w:rsidR="00B928AF" w:rsidRDefault="00000000">
      <w:pPr>
        <w:pStyle w:val="Heading3"/>
        <w:spacing w:before="300" w:after="150"/>
      </w:pPr>
      <w:r>
        <w:t>Review Trigger:</w:t>
      </w:r>
    </w:p>
    <w:p w14:paraId="31BBE96C" w14:textId="77777777" w:rsidR="00B928AF" w:rsidRDefault="00000000">
      <w:pPr>
        <w:spacing w:after="120"/>
      </w:pPr>
      <w:r>
        <w:rPr>
          <w:color w:val="000000"/>
        </w:rPr>
        <w:t xml:space="preserve">Re-run full assessment if: Data center revenue exceeds 40% of total (increasing concentration risk would lower D3 score). OR: Operating margin sustains above 10% for two consecutive quarters (would strengthen D1 score and Bull case). OR: A major competitor (Quanta, MasTec) acquires significant electrical construction capacity, narrowing EMCOR’s labor moat. OR: </w:t>
      </w:r>
      <w:proofErr w:type="spellStart"/>
      <w:r>
        <w:rPr>
          <w:color w:val="000000"/>
        </w:rPr>
        <w:t>Hyperscaler</w:t>
      </w:r>
      <w:proofErr w:type="spellEnd"/>
      <w:r>
        <w:rPr>
          <w:color w:val="000000"/>
        </w:rPr>
        <w:t xml:space="preserve"> capex guidance materially changes (up or down). OR: Stock pulls back to 20x P/E or below (would change Valuation Gate from BORDERLINE to PASS and trigger full sizing).</w:t>
      </w:r>
    </w:p>
    <w:p w14:paraId="10F6AEE7" w14:textId="77777777" w:rsidR="00B928AF" w:rsidRDefault="00B928AF">
      <w:pPr>
        <w:spacing w:after="120"/>
      </w:pPr>
    </w:p>
    <w:p w14:paraId="62A07F26" w14:textId="77777777" w:rsidR="00B928AF" w:rsidRDefault="00000000">
      <w:pPr>
        <w:spacing w:after="120"/>
      </w:pPr>
      <w:proofErr w:type="gramStart"/>
      <w:r>
        <w:rPr>
          <w:i/>
          <w:iCs/>
          <w:color w:val="888888"/>
        </w:rPr>
        <w:t>— End</w:t>
      </w:r>
      <w:proofErr w:type="gramEnd"/>
      <w:r>
        <w:rPr>
          <w:i/>
          <w:iCs/>
          <w:color w:val="888888"/>
        </w:rPr>
        <w:t xml:space="preserve"> of </w:t>
      </w:r>
      <w:proofErr w:type="gramStart"/>
      <w:r>
        <w:rPr>
          <w:i/>
          <w:iCs/>
          <w:color w:val="888888"/>
        </w:rPr>
        <w:t>Analysis —</w:t>
      </w:r>
      <w:proofErr w:type="gramEnd"/>
    </w:p>
    <w:sectPr w:rsidR="00B928A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41155" w14:textId="77777777" w:rsidR="00342AC5" w:rsidRDefault="00342AC5">
      <w:r>
        <w:separator/>
      </w:r>
    </w:p>
  </w:endnote>
  <w:endnote w:type="continuationSeparator" w:id="0">
    <w:p w14:paraId="47E7AC67" w14:textId="77777777" w:rsidR="00342AC5" w:rsidRDefault="00342A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F7061" w14:textId="77777777" w:rsidR="00B928AF"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D2D6A">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245B9" w14:textId="77777777" w:rsidR="00342AC5" w:rsidRDefault="00342AC5">
      <w:r>
        <w:separator/>
      </w:r>
    </w:p>
  </w:footnote>
  <w:footnote w:type="continuationSeparator" w:id="0">
    <w:p w14:paraId="02089885" w14:textId="77777777" w:rsidR="00342AC5" w:rsidRDefault="00342A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77396" w14:textId="77777777" w:rsidR="00B928AF" w:rsidRDefault="00000000">
    <w:pPr>
      <w:pBdr>
        <w:bottom w:val="single" w:sz="6" w:space="1" w:color="2E75B6"/>
      </w:pBdr>
      <w:tabs>
        <w:tab w:val="right" w:pos="9026"/>
      </w:tabs>
    </w:pPr>
    <w:r>
      <w:rPr>
        <w:i/>
        <w:iCs/>
        <w:color w:val="2E75B6"/>
        <w:sz w:val="18"/>
        <w:szCs w:val="18"/>
      </w:rPr>
      <w:t>Infrastructure Services Compounder Framework v1.0</w:t>
    </w:r>
    <w:r>
      <w:rPr>
        <w:i/>
        <w:iCs/>
        <w:color w:val="2E75B6"/>
        <w:sz w:val="18"/>
        <w:szCs w:val="18"/>
      </w:rPr>
      <w:tab/>
      <w:t>EMCOR Group (EME)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3D2EED"/>
    <w:multiLevelType w:val="hybridMultilevel"/>
    <w:tmpl w:val="0E925DDA"/>
    <w:lvl w:ilvl="0" w:tplc="C676217C">
      <w:start w:val="1"/>
      <w:numFmt w:val="bullet"/>
      <w:lvlText w:val="●"/>
      <w:lvlJc w:val="left"/>
      <w:pPr>
        <w:ind w:left="720" w:hanging="360"/>
      </w:pPr>
    </w:lvl>
    <w:lvl w:ilvl="1" w:tplc="E5904DBE">
      <w:start w:val="1"/>
      <w:numFmt w:val="bullet"/>
      <w:lvlText w:val="○"/>
      <w:lvlJc w:val="left"/>
      <w:pPr>
        <w:ind w:left="1440" w:hanging="360"/>
      </w:pPr>
    </w:lvl>
    <w:lvl w:ilvl="2" w:tplc="EC46EF62">
      <w:start w:val="1"/>
      <w:numFmt w:val="bullet"/>
      <w:lvlText w:val="■"/>
      <w:lvlJc w:val="left"/>
      <w:pPr>
        <w:ind w:left="2160" w:hanging="360"/>
      </w:pPr>
    </w:lvl>
    <w:lvl w:ilvl="3" w:tplc="48E4DBE4">
      <w:start w:val="1"/>
      <w:numFmt w:val="bullet"/>
      <w:lvlText w:val="●"/>
      <w:lvlJc w:val="left"/>
      <w:pPr>
        <w:ind w:left="2880" w:hanging="360"/>
      </w:pPr>
    </w:lvl>
    <w:lvl w:ilvl="4" w:tplc="51EA05C2">
      <w:start w:val="1"/>
      <w:numFmt w:val="bullet"/>
      <w:lvlText w:val="○"/>
      <w:lvlJc w:val="left"/>
      <w:pPr>
        <w:ind w:left="3600" w:hanging="360"/>
      </w:pPr>
    </w:lvl>
    <w:lvl w:ilvl="5" w:tplc="63DEC36A">
      <w:start w:val="1"/>
      <w:numFmt w:val="bullet"/>
      <w:lvlText w:val="■"/>
      <w:lvlJc w:val="left"/>
      <w:pPr>
        <w:ind w:left="4320" w:hanging="360"/>
      </w:pPr>
    </w:lvl>
    <w:lvl w:ilvl="6" w:tplc="5BE00B46">
      <w:start w:val="1"/>
      <w:numFmt w:val="bullet"/>
      <w:lvlText w:val="●"/>
      <w:lvlJc w:val="left"/>
      <w:pPr>
        <w:ind w:left="5040" w:hanging="360"/>
      </w:pPr>
    </w:lvl>
    <w:lvl w:ilvl="7" w:tplc="B8D2EBA6">
      <w:start w:val="1"/>
      <w:numFmt w:val="bullet"/>
      <w:lvlText w:val="●"/>
      <w:lvlJc w:val="left"/>
      <w:pPr>
        <w:ind w:left="5760" w:hanging="360"/>
      </w:pPr>
    </w:lvl>
    <w:lvl w:ilvl="8" w:tplc="CE4CB1E8">
      <w:start w:val="1"/>
      <w:numFmt w:val="bullet"/>
      <w:lvlText w:val="●"/>
      <w:lvlJc w:val="left"/>
      <w:pPr>
        <w:ind w:left="6480" w:hanging="360"/>
      </w:pPr>
    </w:lvl>
  </w:abstractNum>
  <w:abstractNum w:abstractNumId="1" w15:restartNumberingAfterBreak="0">
    <w:nsid w:val="698F5E5C"/>
    <w:multiLevelType w:val="hybridMultilevel"/>
    <w:tmpl w:val="6746668C"/>
    <w:lvl w:ilvl="0" w:tplc="91BEBDFE">
      <w:start w:val="1"/>
      <w:numFmt w:val="bullet"/>
      <w:lvlText w:val="•"/>
      <w:lvlJc w:val="left"/>
      <w:pPr>
        <w:ind w:left="720" w:hanging="360"/>
      </w:pPr>
    </w:lvl>
    <w:lvl w:ilvl="1" w:tplc="46D24A9A">
      <w:numFmt w:val="decimal"/>
      <w:lvlText w:val=""/>
      <w:lvlJc w:val="left"/>
    </w:lvl>
    <w:lvl w:ilvl="2" w:tplc="5C96439C">
      <w:numFmt w:val="decimal"/>
      <w:lvlText w:val=""/>
      <w:lvlJc w:val="left"/>
    </w:lvl>
    <w:lvl w:ilvl="3" w:tplc="3A96D6DC">
      <w:numFmt w:val="decimal"/>
      <w:lvlText w:val=""/>
      <w:lvlJc w:val="left"/>
    </w:lvl>
    <w:lvl w:ilvl="4" w:tplc="75CC985A">
      <w:numFmt w:val="decimal"/>
      <w:lvlText w:val=""/>
      <w:lvlJc w:val="left"/>
    </w:lvl>
    <w:lvl w:ilvl="5" w:tplc="4D005AEA">
      <w:numFmt w:val="decimal"/>
      <w:lvlText w:val=""/>
      <w:lvlJc w:val="left"/>
    </w:lvl>
    <w:lvl w:ilvl="6" w:tplc="4524E74C">
      <w:numFmt w:val="decimal"/>
      <w:lvlText w:val=""/>
      <w:lvlJc w:val="left"/>
    </w:lvl>
    <w:lvl w:ilvl="7" w:tplc="0C9C3B96">
      <w:numFmt w:val="decimal"/>
      <w:lvlText w:val=""/>
      <w:lvlJc w:val="left"/>
    </w:lvl>
    <w:lvl w:ilvl="8" w:tplc="658C42D6">
      <w:numFmt w:val="decimal"/>
      <w:lvlText w:val=""/>
      <w:lvlJc w:val="left"/>
    </w:lvl>
  </w:abstractNum>
  <w:num w:numId="1" w16cid:durableId="6268186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28AF"/>
    <w:rsid w:val="00342AC5"/>
    <w:rsid w:val="008B3920"/>
    <w:rsid w:val="00B371EC"/>
    <w:rsid w:val="00B928AF"/>
    <w:rsid w:val="00FD2D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928AB"/>
  <w15:docId w15:val="{57B78226-4588-4C69-81D7-5FBDC1B2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TotalTime>
  <Pages>19</Pages>
  <Words>4477</Words>
  <Characters>27447</Characters>
  <Application>Microsoft Office Word</Application>
  <DocSecurity>0</DocSecurity>
  <Lines>699</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ampsson ampsson</cp:lastModifiedBy>
  <cp:revision>3</cp:revision>
  <dcterms:created xsi:type="dcterms:W3CDTF">2026-03-20T06:04:00Z</dcterms:created>
  <dcterms:modified xsi:type="dcterms:W3CDTF">2026-03-30T03:44:00Z</dcterms:modified>
</cp:coreProperties>
</file>