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28"/>
          <w:szCs w:val="28"/>
        </w:rPr>
        <w:t xml:space="preserve">MEDICAL DEVICE PLATFORM FRAMEWORK v1.0</w:t>
      </w:r>
    </w:p>
    <w:p>
      <w:pPr>
        <w:spacing w:after="400"/>
        <w:jc w:val="center"/>
      </w:pPr>
      <w:r>
        <w:rPr>
          <w:rFonts w:ascii="Arial" w:cs="Arial" w:eastAsia="Arial" w:hAnsi="Arial"/>
          <w:color w:val="1B3A5C"/>
          <w:sz w:val="24"/>
          <w:szCs w:val="24"/>
        </w:rPr>
        <w:t xml:space="preserve">Investment Analysis</w:t>
      </w:r>
    </w:p>
    <w:p>
      <w:pPr>
        <w:spacing w:after="60"/>
        <w:jc w:val="center"/>
      </w:pPr>
      <w:r>
        <w:rPr>
          <w:rFonts w:ascii="Arial" w:cs="Arial" w:eastAsia="Arial" w:hAnsi="Arial"/>
          <w:b/>
          <w:bCs/>
          <w:color w:val="1B3A5C"/>
          <w:sz w:val="48"/>
          <w:szCs w:val="48"/>
        </w:rPr>
        <w:t xml:space="preserve">INTUITIVE SURGICAL, INC.</w:t>
      </w:r>
    </w:p>
    <w:p>
      <w:pPr>
        <w:spacing w:after="200"/>
        <w:jc w:val="center"/>
      </w:pPr>
      <w:r>
        <w:rPr>
          <w:rFonts w:ascii="Arial" w:cs="Arial" w:eastAsia="Arial" w:hAnsi="Arial"/>
          <w:color w:val="2E75B6"/>
          <w:sz w:val="28"/>
          <w:szCs w:val="28"/>
        </w:rPr>
        <w:t xml:space="preserve">NASDAQ: ISRG</w:t>
      </w:r>
    </w:p>
    <w:p>
      <w:pPr>
        <w:spacing w:after="600"/>
        <w:jc w:val="center"/>
      </w:pPr>
      <w:r>
        <w:rPr>
          <w:rFonts w:ascii="Arial" w:cs="Arial" w:eastAsia="Arial" w:hAnsi="Arial"/>
          <w:color w:val="666666"/>
          <w:sz w:val="22"/>
          <w:szCs w:val="22"/>
        </w:rPr>
        <w:t xml:space="preserve">March 2026</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548235" w:sz="3"/>
              <w:left w:val="single" w:color="548235" w:sz="3"/>
              <w:bottom w:val="single" w:color="548235" w:sz="3"/>
              <w:right w:val="single" w:color="548235" w:sz="3"/>
            </w:tcBorders>
            <w:shd w:fill="E8F5E9" w:val="clear"/>
            <w:tcMar>
              <w:top w:type="dxa" w:w="200"/>
              <w:left w:type="dxa" w:w="300"/>
              <w:bottom w:type="dxa" w:w="200"/>
              <w:right w:type="dxa" w:w="300"/>
            </w:tcMar>
          </w:tcPr>
          <w:p>
            <w:pPr>
              <w:spacing w:after="60"/>
              <w:jc w:val="center"/>
            </w:pPr>
            <w:r>
              <w:rPr>
                <w:rFonts w:ascii="Arial" w:cs="Arial" w:eastAsia="Arial" w:hAnsi="Arial"/>
                <w:color w:val="548235"/>
                <w:sz w:val="20"/>
                <w:szCs w:val="20"/>
              </w:rPr>
              <w:t xml:space="preserve">FINAL CLASSIFICATION</w:t>
            </w:r>
          </w:p>
          <w:p>
            <w:pPr>
              <w:spacing w:after="60"/>
              <w:jc w:val="center"/>
            </w:pPr>
            <w:r>
              <w:rPr>
                <w:rFonts w:ascii="Arial" w:cs="Arial" w:eastAsia="Arial" w:hAnsi="Arial"/>
                <w:b/>
                <w:bCs/>
                <w:color w:val="548235"/>
                <w:sz w:val="36"/>
                <w:szCs w:val="36"/>
              </w:rPr>
              <w:t xml:space="preserve">DEVICE COMPOUNDER</w:t>
            </w:r>
          </w:p>
          <w:p>
            <w:pPr>
              <w:jc w:val="center"/>
            </w:pPr>
            <w:r>
              <w:rPr>
                <w:rFonts w:ascii="Arial" w:cs="Arial" w:eastAsia="Arial" w:hAnsi="Arial"/>
                <w:color w:val="1B3A5C"/>
                <w:sz w:val="20"/>
                <w:szCs w:val="20"/>
              </w:rPr>
              <w:t xml:space="preserve">Adjusted Composite: 9.83 / 10.0  |  IBPMI: 16 / 16 (Device Fortress)</w:t>
            </w:r>
          </w:p>
        </w:tc>
      </w:tr>
    </w:tbl>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Cap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(FY2025)</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Installed Base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Procedures (2025)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$174B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$10.06B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11,106 da Vinci + ~1,000 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~3.15M da Vinci + ~144K Ion</w:t>
            </w:r>
          </w:p>
        </w:tc>
      </w:tr>
    </w:tbl>
    <w:p>
      <w:r>
        <w:br w:type="page"/>
      </w: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b w:val="false"/>
          <w:bCs w:val="false"/>
          <w:i w:val="false"/>
          <w:iCs w:val="false"/>
          <w:color w:val="000000"/>
          <w:sz w:val="22"/>
          <w:szCs w:val="22"/>
        </w:rPr>
        <w:t xml:space="preserve">Intuitive Surgical is the definitive example of a medical device platform compounder. With over 12,000 installed robotic systems across 74 countries, approximately 85% recurring revenue, and procedure volumes growing 18% annually, ISRG has built what may be the most formidable installed-base moat in all of medical devices. The company scores a perfect 16/16 on the Installed Base &amp; Platform Moat Index and achieves an adjusted composite of 9.83/10.0, earning the highest possible classification: Device Compounder.</w:t>
      </w:r>
    </w:p>
    <w:p>
      <w:pPr>
        <w:spacing w:after="120"/>
      </w:pPr>
      <w:r>
        <w:rPr>
          <w:rFonts w:ascii="Arial" w:cs="Arial" w:eastAsia="Arial" w:hAnsi="Arial"/>
          <w:b w:val="false"/>
          <w:bCs w:val="false"/>
          <w:i w:val="false"/>
          <w:iCs w:val="false"/>
          <w:color w:val="000000"/>
          <w:sz w:val="22"/>
          <w:szCs w:val="22"/>
        </w:rPr>
        <w:t xml:space="preserve">The investment thesis rests on three pillars: (1) the compounding power of an 11,106-system installed base that generates ~$8.5 billion in annual recurring revenue from instruments, accessories, and service contracts; (2) a secular adoption tailwind with robotic surgery still penetrating less than 10% of addressable soft-tissue procedures globally; and (3) a next-generation platform cycle (da Vinci 5) that deepens switching costs through force feedback, AI-powered surgical insights, and 10,000x the computing power of the prior generation.</w:t>
      </w:r>
    </w:p>
    <w:p>
      <w:pPr>
        <w:spacing w:after="120"/>
      </w:pPr>
      <w:r>
        <w:rPr>
          <w:rFonts w:ascii="Arial" w:cs="Arial" w:eastAsia="Arial" w:hAnsi="Arial"/>
          <w:b w:val="false"/>
          <w:bCs w:val="false"/>
          <w:i w:val="false"/>
          <w:iCs w:val="false"/>
          <w:color w:val="000000"/>
          <w:sz w:val="22"/>
          <w:szCs w:val="22"/>
        </w:rPr>
        <w:t xml:space="preserve">Key risks include elevated valuation (forward P/E ~50x, EV/NTM Revenue ~14-15x), emerging competition from Medtronic Hugo (FDA cleared December 2025) and J&amp;J Ottava (de novo submitted to FDA), and potential tariff headwinds (~1.2% of revenue impact in 2026). However, the depth of ISRG’s competitive moat, the early-innings nature of robotic surgery adoption, and the self-reinforcing platform flywheel justify a premium valuation under the framework’s exception criteria.</w:t>
      </w:r>
    </w:p>
    <w:p>
      <w:r>
        <w:br w:type="page"/>
      </w:r>
    </w:p>
    <w:p>
      <w:pPr>
        <w:pStyle w:val="Heading1"/>
        <w:spacing w:after="150" w:before="300"/>
      </w:pPr>
      <w:r>
        <w:rPr>
          <w:rFonts w:ascii="Arial" w:cs="Arial" w:eastAsia="Arial" w:hAnsi="Arial"/>
        </w:rPr>
        <w:t xml:space="preserve">STAGE 0: COMPANY ROUTING &amp; MATURITY CLASSIFICATION</w:t>
      </w:r>
    </w:p>
    <w:p>
      <w:pPr>
        <w:spacing w:after="120"/>
      </w:pPr>
      <w:r>
        <w:rPr>
          <w:rFonts w:ascii="Arial" w:cs="Arial" w:eastAsia="Arial" w:hAnsi="Arial"/>
          <w:b/>
          <w:bCs/>
          <w:sz w:val="22"/>
          <w:szCs w:val="22"/>
        </w:rPr>
        <w:t xml:space="preserve">Revenue: </w:t>
      </w:r>
      <w:r>
        <w:rPr>
          <w:rFonts w:ascii="Arial" w:cs="Arial" w:eastAsia="Arial" w:hAnsi="Arial"/>
          <w:sz w:val="22"/>
          <w:szCs w:val="22"/>
        </w:rPr>
        <w:t xml:space="preserve">$10.06 billion (FY2025)</w:t>
      </w:r>
    </w:p>
    <w:p>
      <w:pPr>
        <w:spacing w:after="120"/>
      </w:pPr>
      <w:r>
        <w:rPr>
          <w:rFonts w:ascii="Arial" w:cs="Arial" w:eastAsia="Arial" w:hAnsi="Arial"/>
          <w:b/>
          <w:bCs/>
          <w:sz w:val="22"/>
          <w:szCs w:val="22"/>
        </w:rPr>
        <w:t xml:space="preserve">Classification: </w:t>
      </w:r>
      <w:r>
        <w:rPr>
          <w:rFonts w:ascii="Arial" w:cs="Arial" w:eastAsia="Arial" w:hAnsi="Arial"/>
          <w:sz w:val="22"/>
          <w:szCs w:val="22"/>
        </w:rPr>
        <w:t xml:space="preserve">Mega-Platform (recently crossed $10B threshold)</w:t>
      </w:r>
    </w:p>
    <w:p>
      <w:pPr>
        <w:spacing w:after="120"/>
      </w:pPr>
      <w:r>
        <w:rPr>
          <w:rFonts w:ascii="Arial" w:cs="Arial" w:eastAsia="Arial" w:hAnsi="Arial"/>
          <w:b/>
          <w:bCs/>
          <w:sz w:val="22"/>
          <w:szCs w:val="22"/>
        </w:rPr>
        <w:t xml:space="preserve">Key Question: </w:t>
      </w:r>
      <w:r>
        <w:rPr>
          <w:rFonts w:ascii="Arial" w:cs="Arial" w:eastAsia="Arial" w:hAnsi="Arial"/>
          <w:sz w:val="22"/>
          <w:szCs w:val="22"/>
        </w:rPr>
        <w:t xml:space="preserve">Can they innovate fast enough to avoid disruption?</w:t>
      </w:r>
    </w:p>
    <w:p>
      <w:pPr>
        <w:spacing w:after="120"/>
      </w:pPr>
      <w:r>
        <w:rPr>
          <w:rFonts w:ascii="Arial" w:cs="Arial" w:eastAsia="Arial" w:hAnsi="Arial"/>
          <w:b w:val="false"/>
          <w:bCs w:val="false"/>
          <w:i w:val="false"/>
          <w:iCs w:val="false"/>
          <w:color w:val="000000"/>
          <w:sz w:val="22"/>
          <w:szCs w:val="22"/>
        </w:rPr>
        <w:t xml:space="preserve">Intuitive Surgical crossed the $10 billion revenue threshold in FY2025, placing it in the Mega-Platform category by revenue. However, unlike traditional mega-platform device companies (Medtronic, Stryker, Abbott) that are diversified across multiple device categories via M&amp;A, ISRG remains concentrated in surgical robotics with expansion into lung biopsy (Ion). This concentration is a feature, not a bug: it reflects the depth and quality of the surgical robotics TAM. The Mega-Platform weights are applied, with particular attention to the competitive disruption question.</w:t>
      </w:r>
    </w:p>
    <w:p>
      <w:pPr>
        <w:spacing w:after="120"/>
      </w:pPr>
      <w:r>
        <w:rPr>
          <w:rFonts w:ascii="Arial" w:cs="Arial" w:eastAsia="Arial" w:hAnsi="Arial"/>
          <w:b/>
          <w:bCs/>
          <w:sz w:val="22"/>
          <w:szCs w:val="22"/>
        </w:rPr>
        <w:t xml:space="preserve">Biopharma Enabler Sub-Routing: </w:t>
      </w:r>
      <w:r>
        <w:rPr>
          <w:rFonts w:ascii="Arial" w:cs="Arial" w:eastAsia="Arial" w:hAnsi="Arial"/>
          <w:sz w:val="22"/>
          <w:szCs w:val="22"/>
        </w:rPr>
        <w:t xml:space="preserve">Not applicable. ISRG’s revenue is not dependent on third-party drug development outcomes.</w:t>
      </w:r>
    </w:p>
    <w:p>
      <w:r>
        <w:br w:type="page"/>
      </w:r>
    </w:p>
    <w:p>
      <w:pPr>
        <w:pStyle w:val="Heading1"/>
        <w:spacing w:after="150" w:before="300"/>
      </w:pPr>
      <w:r>
        <w:rPr>
          <w:rFonts w:ascii="Arial" w:cs="Arial" w:eastAsia="Arial" w:hAnsi="Arial"/>
        </w:rPr>
        <w:t xml:space="preserve">STAGE 1: INSTALLED BASE &amp; PLATFORM MOAT INDEX (IBPMI)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60"/>
        <w:gridCol w:w="45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Moat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Evidence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Installed Base Scale &amp; Density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11,106 da Vinci + ~1,000 Ion systems across 74 countries. Recurring revenue ~85% of total. Dominant market share (&gt;60%) in robotic surgery.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Razor-Razorblade Economics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Instruments &amp; accessories ~60% of revenue; services ~16%. Combined recurring ~76%+. Rising consumable revenue per procedure. Service renewal rates &gt;90%.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Switching Costs &amp; Workflow Lock-In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cost $1.5-2.5M. Surgeon training $6K+, 100+ hours. Hospital workflows designed around da Vinci. Estimated switching cost &gt;&gt;$500K/site.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Regulatory Moat Depth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FDA clearances across products. CE Mark for da Vinci 5. Clearances in 74 countries. New cardiac procedure clearance. Competitors face 3-5+ year regulatory lag.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 Clinical Evidence &amp; KOL Network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44,000+ peer-reviewed publications. 55,000+ surgeons trained. 8,000+ hospital credentialing programs. Featured in clinical guidelines.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 Procedure Volume Growth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 Vinci procedures +18% in 2025. Ion +51%. Single-port +87%. Expanding into cardiac, lung biopsy, new specialties. Utilization rising.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 Innovation Pipeline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 Vinci 5 ramping (870 placements). Ion AI navigation. Force Feedback. Real-time surgical insights. R&amp;D ~12.5% of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8. Commercial Infrastructure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 /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direct sales + clinical specialists present in OR. Training centers worldwide. 74-country commercial footprint. Decades of surgeon relationships.</w:t>
            </w:r>
          </w:p>
        </w:tc>
      </w:tr>
    </w:tbl>
    <w:p>
      <w:pPr>
        <w:spacing w:after="120"/>
      </w:pPr>
      <w:r>
        <w:rPr>
          <w:rFonts w:ascii="Arial" w:cs="Arial" w:eastAsia="Arial" w:hAnsi="Arial"/>
          <w:b w:val="false"/>
          <w:bCs w:val="false"/>
          <w:i w:val="false"/>
          <w:iCs w:val="false"/>
          <w:color w:val="000000"/>
          <w:sz w:val="22"/>
          <w:szCs w:val="22"/>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IBPMI TOTAL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2"/>
                <w:szCs w:val="22"/>
              </w:rPr>
              <w:t xml:space="preserve">16 / 16 — DEVICE FORTRESS</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Moat-by-Moat Detail</w:t>
      </w:r>
    </w:p>
    <w:p>
      <w:pPr>
        <w:pStyle w:val="Heading3"/>
        <w:spacing w:after="150" w:before="300"/>
      </w:pPr>
      <w:r>
        <w:rPr>
          <w:rFonts w:ascii="Arial" w:cs="Arial" w:eastAsia="Arial" w:hAnsi="Arial"/>
        </w:rPr>
        <w:t xml:space="preserve">Moat 1: Installed Base Scale &amp; Density — Score: 2/2</w:t>
      </w:r>
    </w:p>
    <w:p>
      <w:pPr>
        <w:spacing w:after="120"/>
      </w:pPr>
      <w:r>
        <w:rPr>
          <w:rFonts w:ascii="Arial" w:cs="Arial" w:eastAsia="Arial" w:hAnsi="Arial"/>
          <w:b w:val="false"/>
          <w:bCs w:val="false"/>
          <w:i w:val="false"/>
          <w:iCs w:val="false"/>
          <w:color w:val="000000"/>
          <w:sz w:val="22"/>
          <w:szCs w:val="22"/>
        </w:rPr>
        <w:t xml:space="preserve">Intuitive’s installed base of 11,106 da Vinci systems and approximately 1,000 Ion systems spans 74 countries and represents the largest surgical robotics fleet in the world. The installed base grew 12% year-over-year in 2025, with 1,721 new da Vinci systems placed (up from 1,526 in 2024). Crucially, ~85% of ISRG’s $10.06 billion in revenue is recurring, derived from instruments, accessories, and service contracts tied to this base. No competitor has more than a fraction of this scale. The density of ISRG’s base — spanning major academic medical centers, community hospitals, and ambulatory surgery centers across six continents — creates network effects in surgeon training, clinical evidence generation, and commercial support.</w:t>
      </w:r>
    </w:p>
    <w:p>
      <w:pPr>
        <w:pStyle w:val="Heading3"/>
        <w:spacing w:after="150" w:before="300"/>
      </w:pPr>
      <w:r>
        <w:rPr>
          <w:rFonts w:ascii="Arial" w:cs="Arial" w:eastAsia="Arial" w:hAnsi="Arial"/>
        </w:rPr>
        <w:t xml:space="preserve">Moat 2: Razor-Razorblade Economics — Score: 2/2</w:t>
      </w:r>
    </w:p>
    <w:p>
      <w:pPr>
        <w:spacing w:after="120"/>
      </w:pPr>
      <w:r>
        <w:rPr>
          <w:rFonts w:ascii="Arial" w:cs="Arial" w:eastAsia="Arial" w:hAnsi="Arial"/>
          <w:b w:val="false"/>
          <w:bCs w:val="false"/>
          <w:i w:val="false"/>
          <w:iCs w:val="false"/>
          <w:color w:val="000000"/>
          <w:sz w:val="22"/>
          <w:szCs w:val="22"/>
        </w:rPr>
        <w:t xml:space="preserve">ISRG is the archetype of razor-razorblade economics in medical devices. Instruments and accessories generated approximately $6 billion in FY2025 revenue (~60% of total), growing 19% year-over-year. Service contracts contributed approximately $1.5 billion (~15% of total). System sales — the “razor” — represent only ~25% of revenue. Each da Vinci procedure consumes single-use or limited-use instruments (scissors, graspers, staplers, energy devices, drapes) that must be replaced after a set number of uses. As procedure volumes grow 18% annually, consumable revenue compounds automatically. Service contract renewal rates exceed 90%, creating a highly visible, annuity-like revenue stream.</w:t>
      </w:r>
    </w:p>
    <w:p>
      <w:pPr>
        <w:pStyle w:val="Heading3"/>
        <w:spacing w:after="150" w:before="300"/>
      </w:pPr>
      <w:r>
        <w:rPr>
          <w:rFonts w:ascii="Arial" w:cs="Arial" w:eastAsia="Arial" w:hAnsi="Arial"/>
        </w:rPr>
        <w:t xml:space="preserve">Moat 3: Switching Costs &amp; Workflow Lock-In — Score: 2/2</w:t>
      </w:r>
    </w:p>
    <w:p>
      <w:pPr>
        <w:spacing w:after="120"/>
      </w:pPr>
      <w:r>
        <w:rPr>
          <w:rFonts w:ascii="Arial" w:cs="Arial" w:eastAsia="Arial" w:hAnsi="Arial"/>
          <w:b w:val="false"/>
          <w:bCs w:val="false"/>
          <w:i w:val="false"/>
          <w:iCs w:val="false"/>
          <w:color w:val="000000"/>
          <w:sz w:val="22"/>
          <w:szCs w:val="22"/>
        </w:rPr>
        <w:t xml:space="preserve">The switching costs for a hospital to move away from da Vinci are extraordinarily high. Each system costs $1.5-2.5 million to acquire. Surgeons invest $6,000+ and 100+ hours in simulation and proctored cases to achieve proficiency. Most robotic surgeons first train on da Vinci during residency, creating deep muscle memory. Hospital workflows — OR scheduling, setup protocols, instrument sterilization, data systems — are designed around da Vinci. Switching would require retraining entire surgical teams, reconfiguring operating rooms, migrating data, and accepting clinical outcome risk during the transition period. The estimated total switching cost per hospital site far exceeds $500,000, creating an exceptionally durable lock-in.</w:t>
      </w:r>
    </w:p>
    <w:p>
      <w:pPr>
        <w:pStyle w:val="Heading3"/>
        <w:spacing w:after="150" w:before="300"/>
      </w:pPr>
      <w:r>
        <w:rPr>
          <w:rFonts w:ascii="Arial" w:cs="Arial" w:eastAsia="Arial" w:hAnsi="Arial"/>
        </w:rPr>
        <w:t xml:space="preserve">Moat 4: Regulatory Moat Depth — Score: 2/2</w:t>
      </w:r>
    </w:p>
    <w:p>
      <w:pPr>
        <w:spacing w:after="120"/>
      </w:pPr>
      <w:r>
        <w:rPr>
          <w:rFonts w:ascii="Arial" w:cs="Arial" w:eastAsia="Arial" w:hAnsi="Arial"/>
          <w:b w:val="false"/>
          <w:bCs w:val="false"/>
          <w:i w:val="false"/>
          <w:iCs w:val="false"/>
          <w:color w:val="000000"/>
          <w:sz w:val="22"/>
          <w:szCs w:val="22"/>
        </w:rPr>
        <w:t xml:space="preserve">ISRG maintains an extensive regulatory portfolio across multiple product lines and geographies. The da Vinci platform holds multiple FDA clearances spanning general surgery, urology, gynecology, thoracic surgery, and most recently cardiac procedures (da Vinci 5 cleared for mitral valve repair and IMA mobilization in 2025). The da Vinci 5 received CE Mark for European markets. The Ion system holds separate FDA clearance for lung biopsy. ISRG’s products are cleared in 74 countries. Competitors face significant regulatory timelines: Medtronic’s Hugo only received FDA clearance in December 2025 (urologic procedures only), and J&amp;J’s Ottava has only just submitted its de novo request for general surgery.</w:t>
      </w:r>
    </w:p>
    <w:p>
      <w:pPr>
        <w:pStyle w:val="Heading3"/>
        <w:spacing w:after="150" w:before="300"/>
      </w:pPr>
      <w:r>
        <w:rPr>
          <w:rFonts w:ascii="Arial" w:cs="Arial" w:eastAsia="Arial" w:hAnsi="Arial"/>
        </w:rPr>
        <w:t xml:space="preserve">Moat 5: Clinical Evidence &amp; KOL Network — Score: 2/2</w:t>
      </w:r>
    </w:p>
    <w:p>
      <w:pPr>
        <w:spacing w:after="120"/>
      </w:pPr>
      <w:r>
        <w:rPr>
          <w:rFonts w:ascii="Arial" w:cs="Arial" w:eastAsia="Arial" w:hAnsi="Arial"/>
          <w:b w:val="false"/>
          <w:bCs w:val="false"/>
          <w:i w:val="false"/>
          <w:iCs w:val="false"/>
          <w:color w:val="000000"/>
          <w:sz w:val="22"/>
          <w:szCs w:val="22"/>
        </w:rPr>
        <w:t xml:space="preserve">With over 44,000 peer-reviewed publications referencing Intuitive’s technologies since 1997, the clinical evidence base is unmatched in surgical robotics. Over 14 million procedures have been performed across 40+ indications. Intuitive has trained more than 55,000 surgeons on da Vinci globally, with credentialing programs at 8,000+ hospitals. Recent peer-reviewed studies on da Vinci 5’s Force Feedback technology demonstrated up to 43% reduction in force on tissue, regardless of surgeon experience level. The company maintains deep relationships with key opinion leaders who serve as proctors, trainers, and advocates. This evidence base and KOL network represent a barrier that competitors cannot replicate without years of investment and clinical adoption.</w:t>
      </w:r>
    </w:p>
    <w:p>
      <w:pPr>
        <w:pStyle w:val="Heading3"/>
        <w:spacing w:after="150" w:before="300"/>
      </w:pPr>
      <w:r>
        <w:rPr>
          <w:rFonts w:ascii="Arial" w:cs="Arial" w:eastAsia="Arial" w:hAnsi="Arial"/>
        </w:rPr>
        <w:t xml:space="preserve">Moat 6: Procedure Volume Growth &amp; Expansion — Score: 2/2</w:t>
      </w:r>
    </w:p>
    <w:p>
      <w:pPr>
        <w:spacing w:after="120"/>
      </w:pPr>
      <w:r>
        <w:rPr>
          <w:rFonts w:ascii="Arial" w:cs="Arial" w:eastAsia="Arial" w:hAnsi="Arial"/>
          <w:b w:val="false"/>
          <w:bCs w:val="false"/>
          <w:i w:val="false"/>
          <w:iCs w:val="false"/>
          <w:color w:val="000000"/>
          <w:sz w:val="22"/>
          <w:szCs w:val="22"/>
        </w:rPr>
        <w:t xml:space="preserve">Procedure volumes are the leading indicator of ISRG’s recurring revenue trajectory. In 2025, approximately 3.15 million da Vinci procedures were performed (+18% YoY), and approximately 144,000 Ion procedures (+51%). Single-port procedures grew 87%. International procedure growth (23%) outpaced domestic (15%), demonstrating broadening global adoption. ISRG is actively expanding into new procedure categories: da Vinci 5 received FDA clearance for cardiac procedures, Ion is expanding in lung diagnostics, and single-port is gaining traction. The company guided for 13-15% worldwide procedure growth in 2026, reflecting a still-robust trajectory off a much larger base.</w:t>
      </w:r>
    </w:p>
    <w:p>
      <w:pPr>
        <w:pStyle w:val="Heading3"/>
        <w:spacing w:after="150" w:before="300"/>
      </w:pPr>
      <w:r>
        <w:rPr>
          <w:rFonts w:ascii="Arial" w:cs="Arial" w:eastAsia="Arial" w:hAnsi="Arial"/>
        </w:rPr>
        <w:t xml:space="preserve">Moat 7: Innovation Pipeline &amp; Platform Evolution — Score: 2/2</w:t>
      </w:r>
    </w:p>
    <w:p>
      <w:pPr>
        <w:spacing w:after="120"/>
      </w:pPr>
      <w:r>
        <w:rPr>
          <w:rFonts w:ascii="Arial" w:cs="Arial" w:eastAsia="Arial" w:hAnsi="Arial"/>
          <w:b w:val="false"/>
          <w:bCs w:val="false"/>
          <w:i w:val="false"/>
          <w:iCs w:val="false"/>
          <w:color w:val="000000"/>
          <w:sz w:val="22"/>
          <w:szCs w:val="22"/>
        </w:rPr>
        <w:t xml:space="preserve">The da Vinci 5 represents a generational leap: 10,000x the computing power of da Vinci Xi, integrated force feedback, real-time surgical insights powered by AI, and in-console video replay. ISRG placed 870 da Vinci 5 systems in 2025 (up from 362 in 2024), with the upgrade cycle just beginning. The Ion platform continues to evolve with AI-powered navigation and advanced imaging integration. R&amp;D spending is approximately 12.5% of revenue, with demonstrated ROI on prior investments. The da Vinci 5 platform creates a software-upgradeable installed base that deepens switching costs over time, as each new software release adds capabilities that competitors must replicate from scratch.</w:t>
      </w:r>
    </w:p>
    <w:p>
      <w:pPr>
        <w:pStyle w:val="Heading3"/>
        <w:spacing w:after="150" w:before="300"/>
      </w:pPr>
      <w:r>
        <w:rPr>
          <w:rFonts w:ascii="Arial" w:cs="Arial" w:eastAsia="Arial" w:hAnsi="Arial"/>
        </w:rPr>
        <w:t xml:space="preserve">Moat 8: Commercial Infrastructure &amp; Service Network — Score: 2/2</w:t>
      </w:r>
    </w:p>
    <w:p>
      <w:pPr>
        <w:spacing w:after="120"/>
      </w:pPr>
      <w:r>
        <w:rPr>
          <w:rFonts w:ascii="Arial" w:cs="Arial" w:eastAsia="Arial" w:hAnsi="Arial"/>
          <w:b w:val="false"/>
          <w:bCs w:val="false"/>
          <w:i w:val="false"/>
          <w:iCs w:val="false"/>
          <w:color w:val="000000"/>
          <w:sz w:val="22"/>
          <w:szCs w:val="22"/>
        </w:rPr>
        <w:t xml:space="preserve">ISRG has built one of the most extensive field-based commercial infrastructures in medical devices. Direct sales teams, clinical specialists who assist in the OR during procedures, service engineers with rapid response times, and surgeon training centers (including simulation labs) span 74 countries. Clinical specialists are present during procedures, creating personal relationships with surgeons and real-time feedback loops. This OR presence is extremely difficult for competitors to replicate — it took ISRG decades to build. The company recently brought its distribution business in-house (completing the acquisition of da Vinci and Ion distribution operations), further deepening control of the customer relationship.</w:t>
      </w:r>
    </w:p>
    <w:p>
      <w:r>
        <w:br w:type="page"/>
      </w:r>
    </w:p>
    <w:p>
      <w:pPr>
        <w:pStyle w:val="Heading1"/>
        <w:spacing w:after="150" w:before="300"/>
      </w:pPr>
      <w:r>
        <w:rPr>
          <w:rFonts w:ascii="Arial" w:cs="Arial" w:eastAsia="Arial" w:hAnsi="Arial"/>
        </w:rPr>
        <w:t xml:space="preserve">STAGE 2: GROWTH ENGINE EVALUATION (GEE)</w:t>
      </w:r>
    </w:p>
    <w:p>
      <w:pPr>
        <w:spacing w:after="120"/>
      </w:pPr>
      <w:r>
        <w:rPr>
          <w:rFonts w:ascii="Arial" w:cs="Arial" w:eastAsia="Arial" w:hAnsi="Arial"/>
          <w:b w:val="false"/>
          <w:bCs w:val="false"/>
          <w:i w:val="false"/>
          <w:iCs w:val="false"/>
          <w:color w:val="000000"/>
          <w:sz w:val="22"/>
          <w:szCs w:val="22"/>
        </w:rPr>
        <w:t xml:space="preserve">Scoring weights for Mega-Platform stage: G1 (10%), G2 (20%), G3 (25%), G4 (20%), G5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49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49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G1: Installed Base Expansion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8/10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base growth; 1,721 placements (+13% YoY); dV5 placements surged 140% to 870; dominant market share maintained.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G2: Procedure Volume Trajectory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 Vinci +18%, Ion +51%, single-port +87%; utilization rising (procedures outpacing base growth); expanding into cardiac, thoracic.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G3: New Product &amp; Adjacency Pipeline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dV5 ramping with 10,000x computing power; Ion AI navigation; Force Feedback; cardiac expansion; single-port growth; R&amp;D 12.5% of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G4: Geographic Expansion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8/10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74 countries; international procedures +23%; Europe +21%, Asia +24%; dV5 CE Mark obtained; international ~35% of procedures and growing.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G5: M&amp;A &amp; Partnership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6/10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Primarily organic grower; recently in-housed distribution; selective and disciplined but not an M&amp;A engine like MDT/SYK. Partnership network limited.</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GEE Weighted Score: </w:t>
      </w:r>
      <w:r>
        <w:rPr>
          <w:rFonts w:ascii="Arial" w:cs="Arial" w:eastAsia="Arial" w:hAnsi="Arial"/>
          <w:sz w:val="22"/>
          <w:szCs w:val="22"/>
        </w:rPr>
        <w:t xml:space="preserve">(8×0.10) + (9×0.20) + (9×0.25) + (8×0.20) + (6×0.25) = 0.80 + 1.80 + 2.25 + 1.60 + 1.50 = 7.95 / 10.0</w:t>
      </w:r>
    </w:p>
    <w:p>
      <w:pPr>
        <w:pStyle w:val="Heading3"/>
        <w:spacing w:after="150" w:before="300"/>
      </w:pPr>
      <w:r>
        <w:rPr>
          <w:rFonts w:ascii="Arial" w:cs="Arial" w:eastAsia="Arial" w:hAnsi="Arial"/>
        </w:rPr>
        <w:t xml:space="preserve">G1: Installed Base Expansion Rate — Score: 8/10</w:t>
      </w:r>
    </w:p>
    <w:p>
      <w:pPr>
        <w:spacing w:after="120"/>
      </w:pPr>
      <w:r>
        <w:rPr>
          <w:rFonts w:ascii="Arial" w:cs="Arial" w:eastAsia="Arial" w:hAnsi="Arial"/>
          <w:b w:val="false"/>
          <w:bCs w:val="false"/>
          <w:i w:val="false"/>
          <w:iCs w:val="false"/>
          <w:color w:val="000000"/>
          <w:sz w:val="22"/>
          <w:szCs w:val="22"/>
        </w:rPr>
        <w:t xml:space="preserve">ISRG placed 1,721 da Vinci systems in 2025, up 13% from 1,526 in 2024. The installed base grew 12% to 11,106 systems. Of the 2025 placements, 870 were da Vinci 5 units (up 140% from 362 in 2024), indicating the upgrade cycle is accelerating. The Ion installed base approached 1,000 systems, and the single-port (SP) installed base grew 39% to 377 systems. Placement quality is high, with systems going into both established high-volume centers and new accounts. The score reflects strong but not exceptional growth (not &gt;25% base expansion), consistent with a Mega-Platform company maintaining dominant share in a growing market.</w:t>
      </w:r>
    </w:p>
    <w:p>
      <w:pPr>
        <w:pStyle w:val="Heading3"/>
        <w:spacing w:after="150" w:before="300"/>
      </w:pPr>
      <w:r>
        <w:rPr>
          <w:rFonts w:ascii="Arial" w:cs="Arial" w:eastAsia="Arial" w:hAnsi="Arial"/>
        </w:rPr>
        <w:t xml:space="preserve">G2: Procedure Volume Trajectory — Score: 9/10</w:t>
      </w:r>
    </w:p>
    <w:p>
      <w:pPr>
        <w:spacing w:after="120"/>
      </w:pPr>
      <w:r>
        <w:rPr>
          <w:rFonts w:ascii="Arial" w:cs="Arial" w:eastAsia="Arial" w:hAnsi="Arial"/>
          <w:b w:val="false"/>
          <w:bCs w:val="false"/>
          <w:i w:val="false"/>
          <w:iCs w:val="false"/>
          <w:color w:val="000000"/>
          <w:sz w:val="22"/>
          <w:szCs w:val="22"/>
        </w:rPr>
        <w:t xml:space="preserve">This is ISRG’s strongest growth dimension. Combined da Vinci and Ion procedures grew approximately 19% in 2025. Da Vinci procedures grew 18% (to ~3.15 million), outpacing the 12% installed base growth — meaning utilization per system is rising, a very strong signal. Ion procedures grew 51% to ~144,000. Single-port procedures surged 87%. International procedures grew 23%, led by Asia (+24%) and rest-of-world (+27%). The company is successfully expanding across procedure types (cardiac clearance, lung biopsy expansion) and care settings. This dimension earns a 9 because procedure volumes are growing near 20% with rising utilization AND expanding into new clinical categories.</w:t>
      </w:r>
    </w:p>
    <w:p>
      <w:pPr>
        <w:pStyle w:val="Heading3"/>
        <w:spacing w:after="150" w:before="300"/>
      </w:pPr>
      <w:r>
        <w:rPr>
          <w:rFonts w:ascii="Arial" w:cs="Arial" w:eastAsia="Arial" w:hAnsi="Arial"/>
        </w:rPr>
        <w:t xml:space="preserve">G3: New Product &amp; Adjacency Pipeline — Score: 9/10</w:t>
      </w:r>
    </w:p>
    <w:p>
      <w:pPr>
        <w:spacing w:after="120"/>
      </w:pPr>
      <w:r>
        <w:rPr>
          <w:rFonts w:ascii="Arial" w:cs="Arial" w:eastAsia="Arial" w:hAnsi="Arial"/>
          <w:b w:val="false"/>
          <w:bCs w:val="false"/>
          <w:i w:val="false"/>
          <w:iCs w:val="false"/>
          <w:color w:val="000000"/>
          <w:sz w:val="22"/>
          <w:szCs w:val="22"/>
        </w:rPr>
        <w:t xml:space="preserve">ISRG’s innovation pipeline is exceptional. The da Vinci 5 is a generational platform upgrade with 10,000x the computing power of Xi, integrated force feedback (shown to reduce tissue force by up to 43%), AI-powered real-time surgical insights, and in-console video replay. The Ion platform continues to expand with AI-driven navigation and advanced imaging. New adjacencies include cardiac procedures (FDA clearance in 2025), single-port robotic surgery (87% procedure growth), and a growing software/digital layer. R&amp;D investment of ~12.5% of revenue is well above the industry median. Each innovation deepens platform switching costs.</w:t>
      </w:r>
    </w:p>
    <w:p>
      <w:pPr>
        <w:pStyle w:val="Heading3"/>
        <w:spacing w:after="150" w:before="300"/>
      </w:pPr>
      <w:r>
        <w:rPr>
          <w:rFonts w:ascii="Arial" w:cs="Arial" w:eastAsia="Arial" w:hAnsi="Arial"/>
        </w:rPr>
        <w:t xml:space="preserve">G4: Geographic Expansion &amp; Penetration — Score: 8/10</w:t>
      </w:r>
    </w:p>
    <w:p>
      <w:pPr>
        <w:spacing w:after="120"/>
      </w:pPr>
      <w:r>
        <w:rPr>
          <w:rFonts w:ascii="Arial" w:cs="Arial" w:eastAsia="Arial" w:hAnsi="Arial"/>
          <w:b w:val="false"/>
          <w:bCs w:val="false"/>
          <w:i w:val="false"/>
          <w:iCs w:val="false"/>
          <w:color w:val="000000"/>
          <w:sz w:val="22"/>
          <w:szCs w:val="22"/>
        </w:rPr>
        <w:t xml:space="preserve">ISRG operates in 74 countries with a growing international footprint. International procedures now represent ~35% of total and are growing faster (23%) than domestic (15%). Europe delivered 21% procedure growth, Asia 24%, and rest-of-world 27%. The da Vinci 5 received CE Mark for Europe. China remains a challenging market due to local competition and capital constraints. International revenue is growing but still represents less than 40% of total, which prevents a 9 or 10 score. The long-term opportunity in emerging markets (India, Southeast Asia, Latin America) remains largely untapped.</w:t>
      </w:r>
    </w:p>
    <w:p>
      <w:pPr>
        <w:pStyle w:val="Heading3"/>
        <w:spacing w:after="150" w:before="300"/>
      </w:pPr>
      <w:r>
        <w:rPr>
          <w:rFonts w:ascii="Arial" w:cs="Arial" w:eastAsia="Arial" w:hAnsi="Arial"/>
        </w:rPr>
        <w:t xml:space="preserve">G5: M&amp;A &amp; Partnership Capability — Score: 6/10</w:t>
      </w:r>
    </w:p>
    <w:p>
      <w:pPr>
        <w:spacing w:after="120"/>
      </w:pPr>
      <w:r>
        <w:rPr>
          <w:rFonts w:ascii="Arial" w:cs="Arial" w:eastAsia="Arial" w:hAnsi="Arial"/>
          <w:b w:val="false"/>
          <w:bCs w:val="false"/>
          <w:i w:val="false"/>
          <w:iCs w:val="false"/>
          <w:color w:val="000000"/>
          <w:sz w:val="22"/>
          <w:szCs w:val="22"/>
        </w:rPr>
        <w:t xml:space="preserve">ISRG’s weakest growth dimension. The company is fundamentally an organic grower, not an M&amp;A-driven platform. Its most notable recent deal was bringing its distribution business in-house. Unlike Medtronic, Stryker, or Boston Scientific, ISRG has not used acquisitions as a major growth engine. This is both a strength (capital discipline, focused execution) and a limitation (no inorganic pathway to expand into adjacent device categories). The company does not have a deep external partnership network comparable to biopharma-linked device companies. Score of 6 reflects a disciplined but limited M&amp;A/partnership capability.</w:t>
      </w:r>
    </w:p>
    <w:p>
      <w:r>
        <w:br w:type="page"/>
      </w:r>
    </w:p>
    <w:p>
      <w:pPr>
        <w:pStyle w:val="Heading1"/>
        <w:spacing w:after="150" w:before="300"/>
      </w:pPr>
      <w:r>
        <w:rPr>
          <w:rFonts w:ascii="Arial" w:cs="Arial" w:eastAsia="Arial" w:hAnsi="Arial"/>
        </w:rPr>
        <w:t xml:space="preserve">STAGE 3: FINANCIAL QUALITY ASSESSMENT (FQA)</w:t>
      </w:r>
    </w:p>
    <w:p>
      <w:pPr>
        <w:spacing w:after="120"/>
      </w:pPr>
      <w:r>
        <w:rPr>
          <w:rFonts w:ascii="Arial" w:cs="Arial" w:eastAsia="Arial" w:hAnsi="Arial"/>
          <w:b w:val="false"/>
          <w:bCs w:val="false"/>
          <w:i w:val="false"/>
          <w:iCs w:val="false"/>
          <w:color w:val="000000"/>
          <w:sz w:val="22"/>
          <w:szCs w:val="22"/>
        </w:rPr>
        <w:t xml:space="preserve">All dimensions weighted equally at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F1: Recurring Revenue 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~76-85% recurring revenue; rising consumable revenue per procedure; service renewals &gt;90%; software/subscription layers being added.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F2: Margin Structure &amp; Leverage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margin ~66-68%; pro forma operating margin ~37%; powerful operating leverage as each incremental procedure is highly accretive.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F3: Capital Allocation &amp; Balance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cash ~$5.76B; zero long-term debt; ROIC 21%+; disciplined capital allocation; ample M&amp;A capacity without dilution.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F4: Free Cash Flow Generation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FCF $2.49B in FY2025; FCF margin ~25%; strong FCF conversion; demonstrates cash-generative power of installed base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F5: Management 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9/10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consecutive quarterly beats; successful dV5 launch; smooth CEO transition (Guthart to Rosa); beat-and-raise cadence.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FQA Weighted Score: </w:t>
      </w:r>
      <w:r>
        <w:rPr>
          <w:rFonts w:ascii="Arial" w:cs="Arial" w:eastAsia="Arial" w:hAnsi="Arial"/>
          <w:sz w:val="22"/>
          <w:szCs w:val="22"/>
        </w:rPr>
        <w:t xml:space="preserve">(9×0.20) × 5 = 9.0 / 10.0</w:t>
      </w:r>
    </w:p>
    <w:p>
      <w:pPr>
        <w:pStyle w:val="Heading3"/>
        <w:spacing w:after="150" w:before="300"/>
      </w:pPr>
      <w:r>
        <w:rPr>
          <w:rFonts w:ascii="Arial" w:cs="Arial" w:eastAsia="Arial" w:hAnsi="Arial"/>
        </w:rPr>
        <w:t xml:space="preserve">F1: Recurring Revenue Quality — Score: 9/10</w:t>
      </w:r>
    </w:p>
    <w:p>
      <w:pPr>
        <w:spacing w:after="120"/>
      </w:pPr>
      <w:r>
        <w:rPr>
          <w:rFonts w:ascii="Arial" w:cs="Arial" w:eastAsia="Arial" w:hAnsi="Arial"/>
          <w:b w:val="false"/>
          <w:bCs w:val="false"/>
          <w:i w:val="false"/>
          <w:iCs w:val="false"/>
          <w:color w:val="000000"/>
          <w:sz w:val="22"/>
          <w:szCs w:val="22"/>
        </w:rPr>
        <w:t xml:space="preserve">ISRG’s recurring revenue quality is best-in-class. Instruments and accessories plus service contracts represent approximately 76-85% of total revenue (depending on the treatment of leased system revenue). Instrument revenue grew 19% in 2025, tracking procedure volume growth and indicating rising attach rates. Service contract renewal rates exceed 90%. The company is layering on software and digital capabilities (real-time surgical insights, AI navigation) that will create additional recurring revenue streams. The only gap preventing a perfect 10 is the relative nascency of the software subscription layer.</w:t>
      </w:r>
    </w:p>
    <w:p>
      <w:pPr>
        <w:pStyle w:val="Heading3"/>
        <w:spacing w:after="150" w:before="300"/>
      </w:pPr>
      <w:r>
        <w:rPr>
          <w:rFonts w:ascii="Arial" w:cs="Arial" w:eastAsia="Arial" w:hAnsi="Arial"/>
        </w:rPr>
        <w:t xml:space="preserve">F2: Margin Structure &amp; Operating Leverage — Score: 9/10</w:t>
      </w:r>
    </w:p>
    <w:p>
      <w:pPr>
        <w:spacing w:after="120"/>
      </w:pPr>
      <w:r>
        <w:rPr>
          <w:rFonts w:ascii="Arial" w:cs="Arial" w:eastAsia="Arial" w:hAnsi="Arial"/>
          <w:b w:val="false"/>
          <w:bCs w:val="false"/>
          <w:i w:val="false"/>
          <w:iCs w:val="false"/>
          <w:color w:val="000000"/>
          <w:sz w:val="22"/>
          <w:szCs w:val="22"/>
        </w:rPr>
        <w:t xml:space="preserve">Gross margins of approximately 66-68% are best-in-class for medical devices. GAAP operating margins of ~29-30% and pro forma operating margins of ~37% demonstrate powerful operating leverage. Each incremental procedure drives high-margin consumable revenue against a relatively fixed cost base. The gross margin dipped slightly in 2025 (-1.5pp) due to the da Vinci 5 launch ramp and mix shift, but this is expected to stabilize. The 2026 guide of 67-68% gross margin (including a 1.2% tariff headwind) suggests underlying improvement. Operating expenses are growing slower than revenue, expanding margins over time.</w:t>
      </w:r>
    </w:p>
    <w:p>
      <w:pPr>
        <w:pStyle w:val="Heading3"/>
        <w:spacing w:after="150" w:before="300"/>
      </w:pPr>
      <w:r>
        <w:rPr>
          <w:rFonts w:ascii="Arial" w:cs="Arial" w:eastAsia="Arial" w:hAnsi="Arial"/>
        </w:rPr>
        <w:t xml:space="preserve">F3: Capital Allocation &amp; Balance Sheet — Score: 9/10</w:t>
      </w:r>
    </w:p>
    <w:p>
      <w:pPr>
        <w:spacing w:after="120"/>
      </w:pPr>
      <w:r>
        <w:rPr>
          <w:rFonts w:ascii="Arial" w:cs="Arial" w:eastAsia="Arial" w:hAnsi="Arial"/>
          <w:b w:val="false"/>
          <w:bCs w:val="false"/>
          <w:i w:val="false"/>
          <w:iCs w:val="false"/>
          <w:color w:val="000000"/>
          <w:sz w:val="22"/>
          <w:szCs w:val="22"/>
        </w:rPr>
        <w:t xml:space="preserve">ISRG maintains a fortress balance sheet with a net cash position of approximately $5.76 billion and effectively zero long-term debt. The debt-to-equity ratio is negligible. ROIC is estimated at 21%+, significantly exceeding the company’s cost of capital. Capital allocation is disciplined: no value-destructive acquisitions, no dilutive equity raises, and the recent in-housing of the distribution business was strategically sound. The company has ample capacity for strategic M&amp;A without any need for external financing.</w:t>
      </w:r>
    </w:p>
    <w:p>
      <w:pPr>
        <w:pStyle w:val="Heading3"/>
        <w:spacing w:after="150" w:before="300"/>
      </w:pPr>
      <w:r>
        <w:rPr>
          <w:rFonts w:ascii="Arial" w:cs="Arial" w:eastAsia="Arial" w:hAnsi="Arial"/>
        </w:rPr>
        <w:t xml:space="preserve">F4: Free Cash Flow Generation — Score: 9/10</w:t>
      </w:r>
    </w:p>
    <w:p>
      <w:pPr>
        <w:spacing w:after="120"/>
      </w:pPr>
      <w:r>
        <w:rPr>
          <w:rFonts w:ascii="Arial" w:cs="Arial" w:eastAsia="Arial" w:hAnsi="Arial"/>
          <w:b w:val="false"/>
          <w:bCs w:val="false"/>
          <w:i w:val="false"/>
          <w:iCs w:val="false"/>
          <w:color w:val="000000"/>
          <w:sz w:val="22"/>
          <w:szCs w:val="22"/>
        </w:rPr>
        <w:t xml:space="preserve">Free cash flow of $2.49 billion in FY2025 represents an FCF margin of approximately 25%, placing ISRG in the best-in-class category for device companies. FCF conversion is strong, and the trajectory is upward as procedure volumes compound on the installed base. The cash-generative power of the razor-razorblade model is fully evident: once a system is placed, each subsequent procedure generates high-margin consumable revenue with minimal incremental capital expenditure. FCF should continue to grow as the installed base expands and utilization per system rises.</w:t>
      </w:r>
    </w:p>
    <w:p>
      <w:pPr>
        <w:pStyle w:val="Heading3"/>
        <w:spacing w:after="150" w:before="300"/>
      </w:pPr>
      <w:r>
        <w:rPr>
          <w:rFonts w:ascii="Arial" w:cs="Arial" w:eastAsia="Arial" w:hAnsi="Arial"/>
        </w:rPr>
        <w:t xml:space="preserve">F5: Management Quality &amp; Execution — Score: 9/10</w:t>
      </w:r>
    </w:p>
    <w:p>
      <w:pPr>
        <w:spacing w:after="120"/>
      </w:pPr>
      <w:r>
        <w:rPr>
          <w:rFonts w:ascii="Arial" w:cs="Arial" w:eastAsia="Arial" w:hAnsi="Arial"/>
          <w:b w:val="false"/>
          <w:bCs w:val="false"/>
          <w:i w:val="false"/>
          <w:iCs w:val="false"/>
          <w:color w:val="000000"/>
          <w:sz w:val="22"/>
          <w:szCs w:val="22"/>
        </w:rPr>
        <w:t xml:space="preserve">Intuitive’s management team has executed at an elite level. The company beat analyst earnings estimates for 12 consecutive quarters. The da Vinci 5 launch has been flawless — ramping from 362 placements in 2024 to 870 in 2025 while maintaining procedure growth. The CEO transition from Gary Guthart (a 30-year company veteran who led as CEO since 2010) to Dave Rosa (promoted from President, effective July 2025) has been smooth and well-planned. Leadership changes at the EVP level (Henry Charlton as CCO/CMO, Gary Loeb as CLO) reflect internal bench strength. The company’s beat-and-raise guidance cadence and consistent execution across product launches, geographic expansion, and commercial team building justify a 9.</w:t>
      </w:r>
    </w:p>
    <w:p>
      <w:r>
        <w:br w:type="page"/>
      </w:r>
    </w:p>
    <w:p>
      <w:pPr>
        <w:pStyle w:val="Heading1"/>
        <w:spacing w:after="150" w:before="300"/>
      </w:pPr>
      <w:r>
        <w:rPr>
          <w:rFonts w:ascii="Arial" w:cs="Arial" w:eastAsia="Arial" w:hAnsi="Arial"/>
        </w:rPr>
        <w:t xml:space="preserve">STAGE 4: COMPOSITE SCORING, MODIFIERS &amp; VALUATION GATES</w:t>
      </w:r>
    </w:p>
    <w:p>
      <w:pPr>
        <w:pStyle w:val="Heading2"/>
        <w:spacing w:after="150" w:before="300"/>
      </w:pPr>
      <w:r>
        <w:rPr>
          <w:rFonts w:ascii="Arial" w:cs="Arial" w:eastAsia="Arial" w:hAnsi="Arial"/>
        </w:rPr>
        <w:t xml:space="preserve">Composite Calculation</w:t>
      </w:r>
    </w:p>
    <w:p>
      <w:pPr>
        <w:spacing w:after="120"/>
      </w:pPr>
      <w:r>
        <w:rPr>
          <w:rFonts w:ascii="Arial" w:cs="Arial" w:eastAsia="Arial" w:hAnsi="Arial"/>
          <w:b w:val="false"/>
          <w:bCs w:val="false"/>
          <w:i w:val="false"/>
          <w:iCs w:val="false"/>
          <w:color w:val="000000"/>
          <w:sz w:val="22"/>
          <w:szCs w:val="22"/>
        </w:rPr>
        <w:t xml:space="preserve">Mega-Platform weights: GEE 40%, FQA 60%</w:t>
      </w:r>
    </w:p>
    <w:p>
      <w:pPr>
        <w:spacing w:after="120"/>
      </w:pPr>
      <w:r>
        <w:rPr>
          <w:rFonts w:ascii="Arial" w:cs="Arial" w:eastAsia="Arial" w:hAnsi="Arial"/>
          <w:b/>
          <w:bCs/>
          <w:sz w:val="22"/>
          <w:szCs w:val="22"/>
        </w:rPr>
        <w:t xml:space="preserve">Raw Composite = </w:t>
      </w:r>
      <w:r>
        <w:rPr>
          <w:rFonts w:ascii="Arial" w:cs="Arial" w:eastAsia="Arial" w:hAnsi="Arial"/>
          <w:sz w:val="22"/>
          <w:szCs w:val="22"/>
        </w:rPr>
        <w:t xml:space="preserve">(7.95 × 0.40) + (9.0 × 0.60) = 3.18 + 5.40 = 8.58</w:t>
      </w:r>
    </w:p>
    <w:p>
      <w:pPr>
        <w:pStyle w:val="Heading2"/>
        <w:spacing w:after="150" w:before="300"/>
      </w:pPr>
      <w:r>
        <w:rPr>
          <w:rFonts w:ascii="Arial" w:cs="Arial" w:eastAsia="Arial" w:hAnsi="Arial"/>
        </w:rPr>
        <w:t xml:space="preserve">Modifiers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Modifier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Platform Flywheel Premium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ISRG is the archetype cited in the framework. More systems → more procedures → more data → better AI/outcomes → more surgeon adoption → more systems. The flywheel is demonstrably accelerating with dV5.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Secular Adoption Tailwind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+0.75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Robotic surgery penetrates &lt;10% of addressable soft-tissue procedures globally. Multi-decade adoption cycle in early-to-mid innings. Aging population, shift to minimally invasive surgery, and emerging market adoption all tailwinds.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Competitive Disruption Risk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-0.50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Medtronic Hugo received FDA clearance (Dec 2025, urology). J&amp;J Ottava submitted de novo (general surgery). Both are well-funded with large commercial footprints. However, neither has meaningful installed base or clinical evidence yet. Risk is real but early-stage.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Total Modifier Adjustment: </w:t>
      </w:r>
      <w:r>
        <w:rPr>
          <w:rFonts w:ascii="Arial" w:cs="Arial" w:eastAsia="Arial" w:hAnsi="Arial"/>
          <w:sz w:val="22"/>
          <w:szCs w:val="22"/>
        </w:rPr>
        <w:t xml:space="preserve">+1.00 + 0.75 - 0.50 = +1.25</w:t>
      </w:r>
    </w:p>
    <w:p>
      <w:pPr>
        <w:spacing w:after="120"/>
      </w:pPr>
      <w:r>
        <w:rPr>
          <w:rFonts w:ascii="Arial" w:cs="Arial" w:eastAsia="Arial" w:hAnsi="Arial"/>
          <w:b/>
          <w:bCs/>
          <w:sz w:val="22"/>
          <w:szCs w:val="22"/>
        </w:rPr>
        <w:t xml:space="preserve">Adjusted Composite: </w:t>
      </w:r>
      <w:r>
        <w:rPr>
          <w:rFonts w:ascii="Arial" w:cs="Arial" w:eastAsia="Arial" w:hAnsi="Arial"/>
          <w:sz w:val="22"/>
          <w:szCs w:val="22"/>
        </w:rPr>
        <w:t xml:space="preserve">8.58 + 1.25 = 9.83 / 10.0</w:t>
      </w:r>
    </w:p>
    <w:p>
      <w:pPr>
        <w:pStyle w:val="Heading2"/>
        <w:spacing w:after="150" w:before="300"/>
      </w:pPr>
      <w:r>
        <w:rPr>
          <w:rFonts w:ascii="Arial" w:cs="Arial" w:eastAsia="Arial" w:hAnsi="Arial"/>
        </w:rPr>
        <w:t xml:space="preserve">Valuation Gates (Mega-Platform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EV/Revenue (NTM)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8x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~14-15x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FAIL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Exception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 (NTM)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30x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FAIL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Exception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FCF Yield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FAIL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Exception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Recurring Rev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~76-85%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PASS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i w:val="false"/>
          <w:iCs w:val="false"/>
          <w:color w:val="000000"/>
          <w:sz w:val="22"/>
          <w:szCs w:val="22"/>
        </w:rPr>
        <w:t xml:space="preserve">ISRG fails 3 of 4 Mega-Platform valuation gates. However, two framework exceptions apply:</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Exception 1 — Platform Flywheel: </w:t>
      </w:r>
      <w:r>
        <w:rPr>
          <w:rFonts w:ascii="Arial" w:cs="Arial" w:eastAsia="Arial" w:hAnsi="Arial"/>
          <w:sz w:val="22"/>
          <w:szCs w:val="22"/>
        </w:rPr>
        <w:t xml:space="preserve">Platform Flywheel Premium modifier of +1.00 exceeds the ≥0.75 threshold. The installed base growth loop is demonstrably accelerating: da Vinci 5’s AI capabilities create data network effects, the expanding instrument ecosystem deepens switching costs, and the surgeon community effect (55,000+ trained surgeons who train others) is self-reinforcing.</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Exception 2 — Secular Adoption Wave: </w:t>
      </w:r>
      <w:r>
        <w:rPr>
          <w:rFonts w:ascii="Arial" w:cs="Arial" w:eastAsia="Arial" w:hAnsi="Arial"/>
          <w:sz w:val="22"/>
          <w:szCs w:val="22"/>
        </w:rPr>
        <w:t xml:space="preserve">Secular Adoption Tailwind modifier of +0.75 exceeds the ≥0.50 threshold. Robotic surgery penetrates less than 10% of addressable soft-tissue procedures globally, representing a multi-decade adoption cycle still in early-to-mid innings.</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i/>
          <w:iCs/>
          <w:color w:val="000000"/>
          <w:sz w:val="22"/>
          <w:szCs w:val="22"/>
        </w:rPr>
        <w:t xml:space="preserve">With both exceptions applied, the valuation gate failures are overridden per the framework methodology.</w:t>
      </w:r>
    </w:p>
    <w:p>
      <w:pPr>
        <w:pStyle w:val="Heading2"/>
        <w:spacing w:after="150" w:before="300"/>
      </w:pPr>
      <w:r>
        <w:rPr>
          <w:rFonts w:ascii="Arial" w:cs="Arial" w:eastAsia="Arial" w:hAnsi="Arial"/>
        </w:rPr>
        <w:t xml:space="preserve">Final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ISRG Actual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IBPMI Classification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Device Fortress (≥13)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16/16 (Device Fortress)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Adjusted Composite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Valuation Gates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Pass or Exception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 fails, 2 exceptions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 OVERRIDDEN</w:t>
            </w:r>
          </w:p>
        </w:tc>
      </w:tr>
    </w:tbl>
    <w:p>
      <w:pPr>
        <w:spacing w:after="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8F5E9" w:val="clear"/>
            <w:tcMar>
              <w:top w:type="dxa" w:w="200"/>
              <w:left w:type="dxa" w:w="300"/>
              <w:bottom w:type="dxa" w:w="200"/>
              <w:right w:type="dxa" w:w="300"/>
            </w:tcMar>
          </w:tcPr>
          <w:p>
            <w:pPr>
              <w:spacing w:after="100"/>
              <w:jc w:val="center"/>
            </w:pPr>
            <w:r>
              <w:rPr>
                <w:rFonts w:ascii="Arial" w:cs="Arial" w:eastAsia="Arial" w:hAnsi="Arial"/>
                <w:b/>
                <w:bCs/>
                <w:color w:val="548235"/>
                <w:sz w:val="40"/>
                <w:szCs w:val="40"/>
              </w:rPr>
              <w:t xml:space="preserve">DEVICE COMPOUNDER</w:t>
            </w:r>
          </w:p>
          <w:p>
            <w:pPr>
              <w:spacing w:after="60"/>
              <w:jc w:val="center"/>
            </w:pPr>
            <w:r>
              <w:rPr>
                <w:rFonts w:ascii="Arial" w:cs="Arial" w:eastAsia="Arial" w:hAnsi="Arial"/>
                <w:color w:val="1B3A5C"/>
                <w:sz w:val="22"/>
                <w:szCs w:val="22"/>
              </w:rPr>
              <w:t xml:space="preserve">Core position. Long-duration hold. Installed base compounding drives multi-year returns.</w:t>
            </w:r>
          </w:p>
          <w:p>
            <w:pPr>
              <w:jc w:val="center"/>
            </w:pPr>
            <w:r>
              <w:rPr>
                <w:rFonts w:ascii="Arial" w:cs="Arial" w:eastAsia="Arial" w:hAnsi="Arial"/>
                <w:b/>
                <w:bCs/>
                <w:color w:val="1B3A5C"/>
                <w:sz w:val="22"/>
                <w:szCs w:val="22"/>
              </w:rPr>
              <w:t xml:space="preserve">Investment Posture: The highest-conviction position the framework can assign.</w:t>
            </w:r>
          </w:p>
        </w:tc>
      </w:tr>
    </w:tbl>
    <w:p>
      <w:r>
        <w:br w:type="page"/>
      </w:r>
    </w:p>
    <w:p>
      <w:pPr>
        <w:pStyle w:val="Heading1"/>
        <w:spacing w:after="150" w:before="300"/>
      </w:pPr>
      <w:r>
        <w:rPr>
          <w:rFonts w:ascii="Arial" w:cs="Arial" w:eastAsia="Arial" w:hAnsi="Arial"/>
        </w:rPr>
        <w:t xml:space="preserve">KEY RISKS &amp; MONITORING ITEMS</w:t>
      </w:r>
    </w:p>
    <w:p>
      <w:pPr>
        <w:pStyle w:val="Heading3"/>
        <w:spacing w:after="150" w:before="300"/>
      </w:pPr>
      <w:r>
        <w:rPr>
          <w:rFonts w:ascii="Arial" w:cs="Arial" w:eastAsia="Arial" w:hAnsi="Arial"/>
        </w:rPr>
        <w:t xml:space="preserve">1. Valuation Premium</w:t>
      </w:r>
    </w:p>
    <w:p>
      <w:pPr>
        <w:spacing w:after="120"/>
      </w:pPr>
      <w:r>
        <w:rPr>
          <w:rFonts w:ascii="Arial" w:cs="Arial" w:eastAsia="Arial" w:hAnsi="Arial"/>
          <w:b w:val="false"/>
          <w:bCs w:val="false"/>
          <w:i w:val="false"/>
          <w:iCs w:val="false"/>
          <w:color w:val="000000"/>
          <w:sz w:val="22"/>
          <w:szCs w:val="22"/>
        </w:rPr>
        <w:t xml:space="preserve">ISRG trades at ~50x forward P/E and ~14-15x NTM EV/Revenue, well above the Mega-Platform valuation gates. While justified by the framework’s exception criteria, this valuation leaves limited margin of safety. Any deceleration in procedure growth, margin compression, or competitive erosion could trigger meaningful multiple compression. The stock declined from ~$504 to ~$472 in early March 2026, suggesting market sensitivity to valuation.</w:t>
      </w:r>
    </w:p>
    <w:p>
      <w:pPr>
        <w:pStyle w:val="Heading3"/>
        <w:spacing w:after="150" w:before="300"/>
      </w:pPr>
      <w:r>
        <w:rPr>
          <w:rFonts w:ascii="Arial" w:cs="Arial" w:eastAsia="Arial" w:hAnsi="Arial"/>
        </w:rPr>
        <w:t xml:space="preserve">2. Competitive Entry</w:t>
      </w:r>
    </w:p>
    <w:p>
      <w:pPr>
        <w:spacing w:after="120"/>
      </w:pPr>
      <w:r>
        <w:rPr>
          <w:rFonts w:ascii="Arial" w:cs="Arial" w:eastAsia="Arial" w:hAnsi="Arial"/>
          <w:b w:val="false"/>
          <w:bCs w:val="false"/>
          <w:i w:val="false"/>
          <w:iCs w:val="false"/>
          <w:color w:val="000000"/>
          <w:sz w:val="22"/>
          <w:szCs w:val="22"/>
        </w:rPr>
        <w:t xml:space="preserve">For the first time, ISRG faces credible competition from well-funded incumbents. Medtronic’s Hugo received FDA clearance in December 2025 for urologic procedures and is available in 30+ countries. J&amp;J’s Ottava submitted its de novo request to FDA for general surgery. While analysts project ISRG will retain ~70% market share a decade from now, even modest share erosion could impact growth rates and, more importantly, valuation multiples. Monitor: competitive placement volumes, switching activity at hospital accounts, and pricing pressure on capital equipment.</w:t>
      </w:r>
    </w:p>
    <w:p>
      <w:pPr>
        <w:pStyle w:val="Heading3"/>
        <w:spacing w:after="150" w:before="300"/>
      </w:pPr>
      <w:r>
        <w:rPr>
          <w:rFonts w:ascii="Arial" w:cs="Arial" w:eastAsia="Arial" w:hAnsi="Arial"/>
        </w:rPr>
        <w:t xml:space="preserve">3. Tariff &amp; Macro Headwinds</w:t>
      </w:r>
    </w:p>
    <w:p>
      <w:pPr>
        <w:spacing w:after="120"/>
      </w:pPr>
      <w:r>
        <w:rPr>
          <w:rFonts w:ascii="Arial" w:cs="Arial" w:eastAsia="Arial" w:hAnsi="Arial"/>
          <w:b w:val="false"/>
          <w:bCs w:val="false"/>
          <w:i w:val="false"/>
          <w:iCs w:val="false"/>
          <w:color w:val="000000"/>
          <w:sz w:val="22"/>
          <w:szCs w:val="22"/>
        </w:rPr>
        <w:t xml:space="preserve">Management guided to a 1.2% revenue impact from tariffs in 2026. Hospital capital budgets are subject to macroeconomic cycles, and any significant economic downturn could defer new system placements. The recurring revenue base (85% of total) provides significant downside protection, as procedure volumes are far less cyclical than capital equipment purchases.</w:t>
      </w:r>
    </w:p>
    <w:p>
      <w:pPr>
        <w:pStyle w:val="Heading3"/>
        <w:spacing w:after="150" w:before="300"/>
      </w:pPr>
      <w:r>
        <w:rPr>
          <w:rFonts w:ascii="Arial" w:cs="Arial" w:eastAsia="Arial" w:hAnsi="Arial"/>
        </w:rPr>
        <w:t xml:space="preserve">4. China Market Challenges</w:t>
      </w:r>
    </w:p>
    <w:p>
      <w:pPr>
        <w:spacing w:after="120"/>
      </w:pPr>
      <w:r>
        <w:rPr>
          <w:rFonts w:ascii="Arial" w:cs="Arial" w:eastAsia="Arial" w:hAnsi="Arial"/>
          <w:b w:val="false"/>
          <w:bCs w:val="false"/>
          <w:i w:val="false"/>
          <w:iCs w:val="false"/>
          <w:color w:val="000000"/>
          <w:sz w:val="22"/>
          <w:szCs w:val="22"/>
        </w:rPr>
        <w:t xml:space="preserve">China remains a constrained and competitive marketplace for ISRG, with local competitors receiving government support and capital placement environment challenging. While not a material revenue risk today, China represents a significant long-term opportunity that may be partially foreclosed.</w:t>
      </w:r>
    </w:p>
    <w:p>
      <w:pPr>
        <w:pStyle w:val="Heading3"/>
        <w:spacing w:after="150" w:before="300"/>
      </w:pPr>
      <w:r>
        <w:rPr>
          <w:rFonts w:ascii="Arial" w:cs="Arial" w:eastAsia="Arial" w:hAnsi="Arial"/>
        </w:rPr>
        <w:t xml:space="preserve">5. da Vinci 5 Transition Execution</w:t>
      </w:r>
    </w:p>
    <w:p>
      <w:pPr>
        <w:spacing w:after="120"/>
      </w:pPr>
      <w:r>
        <w:rPr>
          <w:rFonts w:ascii="Arial" w:cs="Arial" w:eastAsia="Arial" w:hAnsi="Arial"/>
          <w:b w:val="false"/>
          <w:bCs w:val="false"/>
          <w:i w:val="false"/>
          <w:iCs w:val="false"/>
          <w:color w:val="000000"/>
          <w:sz w:val="22"/>
          <w:szCs w:val="22"/>
        </w:rPr>
        <w:t xml:space="preserve">The da Vinci 5 upgrade cycle is in early stages. Any manufacturing or quality issues with the new platform could disrupt placements and procedure growth. The slight gross margin compression in 2025 (-1.5pp) reflects the early-stage ramp cost. Monitor: dV5 placement trajectory, customer satisfaction, and gross margin recovery.</w:t>
      </w:r>
    </w:p>
    <w:p>
      <w:r>
        <w:br w:type="page"/>
      </w:r>
    </w:p>
    <w:p>
      <w:pPr>
        <w:pStyle w:val="Heading1"/>
        <w:spacing w:after="150" w:before="300"/>
      </w:pPr>
      <w:r>
        <w:rPr>
          <w:rFonts w:ascii="Arial" w:cs="Arial" w:eastAsia="Arial" w:hAnsi="Arial"/>
        </w:rPr>
        <w:t xml:space="preserve">APPENDIX: ISRG vs. BEST-IN-CLASS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30"/>
        <w:gridCol w:w="17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Excellent</w:t>
            </w:r>
          </w:p>
        </w:tc>
        <w:tc>
          <w:tcPr>
            <w:tcW w:type="dxa" w:w="17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Best-in-Class</w:t>
            </w:r>
          </w:p>
        </w:tc>
        <w:tc>
          <w:tcPr>
            <w:tcW w:type="dxa" w:w="17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ISRG Actual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Recurring Rev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40-55%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55-75%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&gt;75%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~76-85%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Gross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50-60%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60-70%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&gt;70%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~66-68%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Operating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18-28%</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&gt;28%</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~29-37%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FCF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&gt;25%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R&amp;D % of 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&gt;15%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~12.5%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Service Renewal 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90-95%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&gt;95%</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&gt;90%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Procedure Volume Growth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12-20%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&gt;20%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~18-19%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Int'l Revenue Mix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30-50%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&gt;50%</w:t>
            </w:r>
          </w:p>
        </w:tc>
        <w:tc>
          <w:tcPr>
            <w:tcW w:type="dxa" w:w="1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~35%</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ISRG meets or exceeds the best-in-class benchmark on 6 of 8 metrics, falls in the Excellent range on 1 (international revenue mix), and is at the high end of Excellent on procedure volume growth. The framework’s own benchmarks cite ISRG as the reference company for best-in-class recurring revenue (85%), gross margin (~69%), operating margin (~30%), and procedure volume growth (~20%).</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iCs/>
          <w:color w:val="888888"/>
          <w:sz w:val="22"/>
          <w:szCs w:val="22"/>
        </w:rPr>
        <w:t xml:space="preserve">— End of Analysis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8"/>
        <w:szCs w:val="18"/>
      </w:rPr>
      <w:t xml:space="preserve">Medical Device Platform Framework v1.0</w:t>
    </w:r>
    <w:r>
      <w:rPr>
        <w:rFonts w:ascii="Arial" w:cs="Arial" w:eastAsia="Arial" w:hAnsi="Arial"/>
        <w:i/>
        <w:iCs/>
        <w:color w:val="2E75B6"/>
        <w:sz w:val="18"/>
        <w:szCs w:val="18"/>
      </w:rPr>
      <w:t xml:space="preserve">	Intuitive Surgical, Inc. (ISRG)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2026-03-20T00:05:16.205Z</dcterms:created>
  <dcterms:modified xsi:type="dcterms:W3CDTF">2026-03-20T00:05:16.205Z</dcterms:modified>
</cp:coreProperties>
</file>

<file path=docProps/custom.xml><?xml version="1.0" encoding="utf-8"?>
<Properties xmlns="http://schemas.openxmlformats.org/officeDocument/2006/custom-properties" xmlns:vt="http://schemas.openxmlformats.org/officeDocument/2006/docPropsVTypes"/>
</file>