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1B3A5C"/>
          <w:sz w:val="48"/>
          <w:szCs w:val="48"/>
        </w:rPr>
        <w:t xml:space="preserve">ORACLE CORPORATION (ORCL)</w:t>
      </w:r>
    </w:p>
    <w:p>
      <w:pPr>
        <w:spacing w:after="200"/>
        <w:jc w:val="center"/>
      </w:pPr>
      <w:r>
        <w:rPr>
          <w:rFonts w:ascii="Arial" w:cs="Arial" w:eastAsia="Arial" w:hAnsi="Arial"/>
          <w:color w:val="1B3A5C"/>
          <w:sz w:val="36"/>
          <w:szCs w:val="36"/>
        </w:rPr>
        <w:t xml:space="preserve">SaaS Antifragility Assessment</w:t>
      </w:r>
    </w:p>
    <w:p>
      <w:pPr>
        <w:spacing w:after="100"/>
        <w:jc w:val="center"/>
      </w:pPr>
      <w:r>
        <w:rPr>
          <w:rFonts w:ascii="Arial" w:cs="Arial" w:eastAsia="Arial" w:hAnsi="Arial"/>
          <w:color w:val="666666"/>
          <w:sz w:val="24"/>
          <w:szCs w:val="24"/>
        </w:rPr>
        <w:t xml:space="preserve">Stoffel-Feroldi × Bustamante Integration — Framework v2.0</w:t>
      </w:r>
    </w:p>
    <w:p>
      <w:pPr>
        <w:spacing w:after="100"/>
        <w:jc w:val="center"/>
      </w:pPr>
      <w:r>
        <w:rPr>
          <w:rFonts w:ascii="Arial" w:cs="Arial" w:eastAsia="Arial" w:hAnsi="Arial"/>
          <w:color w:val="666666"/>
          <w:sz w:val="22"/>
          <w:szCs w:val="22"/>
        </w:rPr>
        <w:t xml:space="preserve">Stage 1: MDI Pre-Screen + Stage 2: Main Assessment + Verification Pass</w:t>
      </w:r>
    </w:p>
    <w:p>
      <w:pPr>
        <w:spacing w:after="400"/>
        <w:jc w:val="center"/>
      </w:pPr>
      <w:r>
        <w:rPr>
          <w:rFonts w:ascii="Arial" w:cs="Arial" w:eastAsia="Arial" w:hAnsi="Arial"/>
          <w:sz w:val="24"/>
          <w:szCs w:val="24"/>
        </w:rPr>
        <w:t xml:space="preserve">Date: March 17, 2026</w:t>
      </w:r>
    </w:p>
    <w:p>
      <w:pPr>
        <w:jc w:val="center"/>
      </w:pPr>
      <w:r>
        <w:rPr>
          <w:rFonts w:ascii="Arial" w:cs="Arial" w:eastAsia="Arial" w:hAnsi="Arial"/>
          <w:b/>
          <w:bCs/>
          <w:color w:val="CC0000"/>
          <w:sz w:val="20"/>
          <w:szCs w:val="20"/>
        </w:rPr>
        <w:t xml:space="preserve">CONFIDENTIAL — FOR INVESTMENT ANALYSIS ONLY</w:t>
      </w:r>
    </w:p>
    <w:p>
      <w:r>
        <w:br w:type="page"/>
      </w:r>
    </w:p>
    <w:p>
      <w:pPr>
        <w:pStyle w:val="Heading1"/>
        <w:spacing w:after="200" w:before="360"/>
      </w:pPr>
      <w:r>
        <w:rPr>
          <w:rFonts w:ascii="Arial" w:cs="Arial" w:eastAsia="Arial" w:hAnsi="Arial"/>
          <w:b/>
          <w:bCs/>
          <w:sz w:val="32"/>
          <w:szCs w:val="32"/>
        </w:rPr>
        <w:t xml:space="preserve">STAGE 1: BUSTAMANTE MOAT DESTRUCTION INDEX (MDI) PRE-SCREEN</w:t>
      </w:r>
    </w:p>
    <w:p>
      <w:pPr>
        <w:spacing w:after="80"/>
      </w:pPr>
    </w:p>
    <w:p>
      <w:pPr>
        <w:spacing w:after="80"/>
      </w:pPr>
      <w:r>
        <w:rPr>
          <w:rFonts w:ascii="Arial" w:cs="Arial" w:eastAsia="Arial" w:hAnsi="Arial"/>
          <w:b/>
          <w:bCs/>
          <w:sz w:val="22"/>
          <w:szCs w:val="22"/>
        </w:rPr>
        <w:t xml:space="preserve">Company: </w:t>
      </w:r>
      <w:r>
        <w:rPr>
          <w:rFonts w:ascii="Arial" w:cs="Arial" w:eastAsia="Arial" w:hAnsi="Arial"/>
          <w:sz w:val="22"/>
          <w:szCs w:val="22"/>
        </w:rPr>
        <w:t xml:space="preserve">Oracle Corporation</w:t>
      </w:r>
    </w:p>
    <w:p>
      <w:pPr>
        <w:spacing w:after="80"/>
      </w:pPr>
      <w:r>
        <w:rPr>
          <w:rFonts w:ascii="Arial" w:cs="Arial" w:eastAsia="Arial" w:hAnsi="Arial"/>
          <w:b/>
          <w:bCs/>
          <w:sz w:val="22"/>
          <w:szCs w:val="22"/>
        </w:rPr>
        <w:t xml:space="preserve">Ticker: </w:t>
      </w:r>
      <w:r>
        <w:rPr>
          <w:rFonts w:ascii="Arial" w:cs="Arial" w:eastAsia="Arial" w:hAnsi="Arial"/>
          <w:sz w:val="22"/>
          <w:szCs w:val="22"/>
        </w:rPr>
        <w:t xml:space="preserve">ORCL (NYSE)</w:t>
      </w:r>
    </w:p>
    <w:p>
      <w:pPr>
        <w:spacing w:after="80"/>
      </w:pPr>
      <w:r>
        <w:rPr>
          <w:rFonts w:ascii="Arial" w:cs="Arial" w:eastAsia="Arial" w:hAnsi="Arial"/>
          <w:b/>
          <w:bCs/>
          <w:sz w:val="22"/>
          <w:szCs w:val="22"/>
        </w:rPr>
        <w:t xml:space="preserve">Date: </w:t>
      </w:r>
      <w:r>
        <w:rPr>
          <w:rFonts w:ascii="Arial" w:cs="Arial" w:eastAsia="Arial" w:hAnsi="Arial"/>
          <w:sz w:val="22"/>
          <w:szCs w:val="22"/>
        </w:rPr>
        <w:t xml:space="preserve">March 17, 2026</w:t>
      </w:r>
    </w:p>
    <w:p>
      <w:pPr>
        <w:spacing w:after="80"/>
      </w:pPr>
      <w:r>
        <w:rPr>
          <w:rFonts w:ascii="Arial" w:cs="Arial" w:eastAsia="Arial" w:hAnsi="Arial"/>
          <w:b/>
          <w:bCs/>
          <w:sz w:val="22"/>
          <w:szCs w:val="22"/>
        </w:rPr>
        <w:t xml:space="preserve">Core Products: </w:t>
      </w:r>
      <w:r>
        <w:rPr>
          <w:rFonts w:ascii="Arial" w:cs="Arial" w:eastAsia="Arial" w:hAnsi="Arial"/>
          <w:sz w:val="22"/>
          <w:szCs w:val="22"/>
        </w:rPr>
        <w:t xml:space="preserve">Oracle Database, Oracle Cloud Infrastructure (OCI), Oracle Fusion Cloud Applications (ERP, HCM, SCM), Oracle Health (Cerner), Oracle NetSuite</w:t>
      </w:r>
    </w:p>
    <w:p>
      <w:pPr>
        <w:spacing w:after="80"/>
      </w:pPr>
      <w:r>
        <w:rPr>
          <w:rFonts w:ascii="Arial" w:cs="Arial" w:eastAsia="Arial" w:hAnsi="Arial"/>
          <w:b/>
          <w:bCs/>
          <w:sz w:val="22"/>
          <w:szCs w:val="22"/>
        </w:rPr>
        <w:t xml:space="preserve">Primary Customers: </w:t>
      </w:r>
      <w:r>
        <w:rPr>
          <w:rFonts w:ascii="Arial" w:cs="Arial" w:eastAsia="Arial" w:hAnsi="Arial"/>
          <w:sz w:val="22"/>
          <w:szCs w:val="22"/>
        </w:rPr>
        <w:t xml:space="preserve">Large enterprises, governments, healthcare systems, financial institutions, hyperscalers (OpenAI, Meta)</w:t>
      </w:r>
    </w:p>
    <w:p>
      <w:pPr>
        <w:spacing w:after="80"/>
      </w:pPr>
      <w:r>
        <w:rPr>
          <w:rFonts w:ascii="Arial" w:cs="Arial" w:eastAsia="Arial" w:hAnsi="Arial"/>
          <w:b/>
          <w:bCs/>
          <w:sz w:val="22"/>
          <w:szCs w:val="22"/>
        </w:rPr>
        <w:t xml:space="preserve">Revenue Model: </w:t>
      </w:r>
      <w:r>
        <w:rPr>
          <w:rFonts w:ascii="Arial" w:cs="Arial" w:eastAsia="Arial" w:hAnsi="Arial"/>
          <w:sz w:val="22"/>
          <w:szCs w:val="22"/>
        </w:rPr>
        <w:t xml:space="preserve">Hybrid — license support (legacy), subscription SaaS (Fusion/NetSuite), consumption-based IaaS (OCI), and GPU rental for AI infrastructure</w:t>
      </w:r>
    </w:p>
    <w:p>
      <w:pPr>
        <w:spacing w:after="80"/>
      </w:pPr>
      <w:r>
        <w:rPr>
          <w:rFonts w:ascii="Arial" w:cs="Arial" w:eastAsia="Arial" w:hAnsi="Arial"/>
          <w:b/>
          <w:bCs/>
          <w:sz w:val="22"/>
          <w:szCs w:val="22"/>
        </w:rPr>
        <w:t xml:space="preserve">Recent News: </w:t>
      </w:r>
      <w:r>
        <w:rPr>
          <w:rFonts w:ascii="Arial" w:cs="Arial" w:eastAsia="Arial" w:hAnsi="Arial"/>
          <w:sz w:val="22"/>
          <w:szCs w:val="22"/>
        </w:rPr>
        <w:t xml:space="preserve">Q3 FY2026 (Feb 2026): Revenue $17.2B (+22% YoY), cloud infrastructure revenue $4.9B (+84%), AI infrastructure revenue +243%, RPO $553B (+325%). Stock down ~50% from Sept 2025 peak. Stargate/OpenAI deal stalling. $108B debt load. Negative FCF of -$13.1B.</w:t>
      </w:r>
    </w:p>
    <w:p>
      <w:pPr>
        <w:spacing w:after="80"/>
      </w:pPr>
    </w:p>
    <w:p>
      <w:pPr>
        <w:pStyle w:val="Heading2"/>
        <w:spacing w:after="160" w:before="280"/>
      </w:pPr>
      <w:r>
        <w:rPr>
          <w:rFonts w:ascii="Arial" w:cs="Arial" w:eastAsia="Arial" w:hAnsi="Arial"/>
          <w:b/>
          <w:bCs/>
          <w:sz w:val="28"/>
          <w:szCs w:val="28"/>
        </w:rPr>
        <w:t xml:space="preserve">SECTION 1: THE 10-MOAT ASSESSMENT</w:t>
      </w:r>
    </w:p>
    <w:p>
      <w:pPr>
        <w:pStyle w:val="Heading3"/>
        <w:spacing w:after="120" w:before="200"/>
      </w:pPr>
      <w:r>
        <w:rPr>
          <w:rFonts w:ascii="Arial" w:cs="Arial" w:eastAsia="Arial" w:hAnsi="Arial"/>
          <w:b/>
          <w:bCs/>
          <w:sz w:val="24"/>
          <w:szCs w:val="24"/>
        </w:rPr>
        <w:t xml:space="preserve">MOAT 1: LEARNED INTERFACE</w:t>
      </w:r>
    </w:p>
    <w:p>
      <w:pPr>
        <w:spacing w:after="80"/>
      </w:pPr>
      <w:r>
        <w:rPr>
          <w:rFonts w:ascii="Arial" w:cs="Arial" w:eastAsia="Arial" w:hAnsi="Arial"/>
          <w:b/>
          <w:bCs/>
          <w:sz w:val="22"/>
          <w:szCs w:val="22"/>
        </w:rPr>
        <w:t xml:space="preserve">Status: </w:t>
      </w:r>
      <w:r>
        <w:rPr>
          <w:rFonts w:ascii="Arial" w:cs="Arial" w:eastAsia="Arial" w:hAnsi="Arial"/>
          <w:sz w:val="22"/>
          <w:szCs w:val="22"/>
        </w:rPr>
        <w:t xml:space="preserve">Partially Eroded</w:t>
      </w:r>
    </w:p>
    <w:p>
      <w:pPr>
        <w:spacing w:after="120"/>
      </w:pPr>
      <w:r>
        <w:rPr>
          <w:rFonts w:ascii="Arial" w:cs="Arial" w:eastAsia="Arial" w:hAnsi="Arial"/>
          <w:sz w:val="22"/>
          <w:szCs w:val="22"/>
        </w:rPr>
        <w:t xml:space="preserve">Oracle’s learned interface moat is significant but bifurcated. On the database side, Oracle SQL, PL/SQL, and the proprietary administration tooling (Enterprise Manager, SQL Developer, RAC configuration) represent decades of DBA muscle memory. Enterprises employ certified Oracle DBAs whose skills are Oracle-specific. This is a real switching cost — but it is eroding as LLMs make SQL dialects interchangeable and cloud-native databases (Aurora, AlloyDB, CockroachDB) reduce DBA complexity.</w:t>
      </w:r>
    </w:p>
    <w:p>
      <w:pPr>
        <w:spacing w:after="120"/>
      </w:pPr>
      <w:r>
        <w:rPr>
          <w:rFonts w:ascii="Arial" w:cs="Arial" w:eastAsia="Arial" w:hAnsi="Arial"/>
          <w:sz w:val="22"/>
          <w:szCs w:val="22"/>
        </w:rPr>
        <w:t xml:space="preserve">On the SaaS side (Fusion ERP/HCM), the interface learning curve is moderate. Oracle Fusion is complex but not uniquely so — SAP, Workday, and others have comparable learning requirements. Oracle has launched AI assistants within Fusion but these do not yet fundamentally replace the proprietary navigation.</w:t>
      </w:r>
    </w:p>
    <w:p>
      <w:pPr>
        <w:spacing w:after="80"/>
      </w:pPr>
      <w:r>
        <w:rPr>
          <w:rFonts w:ascii="Arial" w:cs="Arial" w:eastAsia="Arial" w:hAnsi="Arial"/>
          <w:b/>
          <w:bCs/>
          <w:sz w:val="22"/>
          <w:szCs w:val="22"/>
        </w:rPr>
        <w:t xml:space="preserve">Switching cost remaining after interface erosion: </w:t>
      </w:r>
      <w:r>
        <w:rPr>
          <w:rFonts w:ascii="Arial" w:cs="Arial" w:eastAsia="Arial" w:hAnsi="Arial"/>
          <w:sz w:val="22"/>
          <w:szCs w:val="22"/>
        </w:rPr>
        <w:t xml:space="preserve">Moderate for database (DBA retraining), Low for SaaS applications (generic ERP complexity, not Oracle-specific).</w:t>
      </w:r>
    </w:p>
    <w:p>
      <w:pPr>
        <w:pStyle w:val="Heading3"/>
        <w:spacing w:after="120" w:before="200"/>
      </w:pPr>
      <w:r>
        <w:rPr>
          <w:rFonts w:ascii="Arial" w:cs="Arial" w:eastAsia="Arial" w:hAnsi="Arial"/>
          <w:b/>
          <w:bCs/>
          <w:sz w:val="24"/>
          <w:szCs w:val="24"/>
        </w:rPr>
        <w:t xml:space="preserve">MOAT 2: CUSTOM WORKFLOWS AND BUSINESS LOGIC</w:t>
      </w:r>
    </w:p>
    <w:p>
      <w:pPr>
        <w:spacing w:after="80"/>
      </w:pPr>
      <w:r>
        <w:rPr>
          <w:rFonts w:ascii="Arial" w:cs="Arial" w:eastAsia="Arial" w:hAnsi="Arial"/>
          <w:b/>
          <w:bCs/>
          <w:sz w:val="22"/>
          <w:szCs w:val="22"/>
        </w:rPr>
        <w:t xml:space="preserve">Status: </w:t>
      </w:r>
      <w:r>
        <w:rPr>
          <w:rFonts w:ascii="Arial" w:cs="Arial" w:eastAsia="Arial" w:hAnsi="Arial"/>
          <w:sz w:val="22"/>
          <w:szCs w:val="22"/>
        </w:rPr>
        <w:t xml:space="preserve">Partially Eroded</w:t>
      </w:r>
    </w:p>
    <w:p>
      <w:pPr>
        <w:spacing w:after="120"/>
      </w:pPr>
      <w:r>
        <w:rPr>
          <w:rFonts w:ascii="Arial" w:cs="Arial" w:eastAsia="Arial" w:hAnsi="Arial"/>
          <w:sz w:val="22"/>
          <w:szCs w:val="22"/>
        </w:rPr>
        <w:t xml:space="preserve">Oracle’s core value is split. The database business is infrastructure, not workflow. Fusion Cloud Applications encode significant business logic for finance, procurement, HR, and supply chain — but this is generic enterprise workflow, not vertical-specific. SAP, Workday, and Microsoft Dynamics encode comparable logic.</w:t>
      </w:r>
    </w:p>
    <w:p>
      <w:pPr>
        <w:spacing w:after="120"/>
      </w:pPr>
      <w:r>
        <w:rPr>
          <w:rFonts w:ascii="Arial" w:cs="Arial" w:eastAsia="Arial" w:hAnsi="Arial"/>
          <w:sz w:val="22"/>
          <w:szCs w:val="22"/>
        </w:rPr>
        <w:t xml:space="preserve">Oracle Health (Cerner) has more defensible clinical workflows, but the Cerner integration has been troubled and the next-gen EHR is still rolling out. AI-native competitors have not yet replicated complex ERP workflows at enterprise scale, but the threat is emerging in point solutions (Ramp for expense, Rippling for HR/IT).</w:t>
      </w:r>
    </w:p>
    <w:p>
      <w:pPr>
        <w:spacing w:after="80"/>
      </w:pPr>
      <w:r>
        <w:rPr>
          <w:rFonts w:ascii="Arial" w:cs="Arial" w:eastAsia="Arial" w:hAnsi="Arial"/>
          <w:b/>
          <w:bCs/>
          <w:sz w:val="22"/>
          <w:szCs w:val="22"/>
        </w:rPr>
        <w:t xml:space="preserve">Workflow advantage remaining: </w:t>
      </w:r>
      <w:r>
        <w:rPr>
          <w:rFonts w:ascii="Arial" w:cs="Arial" w:eastAsia="Arial" w:hAnsi="Arial"/>
          <w:sz w:val="22"/>
          <w:szCs w:val="22"/>
        </w:rPr>
        <w:t xml:space="preserve">Moderate — enterprise ERP complexity is a barrier, but not a proprietary one.</w:t>
      </w:r>
    </w:p>
    <w:p>
      <w:pPr>
        <w:pStyle w:val="Heading3"/>
        <w:spacing w:after="120" w:before="200"/>
      </w:pPr>
      <w:r>
        <w:rPr>
          <w:rFonts w:ascii="Arial" w:cs="Arial" w:eastAsia="Arial" w:hAnsi="Arial"/>
          <w:b/>
          <w:bCs/>
          <w:sz w:val="24"/>
          <w:szCs w:val="24"/>
        </w:rPr>
        <w:t xml:space="preserve">MOAT 3: PUBLIC DATA ACCESSIBILITY</w:t>
      </w:r>
    </w:p>
    <w:p>
      <w:pPr>
        <w:spacing w:after="80"/>
      </w:pPr>
      <w:r>
        <w:rPr>
          <w:rFonts w:ascii="Arial" w:cs="Arial" w:eastAsia="Arial" w:hAnsi="Arial"/>
          <w:b/>
          <w:bCs/>
          <w:sz w:val="22"/>
          <w:szCs w:val="22"/>
        </w:rPr>
        <w:t xml:space="preserve">Status: </w:t>
      </w:r>
      <w:r>
        <w:rPr>
          <w:rFonts w:ascii="Arial" w:cs="Arial" w:eastAsia="Arial" w:hAnsi="Arial"/>
          <w:sz w:val="22"/>
          <w:szCs w:val="22"/>
        </w:rPr>
        <w:t xml:space="preserve">Not Applicable (Mostly)</w:t>
      </w:r>
    </w:p>
    <w:p>
      <w:pPr>
        <w:spacing w:after="120"/>
      </w:pPr>
      <w:r>
        <w:rPr>
          <w:rFonts w:ascii="Arial" w:cs="Arial" w:eastAsia="Arial" w:hAnsi="Arial"/>
          <w:sz w:val="22"/>
          <w:szCs w:val="22"/>
        </w:rPr>
        <w:t xml:space="preserve">Oracle is not primarily a data access company. Its database product stores customer data; it does not sell access to public datasets. Oracle Health has clinical data assets, but these are private patient data, not public data. This moat category is largely irrelevant to Oracle’s core business model.</w:t>
      </w:r>
    </w:p>
    <w:p>
      <w:pPr>
        <w:spacing w:after="80"/>
      </w:pPr>
      <w:r>
        <w:rPr>
          <w:rFonts w:ascii="Arial" w:cs="Arial" w:eastAsia="Arial" w:hAnsi="Arial"/>
          <w:b/>
          <w:bCs/>
          <w:sz w:val="22"/>
          <w:szCs w:val="22"/>
        </w:rPr>
        <w:t xml:space="preserve">Data replicability: </w:t>
      </w:r>
      <w:r>
        <w:rPr>
          <w:rFonts w:ascii="Arial" w:cs="Arial" w:eastAsia="Arial" w:hAnsi="Arial"/>
          <w:sz w:val="22"/>
          <w:szCs w:val="22"/>
        </w:rPr>
        <w:t xml:space="preserve">N/A — Oracle sells infrastructure and applications, not data access.</w:t>
      </w:r>
    </w:p>
    <w:p>
      <w:pPr>
        <w:pStyle w:val="Heading3"/>
        <w:spacing w:after="120" w:before="200"/>
      </w:pPr>
      <w:r>
        <w:rPr>
          <w:rFonts w:ascii="Arial" w:cs="Arial" w:eastAsia="Arial" w:hAnsi="Arial"/>
          <w:b/>
          <w:bCs/>
          <w:sz w:val="24"/>
          <w:szCs w:val="24"/>
        </w:rPr>
        <w:t xml:space="preserve">MOAT 4: TALENT SCARCITY</w:t>
      </w:r>
    </w:p>
    <w:p>
      <w:pPr>
        <w:spacing w:after="80"/>
      </w:pPr>
      <w:r>
        <w:rPr>
          <w:rFonts w:ascii="Arial" w:cs="Arial" w:eastAsia="Arial" w:hAnsi="Arial"/>
          <w:b/>
          <w:bCs/>
          <w:sz w:val="22"/>
          <w:szCs w:val="22"/>
        </w:rPr>
        <w:t xml:space="preserve">Status: </w:t>
      </w:r>
      <w:r>
        <w:rPr>
          <w:rFonts w:ascii="Arial" w:cs="Arial" w:eastAsia="Arial" w:hAnsi="Arial"/>
          <w:sz w:val="22"/>
          <w:szCs w:val="22"/>
        </w:rPr>
        <w:t xml:space="preserve">Partially Inverted</w:t>
      </w:r>
    </w:p>
    <w:p>
      <w:pPr>
        <w:spacing w:after="120"/>
      </w:pPr>
      <w:r>
        <w:rPr>
          <w:rFonts w:ascii="Arial" w:cs="Arial" w:eastAsia="Arial" w:hAnsi="Arial"/>
          <w:sz w:val="22"/>
          <w:szCs w:val="22"/>
        </w:rPr>
        <w:t xml:space="preserve">The Oracle DBA talent pool was historically scarce and expensive — certified Oracle administrators commanded premium salaries. LLMs are partially inverting this: AI-assisted database management, auto-tuning, and cloud-managed services (including Oracle’s own Autonomous Database) reduce the need for specialized DBAs. However, at the infrastructure/cloud level, Oracle’s OCI competes for the same engineering talent as AWS, Azure, and GCP — no scarcity advantage.</w:t>
      </w:r>
    </w:p>
    <w:p>
      <w:pPr>
        <w:spacing w:after="120"/>
      </w:pPr>
      <w:r>
        <w:rPr>
          <w:rFonts w:ascii="Arial" w:cs="Arial" w:eastAsia="Arial" w:hAnsi="Arial"/>
          <w:sz w:val="22"/>
          <w:szCs w:val="22"/>
        </w:rPr>
        <w:t xml:space="preserve">AI-native competitors in the database space: CockroachDB, PlanetScale, Neon, Supabase, Turso — estimated 15-20+ credible entrants in the last 24 months targeting database workloads. In ERP/HCM: Rippling, Ramp, and others are attacking point solutions. In cloud infrastructure: CoreWeave, Lambda Labs, Together AI.</w:t>
      </w:r>
    </w:p>
    <w:p>
      <w:pPr>
        <w:spacing w:after="80"/>
      </w:pPr>
      <w:r>
        <w:rPr>
          <w:rFonts w:ascii="Arial" w:cs="Arial" w:eastAsia="Arial" w:hAnsi="Arial"/>
          <w:b/>
          <w:bCs/>
          <w:sz w:val="22"/>
          <w:szCs w:val="22"/>
        </w:rPr>
        <w:t xml:space="preserve">Competition count: </w:t>
      </w:r>
      <w:r>
        <w:rPr>
          <w:rFonts w:ascii="Arial" w:cs="Arial" w:eastAsia="Arial" w:hAnsi="Arial"/>
          <w:sz w:val="22"/>
          <w:szCs w:val="22"/>
        </w:rPr>
        <w:t xml:space="preserve">~20+ across database, ERP point solutions, and cloud infrastructure verticals.</w:t>
      </w:r>
    </w:p>
    <w:p>
      <w:pPr>
        <w:pStyle w:val="Heading3"/>
        <w:spacing w:after="120" w:before="200"/>
      </w:pPr>
      <w:r>
        <w:rPr>
          <w:rFonts w:ascii="Arial" w:cs="Arial" w:eastAsia="Arial" w:hAnsi="Arial"/>
          <w:b/>
          <w:bCs/>
          <w:sz w:val="24"/>
          <w:szCs w:val="24"/>
        </w:rPr>
        <w:t xml:space="preserve">MOAT 5: BUNDLING</w:t>
      </w:r>
    </w:p>
    <w:p>
      <w:pPr>
        <w:spacing w:after="80"/>
      </w:pPr>
      <w:r>
        <w:rPr>
          <w:rFonts w:ascii="Arial" w:cs="Arial" w:eastAsia="Arial" w:hAnsi="Arial"/>
          <w:b/>
          <w:bCs/>
          <w:sz w:val="22"/>
          <w:szCs w:val="22"/>
        </w:rPr>
        <w:t xml:space="preserve">Status: </w:t>
      </w:r>
      <w:r>
        <w:rPr>
          <w:rFonts w:ascii="Arial" w:cs="Arial" w:eastAsia="Arial" w:hAnsi="Arial"/>
          <w:sz w:val="22"/>
          <w:szCs w:val="22"/>
        </w:rPr>
        <w:t xml:space="preserve">Intact but Weakening</w:t>
      </w:r>
    </w:p>
    <w:p>
      <w:pPr>
        <w:spacing w:after="120"/>
      </w:pPr>
      <w:r>
        <w:rPr>
          <w:rFonts w:ascii="Arial" w:cs="Arial" w:eastAsia="Arial" w:hAnsi="Arial"/>
          <w:sz w:val="22"/>
          <w:szCs w:val="22"/>
        </w:rPr>
        <w:t xml:space="preserve">Oracle’s bundling strategy is one of its strongest moats. The company bundles database, middleware, ERP, HCM, SCM, analytics, and now cloud infrastructure into integrated suites with volume discounts tied to maintaining all components. Oracle’s standard 3-year SaaS contracts with bundled discounts create contractual lock-in — dropping one module can increase pricing on remaining modules.</w:t>
      </w:r>
    </w:p>
    <w:p>
      <w:pPr>
        <w:spacing w:after="120"/>
      </w:pPr>
      <w:r>
        <w:rPr>
          <w:rFonts w:ascii="Arial" w:cs="Arial" w:eastAsia="Arial" w:hAnsi="Arial"/>
          <w:sz w:val="22"/>
          <w:szCs w:val="22"/>
        </w:rPr>
        <w:t xml:space="preserve">However, AI agents are beginning to enable cherry-picking of best-of-breed solutions. Customers can use Rippling for HR, Ramp for expenses, and Snowflake for analytics while keeping Oracle for core financials. The bundle is weakening at the edges but the core ERP+database integration remains sticky.</w:t>
      </w:r>
    </w:p>
    <w:p>
      <w:pPr>
        <w:spacing w:after="80"/>
      </w:pPr>
      <w:r>
        <w:rPr>
          <w:rFonts w:ascii="Arial" w:cs="Arial" w:eastAsia="Arial" w:hAnsi="Arial"/>
          <w:b/>
          <w:bCs/>
          <w:sz w:val="22"/>
          <w:szCs w:val="22"/>
        </w:rPr>
        <w:t xml:space="preserve">Bundle vulnerability: </w:t>
      </w:r>
      <w:r>
        <w:rPr>
          <w:rFonts w:ascii="Arial" w:cs="Arial" w:eastAsia="Arial" w:hAnsi="Arial"/>
          <w:sz w:val="22"/>
          <w:szCs w:val="22"/>
        </w:rPr>
        <w:t xml:space="preserve">Non-core modules (analytics, procurement, talent management) most exposed. Core financials + database bundle relatively protected.</w:t>
      </w:r>
    </w:p>
    <w:p>
      <w:pPr>
        <w:pStyle w:val="Heading3"/>
        <w:spacing w:after="120" w:before="200"/>
      </w:pPr>
      <w:r>
        <w:rPr>
          <w:rFonts w:ascii="Arial" w:cs="Arial" w:eastAsia="Arial" w:hAnsi="Arial"/>
          <w:b/>
          <w:bCs/>
          <w:sz w:val="24"/>
          <w:szCs w:val="24"/>
        </w:rPr>
        <w:t xml:space="preserve">MOAT 6: PROPRIETARY AND PRIVATE DATA</w:t>
      </w:r>
    </w:p>
    <w:p>
      <w:pPr>
        <w:spacing w:after="80"/>
      </w:pPr>
      <w:r>
        <w:rPr>
          <w:rFonts w:ascii="Arial" w:cs="Arial" w:eastAsia="Arial" w:hAnsi="Arial"/>
          <w:b/>
          <w:bCs/>
          <w:sz w:val="22"/>
          <w:szCs w:val="22"/>
        </w:rPr>
        <w:t xml:space="preserve">Status: </w:t>
      </w:r>
      <w:r>
        <w:rPr>
          <w:rFonts w:ascii="Arial" w:cs="Arial" w:eastAsia="Arial" w:hAnsi="Arial"/>
          <w:sz w:val="22"/>
          <w:szCs w:val="22"/>
        </w:rPr>
        <w:t xml:space="preserve">Strengthening (for OCI) / Moderate (for Applications)</w:t>
      </w:r>
    </w:p>
    <w:p>
      <w:pPr>
        <w:spacing w:after="120"/>
      </w:pPr>
      <w:r>
        <w:rPr>
          <w:rFonts w:ascii="Arial" w:cs="Arial" w:eastAsia="Arial" w:hAnsi="Arial"/>
          <w:sz w:val="22"/>
          <w:szCs w:val="22"/>
        </w:rPr>
        <w:t xml:space="preserve">Oracle’s proprietary data moat is nuanced. Oracle does not own its customers’ data, but it does have: (1) Decades of database optimization telemetry and performance data that inform Autonomous Database tuning. (2) Oracle Health’s clinical data network spanning ~500 hospitals (Cerner installed base). (3) OCI GPU cluster performance data from training runs for OpenAI, Meta, and others — operational knowledge of running the largest AI training clusters.</w:t>
      </w:r>
    </w:p>
    <w:p>
      <w:pPr>
        <w:spacing w:after="120"/>
      </w:pPr>
      <w:r>
        <w:rPr>
          <w:rFonts w:ascii="Arial" w:cs="Arial" w:eastAsia="Arial" w:hAnsi="Arial"/>
          <w:sz w:val="22"/>
          <w:szCs w:val="22"/>
        </w:rPr>
        <w:t xml:space="preserve">Bustamante test: Can this data be obtained elsewhere? The database telemetry is partially replicable (AWS, Azure have their own). The clinical data network is genuinely hard to replicate but Epic dominates with 38%+ market share vs. Cerner’s shrinking share. The OCI operational data is valuable but ephemeral — hyperscaler operational knowledge is not a permanent moat.</w:t>
      </w:r>
    </w:p>
    <w:p>
      <w:pPr>
        <w:spacing w:after="80"/>
      </w:pPr>
      <w:r>
        <w:rPr>
          <w:rFonts w:ascii="Arial" w:cs="Arial" w:eastAsia="Arial" w:hAnsi="Arial"/>
          <w:b/>
          <w:bCs/>
          <w:sz w:val="22"/>
          <w:szCs w:val="22"/>
        </w:rPr>
        <w:t xml:space="preserve">Aggregation theory risk: </w:t>
      </w:r>
      <w:r>
        <w:rPr>
          <w:rFonts w:ascii="Arial" w:cs="Arial" w:eastAsia="Arial" w:hAnsi="Arial"/>
          <w:sz w:val="22"/>
          <w:szCs w:val="22"/>
        </w:rPr>
        <w:t xml:space="preserve">Medium — OCI risks becoming a commodity GPU supplier to AI labs, with OpenAI/Meta owning the customer relationship.</w:t>
      </w:r>
    </w:p>
    <w:p>
      <w:pPr>
        <w:pStyle w:val="Heading3"/>
        <w:spacing w:after="120" w:before="200"/>
      </w:pPr>
      <w:r>
        <w:rPr>
          <w:rFonts w:ascii="Arial" w:cs="Arial" w:eastAsia="Arial" w:hAnsi="Arial"/>
          <w:b/>
          <w:bCs/>
          <w:sz w:val="24"/>
          <w:szCs w:val="24"/>
        </w:rPr>
        <w:t xml:space="preserve">MOAT 7: REGULATORY AND COMPLIANCE LOCK-IN</w:t>
      </w:r>
    </w:p>
    <w:p>
      <w:pPr>
        <w:spacing w:after="80"/>
      </w:pPr>
      <w:r>
        <w:rPr>
          <w:rFonts w:ascii="Arial" w:cs="Arial" w:eastAsia="Arial" w:hAnsi="Arial"/>
          <w:b/>
          <w:bCs/>
          <w:sz w:val="22"/>
          <w:szCs w:val="22"/>
        </w:rPr>
        <w:t xml:space="preserve">Status: </w:t>
      </w:r>
      <w:r>
        <w:rPr>
          <w:rFonts w:ascii="Arial" w:cs="Arial" w:eastAsia="Arial" w:hAnsi="Arial"/>
          <w:sz w:val="22"/>
          <w:szCs w:val="22"/>
        </w:rPr>
        <w:t xml:space="preserve">Structural (Partial)</w:t>
      </w:r>
    </w:p>
    <w:p>
      <w:pPr>
        <w:spacing w:after="120"/>
      </w:pPr>
      <w:r>
        <w:rPr>
          <w:rFonts w:ascii="Arial" w:cs="Arial" w:eastAsia="Arial" w:hAnsi="Arial"/>
          <w:sz w:val="22"/>
          <w:szCs w:val="22"/>
        </w:rPr>
        <w:t xml:space="preserve">Oracle holds FedRAMP High authorization, IL5 PATO (DoD), HIPAA, SOC 1/2/3, PCI-DSS, and ISO 27001/27017/27018 certifications. Oracle’s Sovereign AI (Alloy) platform allows nations to operate independent cloud regions with data residency compliance — a genuine regulatory moat that competitors struggle to replicate at the same granularity.</w:t>
      </w:r>
    </w:p>
    <w:p>
      <w:pPr>
        <w:spacing w:after="120"/>
      </w:pPr>
      <w:r>
        <w:rPr>
          <w:rFonts w:ascii="Arial" w:cs="Arial" w:eastAsia="Arial" w:hAnsi="Arial"/>
          <w:sz w:val="22"/>
          <w:szCs w:val="22"/>
        </w:rPr>
        <w:t xml:space="preserve">Oracle Health operates in FDA-adjacent environments (clinical trial systems, EHR) but Oracle’s software itself is not FDA-cleared as a medical device. The regulatory lock-in is real for government cloud and healthcare data hosting, but it protects the infrastructure layer, not the application layer.</w:t>
      </w:r>
    </w:p>
    <w:p>
      <w:pPr>
        <w:spacing w:after="80"/>
      </w:pPr>
      <w:r>
        <w:rPr>
          <w:rFonts w:ascii="Arial" w:cs="Arial" w:eastAsia="Arial" w:hAnsi="Arial"/>
          <w:b/>
          <w:bCs/>
          <w:sz w:val="22"/>
          <w:szCs w:val="22"/>
        </w:rPr>
        <w:t xml:space="preserve">Honest assessment: </w:t>
      </w:r>
      <w:r>
        <w:rPr>
          <w:rFonts w:ascii="Arial" w:cs="Arial" w:eastAsia="Arial" w:hAnsi="Arial"/>
          <w:sz w:val="22"/>
          <w:szCs w:val="22"/>
        </w:rPr>
        <w:t xml:space="preserve">Regulation protects Oracle’s infrastructure business (OCI Gov, Sovereign AI) meaningfully. It partially protects Oracle Health. It does NOT protect Oracle’s commercial SaaS applications from AI disruption.</w:t>
      </w:r>
    </w:p>
    <w:p>
      <w:pPr>
        <w:pStyle w:val="Heading3"/>
        <w:spacing w:after="120" w:before="200"/>
      </w:pPr>
      <w:r>
        <w:rPr>
          <w:rFonts w:ascii="Arial" w:cs="Arial" w:eastAsia="Arial" w:hAnsi="Arial"/>
          <w:b/>
          <w:bCs/>
          <w:sz w:val="24"/>
          <w:szCs w:val="24"/>
        </w:rPr>
        <w:t xml:space="preserve">MOAT 8: NETWORK EFFECTS</w:t>
      </w:r>
    </w:p>
    <w:p>
      <w:pPr>
        <w:spacing w:after="80"/>
      </w:pPr>
      <w:r>
        <w:rPr>
          <w:rFonts w:ascii="Arial" w:cs="Arial" w:eastAsia="Arial" w:hAnsi="Arial"/>
          <w:b/>
          <w:bCs/>
          <w:sz w:val="22"/>
          <w:szCs w:val="22"/>
        </w:rPr>
        <w:t xml:space="preserve">Status: </w:t>
      </w:r>
      <w:r>
        <w:rPr>
          <w:rFonts w:ascii="Arial" w:cs="Arial" w:eastAsia="Arial" w:hAnsi="Arial"/>
          <w:sz w:val="22"/>
          <w:szCs w:val="22"/>
        </w:rPr>
        <w:t xml:space="preserve">Mischaracterized Scale Effect</w:t>
      </w:r>
    </w:p>
    <w:p>
      <w:pPr>
        <w:spacing w:after="120"/>
      </w:pPr>
      <w:r>
        <w:rPr>
          <w:rFonts w:ascii="Arial" w:cs="Arial" w:eastAsia="Arial" w:hAnsi="Arial"/>
          <w:sz w:val="22"/>
          <w:szCs w:val="22"/>
        </w:rPr>
        <w:t xml:space="preserve">Oracle does not have genuine network effects. A customer’s value from Oracle does not increase because other customers use Oracle. What Oracle has is a scale effect: more customers = more R&amp;D investment = better products (in theory). The Oracle partner ecosystem (SIs, ISVs, consultants) creates ecosystem stickiness but this is a switching cost, not a network effect.</w:t>
      </w:r>
    </w:p>
    <w:p>
      <w:pPr>
        <w:spacing w:after="120"/>
      </w:pPr>
      <w:r>
        <w:rPr>
          <w:rFonts w:ascii="Arial" w:cs="Arial" w:eastAsia="Arial" w:hAnsi="Arial"/>
          <w:sz w:val="22"/>
          <w:szCs w:val="22"/>
        </w:rPr>
        <w:t xml:space="preserve">Oracle Health’s clinical data exchange has weak network effects (more hospitals on the network = better data exchange), but this is a narrow feature, not a platform-level network effect. Epic’s Care Everywhere network is significantly stronger.</w:t>
      </w:r>
    </w:p>
    <w:p>
      <w:pPr>
        <w:spacing w:after="80"/>
      </w:pPr>
      <w:r>
        <w:rPr>
          <w:rFonts w:ascii="Arial" w:cs="Arial" w:eastAsia="Arial" w:hAnsi="Arial"/>
          <w:b/>
          <w:bCs/>
          <w:sz w:val="22"/>
          <w:szCs w:val="22"/>
        </w:rPr>
        <w:t xml:space="preserve">Network effect type: </w:t>
      </w:r>
      <w:r>
        <w:rPr>
          <w:rFonts w:ascii="Arial" w:cs="Arial" w:eastAsia="Arial" w:hAnsi="Arial"/>
          <w:sz w:val="22"/>
          <w:szCs w:val="22"/>
        </w:rPr>
        <w:t xml:space="preserve">None at platform level. Weak data exchange network in Oracle Health.</w:t>
      </w:r>
    </w:p>
    <w:p>
      <w:pPr>
        <w:pStyle w:val="Heading3"/>
        <w:spacing w:after="120" w:before="200"/>
      </w:pPr>
      <w:r>
        <w:rPr>
          <w:rFonts w:ascii="Arial" w:cs="Arial" w:eastAsia="Arial" w:hAnsi="Arial"/>
          <w:b/>
          <w:bCs/>
          <w:sz w:val="24"/>
          <w:szCs w:val="24"/>
        </w:rPr>
        <w:t xml:space="preserve">MOAT 9: TRANSACTION EMBEDDING</w:t>
      </w:r>
    </w:p>
    <w:p>
      <w:pPr>
        <w:spacing w:after="80"/>
      </w:pPr>
      <w:r>
        <w:rPr>
          <w:rFonts w:ascii="Arial" w:cs="Arial" w:eastAsia="Arial" w:hAnsi="Arial"/>
          <w:b/>
          <w:bCs/>
          <w:sz w:val="22"/>
          <w:szCs w:val="22"/>
        </w:rPr>
        <w:t xml:space="preserve">Status: </w:t>
      </w:r>
      <w:r>
        <w:rPr>
          <w:rFonts w:ascii="Arial" w:cs="Arial" w:eastAsia="Arial" w:hAnsi="Arial"/>
          <w:sz w:val="22"/>
          <w:szCs w:val="22"/>
        </w:rPr>
        <w:t xml:space="preserve">Deeply Embedded (Database + ERP) / Partially Embedded (Health)</w:t>
      </w:r>
    </w:p>
    <w:p>
      <w:pPr>
        <w:spacing w:after="120"/>
      </w:pPr>
      <w:r>
        <w:rPr>
          <w:rFonts w:ascii="Arial" w:cs="Arial" w:eastAsia="Arial" w:hAnsi="Arial"/>
          <w:sz w:val="22"/>
          <w:szCs w:val="22"/>
        </w:rPr>
        <w:t xml:space="preserve">This is Oracle’s strongest moat. Oracle databases sit at the core of transaction processing for major banks, telcos, airlines, and retailers. Oracle Financials processes accounts payable, accounts receivable, general ledger entries, and intercompany transactions. Oracle Health processes clinical orders, revenue cycle management, and claims. Turning off Oracle Database in a major bank would immediately halt operations.</w:t>
      </w:r>
    </w:p>
    <w:p>
      <w:pPr>
        <w:spacing w:after="120"/>
      </w:pPr>
      <w:r>
        <w:rPr>
          <w:rFonts w:ascii="Arial" w:cs="Arial" w:eastAsia="Arial" w:hAnsi="Arial"/>
          <w:sz w:val="22"/>
          <w:szCs w:val="22"/>
        </w:rPr>
        <w:t xml:space="preserve">The critical distinction: Oracle’s database and core ERP financials are in the transaction flow. Oracle’s analytics, HCM, and most cloud applications sit around the transaction, not in it. The deeply embedded portion represents roughly 40-50% of Oracle’s total revenue (database license/support + core financials).</w:t>
      </w:r>
    </w:p>
    <w:p>
      <w:pPr>
        <w:spacing w:after="80"/>
      </w:pPr>
      <w:r>
        <w:rPr>
          <w:rFonts w:ascii="Arial" w:cs="Arial" w:eastAsia="Arial" w:hAnsi="Arial"/>
          <w:b/>
          <w:bCs/>
          <w:sz w:val="22"/>
          <w:szCs w:val="22"/>
        </w:rPr>
        <w:t xml:space="preserve">Transaction types processed: </w:t>
      </w:r>
      <w:r>
        <w:rPr>
          <w:rFonts w:ascii="Arial" w:cs="Arial" w:eastAsia="Arial" w:hAnsi="Arial"/>
          <w:sz w:val="22"/>
          <w:szCs w:val="22"/>
        </w:rPr>
        <w:t xml:space="preserve">Financial ledger entries, payment processing, clinical orders, supply chain transactions, core banking operations.</w:t>
      </w:r>
    </w:p>
    <w:p>
      <w:pPr>
        <w:pStyle w:val="Heading3"/>
        <w:spacing w:after="120" w:before="200"/>
      </w:pPr>
      <w:r>
        <w:rPr>
          <w:rFonts w:ascii="Arial" w:cs="Arial" w:eastAsia="Arial" w:hAnsi="Arial"/>
          <w:b/>
          <w:bCs/>
          <w:sz w:val="24"/>
          <w:szCs w:val="24"/>
        </w:rPr>
        <w:t xml:space="preserve">MOAT 10: SYSTEM-OF-RECORD STATUS</w:t>
      </w:r>
    </w:p>
    <w:p>
      <w:pPr>
        <w:spacing w:after="80"/>
      </w:pPr>
      <w:r>
        <w:rPr>
          <w:rFonts w:ascii="Arial" w:cs="Arial" w:eastAsia="Arial" w:hAnsi="Arial"/>
          <w:b/>
          <w:bCs/>
          <w:sz w:val="22"/>
          <w:szCs w:val="22"/>
        </w:rPr>
        <w:t xml:space="preserve">Status: </w:t>
      </w:r>
      <w:r>
        <w:rPr>
          <w:rFonts w:ascii="Arial" w:cs="Arial" w:eastAsia="Arial" w:hAnsi="Arial"/>
          <w:sz w:val="22"/>
          <w:szCs w:val="22"/>
        </w:rPr>
        <w:t xml:space="preserve">Strong (Database + ERP) / Partial (Health)</w:t>
      </w:r>
    </w:p>
    <w:p>
      <w:pPr>
        <w:spacing w:after="120"/>
      </w:pPr>
      <w:r>
        <w:rPr>
          <w:rFonts w:ascii="Arial" w:cs="Arial" w:eastAsia="Arial" w:hAnsi="Arial"/>
          <w:sz w:val="22"/>
          <w:szCs w:val="22"/>
        </w:rPr>
        <w:t xml:space="preserve">Oracle Database is the canonical system of record for financial data, clinical records, and operational data in thousands of enterprises. Oracle Fusion ERP is the financial system of record. Data migration risk is extreme: corrupted financial records during migration = regulatory violation, audit failure, or operational collapse.</w:t>
      </w:r>
    </w:p>
    <w:p>
      <w:pPr>
        <w:spacing w:after="120"/>
      </w:pPr>
      <w:r>
        <w:rPr>
          <w:rFonts w:ascii="Arial" w:cs="Arial" w:eastAsia="Arial" w:hAnsi="Arial"/>
          <w:sz w:val="22"/>
          <w:szCs w:val="22"/>
        </w:rPr>
        <w:t xml:space="preserve">Long-term agent memory risk is moderate. AI agents are building contextual memory across systems, but replacing a financial system of record requires 100% data fidelity with audit trails — probabilistic AI outputs are inadequate for this purpose for at least 5-10 years.</w:t>
      </w:r>
    </w:p>
    <w:p>
      <w:pPr>
        <w:spacing w:after="80"/>
      </w:pPr>
      <w:r>
        <w:rPr>
          <w:rFonts w:ascii="Arial" w:cs="Arial" w:eastAsia="Arial" w:hAnsi="Arial"/>
          <w:b/>
          <w:bCs/>
          <w:sz w:val="22"/>
          <w:szCs w:val="22"/>
        </w:rPr>
        <w:t xml:space="preserve">Long-term agent memory risk: </w:t>
      </w:r>
      <w:r>
        <w:rPr>
          <w:rFonts w:ascii="Arial" w:cs="Arial" w:eastAsia="Arial" w:hAnsi="Arial"/>
          <w:sz w:val="22"/>
          <w:szCs w:val="22"/>
        </w:rPr>
        <w:t xml:space="preserve">Medium (7-10 year horizon for any credible threat to financial system-of-record status).</w:t>
      </w:r>
    </w:p>
    <w:p>
      <w:r>
        <w:br w:type="page"/>
      </w:r>
    </w:p>
    <w:p>
      <w:pPr>
        <w:pStyle w:val="Heading2"/>
        <w:spacing w:after="160" w:before="280"/>
      </w:pPr>
      <w:r>
        <w:rPr>
          <w:rFonts w:ascii="Arial" w:cs="Arial" w:eastAsia="Arial" w:hAnsi="Arial"/>
          <w:b/>
          <w:bCs/>
          <w:sz w:val="28"/>
          <w:szCs w:val="28"/>
        </w:rPr>
        <w:t xml:space="preserve">SECTION 2: MDI SCORE AND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c>
          <w:tcPr>
            <w:tcW w:type="dxa" w:w="4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Moat</w:t>
            </w:r>
          </w:p>
        </w:tc>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Has It?</w:t>
            </w:r>
          </w:p>
        </w:tc>
        <w:tc>
          <w:tcPr>
            <w:tcW w:type="dxa" w:w="3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4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6. Proprietary Data</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Partial</w:t>
            </w:r>
          </w:p>
        </w:tc>
        <w:tc>
          <w:tcPr>
            <w:tcW w:type="dxa" w:w="3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Moderate — not truly exclusive</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 Regulatory Lock-in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Structural (infrastructure layer)</w:t>
            </w:r>
          </w:p>
        </w:tc>
      </w:tr>
      <w:tr>
        <w:tc>
          <w:tcPr>
            <w:tcW w:type="dxa" w:w="4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8. Network Effects</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No</w:t>
            </w:r>
          </w:p>
        </w:tc>
        <w:tc>
          <w:tcPr>
            <w:tcW w:type="dxa" w:w="3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Mischaracterized scale effect</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 Transaction Embedding</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Deeply Embedded (DB + core ERP)</w:t>
            </w:r>
          </w:p>
        </w:tc>
      </w:tr>
      <w:tr>
        <w:tc>
          <w:tcPr>
            <w:tcW w:type="dxa" w:w="4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 System of Record</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Yes</w:t>
            </w:r>
          </w:p>
        </w:tc>
        <w:tc>
          <w:tcPr>
            <w:tcW w:type="dxa" w:w="3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Strong (DB + ERP financials)</w:t>
            </w:r>
          </w:p>
        </w:tc>
      </w:tr>
    </w:tbl>
    <w:p>
      <w:pPr>
        <w:spacing w:after="80"/>
      </w:pPr>
    </w:p>
    <w:p>
      <w:pPr>
        <w:spacing w:after="80"/>
      </w:pPr>
      <w:r>
        <w:rPr>
          <w:rFonts w:ascii="Arial" w:cs="Arial" w:eastAsia="Arial" w:hAnsi="Arial"/>
          <w:b/>
          <w:bCs/>
          <w:sz w:val="22"/>
          <w:szCs w:val="22"/>
        </w:rPr>
        <w:t xml:space="preserve">Number of intact/strengthening moats: </w:t>
      </w:r>
      <w:r>
        <w:rPr>
          <w:rFonts w:ascii="Arial" w:cs="Arial" w:eastAsia="Arial" w:hAnsi="Arial"/>
          <w:sz w:val="22"/>
          <w:szCs w:val="22"/>
        </w:rPr>
        <w:t xml:space="preserve">3 of 5 (Regulatory, Transaction Embedding, System of Record)</w:t>
      </w:r>
    </w:p>
    <w:p>
      <w:pPr>
        <w:spacing w:after="80"/>
      </w:pPr>
    </w:p>
    <w:p>
      <w:pPr>
        <w:spacing w:after="120"/>
      </w:pPr>
      <w:r>
        <w:rPr>
          <w:rFonts w:ascii="Arial" w:cs="Arial" w:eastAsia="Arial" w:hAnsi="Arial"/>
          <w:sz w:val="22"/>
          <w:szCs w:val="22"/>
        </w:rPr>
        <w:t xml:space="preserve">Moats being actively destroyed (1-5): Learned Interface (partially eroded), Custom Workflows (partially eroded), Talent Scarcity (partially inverted), Bundling (weakening at edges).</w:t>
      </w:r>
    </w:p>
    <w:p>
      <w:pPr>
        <w:spacing w:after="80"/>
      </w:pPr>
    </w:p>
    <w:p>
      <w:pPr>
        <w:spacing w:after="80"/>
      </w:pPr>
      <w:r>
        <w:rPr>
          <w:rFonts w:ascii="Arial" w:cs="Arial" w:eastAsia="Arial" w:hAnsi="Arial"/>
          <w:b/>
          <w:bCs/>
          <w:sz w:val="22"/>
          <w:szCs w:val="22"/>
        </w:rPr>
        <w:t xml:space="preserve">MDI Score: </w:t>
      </w:r>
      <w:r>
        <w:rPr>
          <w:rFonts w:ascii="Arial" w:cs="Arial" w:eastAsia="Arial" w:hAnsi="Arial"/>
          <w:sz w:val="22"/>
          <w:szCs w:val="22"/>
        </w:rPr>
        <w:t xml:space="preserve">3 / 5 intact moats</w:t>
      </w:r>
    </w:p>
    <w:p>
      <w:pPr>
        <w:spacing w:after="80"/>
      </w:pPr>
      <w:r>
        <w:rPr>
          <w:rFonts w:ascii="Arial" w:cs="Arial" w:eastAsia="Arial" w:hAnsi="Arial"/>
          <w:b/>
          <w:bCs/>
          <w:sz w:val="22"/>
          <w:szCs w:val="22"/>
        </w:rPr>
        <w:t xml:space="preserve">MDI Classification: </w:t>
      </w:r>
      <w:r>
        <w:rPr>
          <w:rFonts w:ascii="Arial" w:cs="Arial" w:eastAsia="Arial" w:hAnsi="Arial"/>
          <w:sz w:val="22"/>
          <w:szCs w:val="22"/>
        </w:rPr>
        <w:t xml:space="preserve">MEDIUM RISK — mixed portfolio with structural moats present in infrastructure but exposed in applications</w:t>
      </w:r>
    </w:p>
    <w:p>
      <w:pPr>
        <w:pStyle w:val="Heading2"/>
        <w:spacing w:after="160" w:before="280"/>
      </w:pPr>
      <w:r>
        <w:rPr>
          <w:rFonts w:ascii="Arial" w:cs="Arial" w:eastAsia="Arial" w:hAnsi="Arial"/>
          <w:b/>
          <w:bCs/>
          <w:sz w:val="28"/>
          <w:szCs w:val="28"/>
        </w:rPr>
        <w:t xml:space="preserve">SECTION 3: BUSTAMANTE THREE-QUESTION TEST</w:t>
      </w:r>
    </w:p>
    <w:p>
      <w:pPr>
        <w:spacing w:after="80"/>
      </w:pPr>
      <w:r>
        <w:rPr>
          <w:rFonts w:ascii="Arial" w:cs="Arial" w:eastAsia="Arial" w:hAnsi="Arial"/>
          <w:b/>
          <w:bCs/>
          <w:sz w:val="22"/>
          <w:szCs w:val="22"/>
        </w:rPr>
        <w:t xml:space="preserve">Q1: Is the core data proprietary? </w:t>
      </w:r>
      <w:r>
        <w:rPr>
          <w:rFonts w:ascii="Arial" w:cs="Arial" w:eastAsia="Arial" w:hAnsi="Arial"/>
          <w:sz w:val="22"/>
          <w:szCs w:val="22"/>
        </w:rPr>
        <w:t xml:space="preserve">PARTIAL — Oracle stores customer data but doesn’t own it. Database optimization telemetry is partially replicable. Clinical data network exists but is shrinking vs. Epic.</w:t>
      </w:r>
    </w:p>
    <w:p>
      <w:pPr>
        <w:spacing w:after="80"/>
      </w:pPr>
      <w:r>
        <w:rPr>
          <w:rFonts w:ascii="Arial" w:cs="Arial" w:eastAsia="Arial" w:hAnsi="Arial"/>
          <w:b/>
          <w:bCs/>
          <w:sz w:val="22"/>
          <w:szCs w:val="22"/>
        </w:rPr>
        <w:t xml:space="preserve">Q2: Is there regulatory lock-in? </w:t>
      </w:r>
      <w:r>
        <w:rPr>
          <w:rFonts w:ascii="Arial" w:cs="Arial" w:eastAsia="Arial" w:hAnsi="Arial"/>
          <w:sz w:val="22"/>
          <w:szCs w:val="22"/>
        </w:rPr>
        <w:t xml:space="preserve">YES — FedRAMP High, IL5, HIPAA, Sovereign AI. Regulation genuinely protects the infrastructure layer.</w:t>
      </w:r>
    </w:p>
    <w:p>
      <w:pPr>
        <w:spacing w:after="80"/>
      </w:pPr>
      <w:r>
        <w:rPr>
          <w:rFonts w:ascii="Arial" w:cs="Arial" w:eastAsia="Arial" w:hAnsi="Arial"/>
          <w:b/>
          <w:bCs/>
          <w:sz w:val="22"/>
          <w:szCs w:val="22"/>
        </w:rPr>
        <w:t xml:space="preserve">Q3: Is the software embedded in the transaction? </w:t>
      </w:r>
      <w:r>
        <w:rPr>
          <w:rFonts w:ascii="Arial" w:cs="Arial" w:eastAsia="Arial" w:hAnsi="Arial"/>
          <w:sz w:val="22"/>
          <w:szCs w:val="22"/>
        </w:rPr>
        <w:t xml:space="preserve">YES — Oracle Database and core ERP Financials are deeply embedded in financial transaction flows for thousands of enterprises.</w:t>
      </w:r>
    </w:p>
    <w:p>
      <w:pPr>
        <w:spacing w:after="80"/>
      </w:pPr>
      <w:r>
        <w:rPr>
          <w:rFonts w:ascii="Arial" w:cs="Arial" w:eastAsia="Arial" w:hAnsi="Arial"/>
          <w:b/>
          <w:bCs/>
          <w:sz w:val="22"/>
          <w:szCs w:val="22"/>
        </w:rPr>
        <w:t xml:space="preserve">Three-Question Score: </w:t>
      </w:r>
      <w:r>
        <w:rPr>
          <w:rFonts w:ascii="Arial" w:cs="Arial" w:eastAsia="Arial" w:hAnsi="Arial"/>
          <w:sz w:val="22"/>
          <w:szCs w:val="22"/>
        </w:rPr>
        <w:t xml:space="preserve">2 / 3 → Lower Risk</w:t>
      </w:r>
    </w:p>
    <w:p>
      <w:pPr>
        <w:pStyle w:val="Heading2"/>
        <w:spacing w:after="160" w:before="280"/>
      </w:pPr>
      <w:r>
        <w:rPr>
          <w:rFonts w:ascii="Arial" w:cs="Arial" w:eastAsia="Arial" w:hAnsi="Arial"/>
          <w:b/>
          <w:bCs/>
          <w:sz w:val="28"/>
          <w:szCs w:val="28"/>
        </w:rPr>
        <w:t xml:space="preserve">SECTION 4: COMPETITIVE PRESSURE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1800"/>
        <w:gridCol w:w="3220"/>
      </w:tblGrid>
      <w:tr>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Competitor</w:t>
            </w:r>
          </w:p>
        </w:tc>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Vertical</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Threat Level</w:t>
            </w:r>
          </w:p>
        </w:tc>
        <w:tc>
          <w:tcPr>
            <w:tcW w:type="dxa" w:w="32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Pricing vs. Oracle</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AWS Aurora/RDS</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Database</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High</w:t>
            </w:r>
          </w:p>
        </w:tc>
        <w:tc>
          <w:tcPr>
            <w:tcW w:type="dxa" w:w="32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50-70% cheaper</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CockroachDB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3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~60% cheaper</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Snowflake</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Data/Analytics</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High</w:t>
            </w:r>
          </w:p>
        </w:tc>
        <w:tc>
          <w:tcPr>
            <w:tcW w:type="dxa" w:w="32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Consumption-based</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CoreWeave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Cloud GPU/AI</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High</w:t>
            </w:r>
          </w:p>
        </w:tc>
        <w:tc>
          <w:tcPr>
            <w:tcW w:type="dxa" w:w="3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Competitive</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Workday</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HCM/Finance</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High</w:t>
            </w:r>
          </w:p>
        </w:tc>
        <w:tc>
          <w:tcPr>
            <w:tcW w:type="dxa" w:w="32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Comparable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SAP S/4HANA</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ERP</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High</w:t>
            </w:r>
          </w:p>
        </w:tc>
        <w:tc>
          <w:tcPr>
            <w:tcW w:type="dxa" w:w="3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Comparable</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Epic Systems</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Health EHR</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High</w:t>
            </w:r>
          </w:p>
        </w:tc>
        <w:tc>
          <w:tcPr>
            <w:tcW w:type="dxa" w:w="32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Dominant incumbent</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Rippling</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HR/IT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3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~70% cheaper</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MongoDB/PostgreSQL</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Database</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Medium-High</w:t>
            </w:r>
          </w:p>
        </w:tc>
        <w:tc>
          <w:tcPr>
            <w:tcW w:type="dxa" w:w="32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Open source/free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Lambda Labs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Cloud GPU</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3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Competitive</w:t>
            </w:r>
          </w:p>
        </w:tc>
      </w:tr>
    </w:tbl>
    <w:p>
      <w:pPr>
        <w:spacing w:after="80"/>
      </w:pPr>
    </w:p>
    <w:p>
      <w:pPr>
        <w:spacing w:after="80"/>
      </w:pPr>
      <w:r>
        <w:rPr>
          <w:rFonts w:ascii="Arial" w:cs="Arial" w:eastAsia="Arial" w:hAnsi="Arial"/>
          <w:b/>
          <w:bCs/>
          <w:sz w:val="22"/>
          <w:szCs w:val="22"/>
        </w:rPr>
        <w:t xml:space="preserve">Estimated credible entrants (24 months): </w:t>
      </w:r>
      <w:r>
        <w:rPr>
          <w:rFonts w:ascii="Arial" w:cs="Arial" w:eastAsia="Arial" w:hAnsi="Arial"/>
          <w:sz w:val="22"/>
          <w:szCs w:val="22"/>
        </w:rPr>
        <w:t xml:space="preserve">20+ across Oracle’s verticals</w:t>
      </w:r>
    </w:p>
    <w:p>
      <w:pPr>
        <w:spacing w:after="80"/>
      </w:pPr>
      <w:r>
        <w:rPr>
          <w:rFonts w:ascii="Arial" w:cs="Arial" w:eastAsia="Arial" w:hAnsi="Arial"/>
          <w:b/>
          <w:bCs/>
          <w:sz w:val="22"/>
          <w:szCs w:val="22"/>
        </w:rPr>
        <w:t xml:space="preserve">Current disruption stage: </w:t>
      </w:r>
      <w:r>
        <w:rPr>
          <w:rFonts w:ascii="Arial" w:cs="Arial" w:eastAsia="Arial" w:hAnsi="Arial"/>
          <w:sz w:val="22"/>
          <w:szCs w:val="22"/>
        </w:rPr>
        <w:t xml:space="preserve">Mid to Late — pricing pressure building in database and cloud; ERP core more protected</w:t>
      </w:r>
    </w:p>
    <w:p>
      <w:pPr>
        <w:spacing w:after="80"/>
      </w:pPr>
    </w:p>
    <w:p>
      <w:pPr>
        <w:spacing w:after="80"/>
      </w:pPr>
      <w:r>
        <w:rPr>
          <w:rFonts w:ascii="Arial" w:cs="Arial" w:eastAsia="Arial" w:hAnsi="Arial"/>
          <w:b/>
          <w:bCs/>
          <w:sz w:val="22"/>
          <w:szCs w:val="22"/>
        </w:rPr>
        <w:t xml:space="preserve">Horizontal platform threat: </w:t>
      </w:r>
      <w:r>
        <w:rPr>
          <w:rFonts w:ascii="Arial" w:cs="Arial" w:eastAsia="Arial" w:hAnsi="Arial"/>
          <w:sz w:val="22"/>
          <w:szCs w:val="22"/>
        </w:rPr>
        <w:t xml:space="preserve">HIGH — Microsoft Copilot + Dynamics 365, Google Workspace AI, Salesforce Agentforce all targeting Oracle’s application layer. AWS/Azure directly competing for database and cloud infrastructure workloads.</w:t>
      </w:r>
    </w:p>
    <w:p>
      <w:pPr>
        <w:pStyle w:val="Heading2"/>
        <w:spacing w:after="160" w:before="280"/>
      </w:pPr>
      <w:r>
        <w:rPr>
          <w:rFonts w:ascii="Arial" w:cs="Arial" w:eastAsia="Arial" w:hAnsi="Arial"/>
          <w:b/>
          <w:bCs/>
          <w:sz w:val="28"/>
          <w:szCs w:val="28"/>
        </w:rPr>
        <w:t xml:space="preserve">SECTION 5: PRE-SCREEN SUMMARY</w:t>
      </w:r>
    </w:p>
    <w:p>
      <w:pPr>
        <w:spacing w:after="80"/>
      </w:pPr>
      <w:r>
        <w:rPr>
          <w:rFonts w:ascii="Arial" w:cs="Arial" w:eastAsia="Arial" w:hAnsi="Arial"/>
          <w:b/>
          <w:bCs/>
          <w:sz w:val="22"/>
          <w:szCs w:val="22"/>
        </w:rPr>
        <w:t xml:space="preserve">MDI Score: </w:t>
      </w:r>
      <w:r>
        <w:rPr>
          <w:rFonts w:ascii="Arial" w:cs="Arial" w:eastAsia="Arial" w:hAnsi="Arial"/>
          <w:sz w:val="22"/>
          <w:szCs w:val="22"/>
        </w:rPr>
        <w:t xml:space="preserve">3 / 5 intact moats → MEDIUM RISK</w:t>
      </w:r>
    </w:p>
    <w:p>
      <w:pPr>
        <w:spacing w:after="80"/>
      </w:pPr>
      <w:r>
        <w:rPr>
          <w:rFonts w:ascii="Arial" w:cs="Arial" w:eastAsia="Arial" w:hAnsi="Arial"/>
          <w:b/>
          <w:bCs/>
          <w:sz w:val="22"/>
          <w:szCs w:val="22"/>
        </w:rPr>
        <w:t xml:space="preserve">Three-Question Score: </w:t>
      </w:r>
      <w:r>
        <w:rPr>
          <w:rFonts w:ascii="Arial" w:cs="Arial" w:eastAsia="Arial" w:hAnsi="Arial"/>
          <w:sz w:val="22"/>
          <w:szCs w:val="22"/>
        </w:rPr>
        <w:t xml:space="preserve">2 / 3 → Lower Risk</w:t>
      </w:r>
    </w:p>
    <w:p>
      <w:pPr>
        <w:spacing w:after="80"/>
      </w:pPr>
      <w:r>
        <w:rPr>
          <w:rFonts w:ascii="Arial" w:cs="Arial" w:eastAsia="Arial" w:hAnsi="Arial"/>
          <w:b/>
          <w:bCs/>
          <w:sz w:val="22"/>
          <w:szCs w:val="22"/>
        </w:rPr>
        <w:t xml:space="preserve">Competition Count (24mo): </w:t>
      </w:r>
      <w:r>
        <w:rPr>
          <w:rFonts w:ascii="Arial" w:cs="Arial" w:eastAsia="Arial" w:hAnsi="Arial"/>
          <w:sz w:val="22"/>
          <w:szCs w:val="22"/>
        </w:rPr>
        <w:t xml:space="preserve">20+ entrants → Mid-Late Disruption Stage</w:t>
      </w:r>
    </w:p>
    <w:p>
      <w:pPr>
        <w:spacing w:after="80"/>
      </w:pPr>
      <w:r>
        <w:rPr>
          <w:rFonts w:ascii="Arial" w:cs="Arial" w:eastAsia="Arial" w:hAnsi="Arial"/>
          <w:b/>
          <w:bCs/>
          <w:sz w:val="22"/>
          <w:szCs w:val="22"/>
        </w:rPr>
        <w:t xml:space="preserve">Horizontal Platform Threat: </w:t>
      </w:r>
      <w:r>
        <w:rPr>
          <w:rFonts w:ascii="Arial" w:cs="Arial" w:eastAsia="Arial" w:hAnsi="Arial"/>
          <w:sz w:val="22"/>
          <w:szCs w:val="22"/>
        </w:rPr>
        <w:t xml:space="preserve">HIGH</w:t>
      </w:r>
    </w:p>
    <w:p>
      <w:pPr>
        <w:spacing w:after="80"/>
      </w:pPr>
    </w:p>
    <w:p>
      <w:pPr>
        <w:spacing w:after="80"/>
      </w:pPr>
      <w:r>
        <w:rPr>
          <w:rFonts w:ascii="Arial" w:cs="Arial" w:eastAsia="Arial" w:hAnsi="Arial"/>
          <w:b/>
          <w:bCs/>
          <w:sz w:val="22"/>
          <w:szCs w:val="22"/>
        </w:rPr>
        <w:t xml:space="preserve">CRITICAL FINDING: </w:t>
      </w:r>
      <w:r>
        <w:rPr>
          <w:rFonts w:ascii="Arial" w:cs="Arial" w:eastAsia="Arial" w:hAnsi="Arial"/>
          <w:sz w:val="22"/>
          <w:szCs w:val="22"/>
        </w:rPr>
        <w:t xml:space="preserve">Oracle is a tale of two companies. The infrastructure layer (Oracle Database + OCI + Sovereign AI) has genuine structural moats: transaction embedding, system-of-record status, and regulatory lock-in. The application layer (Fusion SaaS, HCM, analytics) is exposed to AI disruption with eroding interface and workflow moats. The critical new risk is the massive debt-funded bet on AI infrastructure ($108B debt, negative $13.1B FCF) with dangerous customer concentration on OpenAI.</w:t>
      </w:r>
    </w:p>
    <w:p>
      <w:pPr>
        <w:spacing w:after="80"/>
      </w:pPr>
    </w:p>
    <w:p>
      <w:pPr>
        <w:spacing w:after="80"/>
      </w:pPr>
      <w:r>
        <w:rPr>
          <w:rFonts w:ascii="Arial" w:cs="Arial" w:eastAsia="Arial" w:hAnsi="Arial"/>
          <w:b/>
          <w:bCs/>
          <w:sz w:val="22"/>
          <w:szCs w:val="22"/>
        </w:rPr>
        <w:t xml:space="preserve">MOATS BEING DESTROYED: </w:t>
      </w:r>
      <w:r>
        <w:rPr>
          <w:rFonts w:ascii="Arial" w:cs="Arial" w:eastAsia="Arial" w:hAnsi="Arial"/>
          <w:sz w:val="22"/>
          <w:szCs w:val="22"/>
        </w:rPr>
        <w:t xml:space="preserve">Learned Interface (~15% of historical switching cost), Custom Workflows (~20%), Talent Scarcity (~10%), Bundling (~15% and weakening). Combined: ~60% of historical switching cost is under pressure.</w:t>
      </w:r>
    </w:p>
    <w:p>
      <w:pPr>
        <w:spacing w:after="80"/>
      </w:pPr>
      <w:r>
        <w:rPr>
          <w:rFonts w:ascii="Arial" w:cs="Arial" w:eastAsia="Arial" w:hAnsi="Arial"/>
          <w:b/>
          <w:bCs/>
          <w:sz w:val="22"/>
          <w:szCs w:val="22"/>
        </w:rPr>
        <w:t xml:space="preserve">MOATS HOLDING: </w:t>
      </w:r>
      <w:r>
        <w:rPr>
          <w:rFonts w:ascii="Arial" w:cs="Arial" w:eastAsia="Arial" w:hAnsi="Arial"/>
          <w:sz w:val="22"/>
          <w:szCs w:val="22"/>
        </w:rPr>
        <w:t xml:space="preserve">Transaction Embedding (strongest — Oracle DB in core banking/enterprise transaction flows cannot be replaced by LLMs), System of Record (financial data fidelity requirements), Regulatory Lock-in (FedRAMP, Sovereign AI).</w:t>
      </w:r>
    </w:p>
    <w:p>
      <w:pPr>
        <w:spacing w:after="80"/>
      </w:pPr>
    </w:p>
    <w:p>
      <w:pPr>
        <w:spacing w:after="80"/>
      </w:pPr>
      <w:r>
        <w:rPr>
          <w:rFonts w:ascii="Arial" w:cs="Arial" w:eastAsia="Arial" w:hAnsi="Arial"/>
          <w:b/>
          <w:bCs/>
          <w:sz w:val="22"/>
          <w:szCs w:val="22"/>
        </w:rPr>
        <w:t xml:space="preserve">RED FLAGS FOR STAGE 2: </w:t>
      </w:r>
      <w:r>
        <w:rPr>
          <w:rFonts w:ascii="Arial" w:cs="Arial" w:eastAsia="Arial" w:hAnsi="Arial"/>
          <w:sz w:val="22"/>
          <w:szCs w:val="22"/>
        </w:rPr>
        <w:t xml:space="preserve">(1) OpenAI customer concentration — majority of $553B RPO tied to one unprofitable customer. (2) $108B debt with negative FCF — financial fragility during an AI bet. (3) Stargate deal stalling/cancelled. (4) Stock down 50% from peak — market already pricing in risk. (5) Margin compression from 77% gross margin (software) toward 49% projected (infrastructure-heavy mix shift).</w:t>
      </w:r>
    </w:p>
    <w:p>
      <w:pPr>
        <w:spacing w:after="80"/>
      </w:pPr>
    </w:p>
    <w:p>
      <w:pPr>
        <w:spacing w:after="80"/>
      </w:pPr>
      <w:r>
        <w:rPr>
          <w:rFonts w:ascii="Arial" w:cs="Arial" w:eastAsia="Arial" w:hAnsi="Arial"/>
          <w:b/>
          <w:bCs/>
          <w:sz w:val="22"/>
          <w:szCs w:val="22"/>
        </w:rPr>
        <w:t xml:space="preserve">Pre-Screen Verdict: </w:t>
      </w:r>
      <w:r>
        <w:rPr>
          <w:rFonts w:ascii="Arial" w:cs="Arial" w:eastAsia="Arial" w:hAnsi="Arial"/>
          <w:sz w:val="22"/>
          <w:szCs w:val="22"/>
        </w:rPr>
        <w:t xml:space="preserve">Proceed to Stage 2 with MEDIUM confidence — structural moats present in infrastructure but financial risk profile and customer concentration are severe. MDI 3/5 and Three-Question 2/3 suggest defensibility exists but is narrower than headline metrics suggest.</w:t>
      </w:r>
    </w:p>
    <w:p>
      <w:r>
        <w:br w:type="page"/>
      </w:r>
    </w:p>
    <w:p>
      <w:pPr>
        <w:pStyle w:val="Heading1"/>
        <w:spacing w:after="200" w:before="360"/>
      </w:pPr>
      <w:r>
        <w:rPr>
          <w:rFonts w:ascii="Arial" w:cs="Arial" w:eastAsia="Arial" w:hAnsi="Arial"/>
          <w:b/>
          <w:bCs/>
          <w:sz w:val="32"/>
          <w:szCs w:val="32"/>
        </w:rPr>
        <w:t xml:space="preserve">STAGE 2: SaaS ANTIFRAGILITY ASSESSMENT</w:t>
      </w:r>
    </w:p>
    <w:p>
      <w:pPr>
        <w:pStyle w:val="Heading2"/>
        <w:spacing w:after="160" w:before="280"/>
      </w:pPr>
      <w:r>
        <w:rPr>
          <w:rFonts w:ascii="Arial" w:cs="Arial" w:eastAsia="Arial" w:hAnsi="Arial"/>
          <w:b/>
          <w:bCs/>
          <w:sz w:val="28"/>
          <w:szCs w:val="28"/>
        </w:rPr>
        <w:t xml:space="preserve">STEP 0: PRE-SCREEN ACKNOWLEDGMENT</w:t>
      </w:r>
    </w:p>
    <w:p>
      <w:pPr>
        <w:spacing w:after="80"/>
      </w:pPr>
      <w:r>
        <w:rPr>
          <w:rFonts w:ascii="Arial" w:cs="Arial" w:eastAsia="Arial" w:hAnsi="Arial"/>
          <w:b/>
          <w:bCs/>
          <w:sz w:val="22"/>
          <w:szCs w:val="22"/>
        </w:rPr>
        <w:t xml:space="preserve">MDI Score: </w:t>
      </w:r>
      <w:r>
        <w:rPr>
          <w:rFonts w:ascii="Arial" w:cs="Arial" w:eastAsia="Arial" w:hAnsi="Arial"/>
          <w:sz w:val="22"/>
          <w:szCs w:val="22"/>
        </w:rPr>
        <w:t xml:space="preserve">3 / 5 → MEDIUM RISK</w:t>
      </w:r>
    </w:p>
    <w:p>
      <w:pPr>
        <w:spacing w:after="80"/>
      </w:pPr>
      <w:r>
        <w:rPr>
          <w:rFonts w:ascii="Arial" w:cs="Arial" w:eastAsia="Arial" w:hAnsi="Arial"/>
          <w:b/>
          <w:bCs/>
          <w:sz w:val="22"/>
          <w:szCs w:val="22"/>
        </w:rPr>
        <w:t xml:space="preserve">Three-Question Score: </w:t>
      </w:r>
      <w:r>
        <w:rPr>
          <w:rFonts w:ascii="Arial" w:cs="Arial" w:eastAsia="Arial" w:hAnsi="Arial"/>
          <w:sz w:val="22"/>
          <w:szCs w:val="22"/>
        </w:rPr>
        <w:t xml:space="preserve">2 / 3 → Lower Risk</w:t>
      </w:r>
    </w:p>
    <w:p>
      <w:pPr>
        <w:spacing w:after="80"/>
      </w:pPr>
      <w:r>
        <w:rPr>
          <w:rFonts w:ascii="Arial" w:cs="Arial" w:eastAsia="Arial" w:hAnsi="Arial"/>
          <w:b/>
          <w:bCs/>
          <w:sz w:val="22"/>
          <w:szCs w:val="22"/>
        </w:rPr>
        <w:t xml:space="preserve">Disruption Stage: </w:t>
      </w:r>
      <w:r>
        <w:rPr>
          <w:rFonts w:ascii="Arial" w:cs="Arial" w:eastAsia="Arial" w:hAnsi="Arial"/>
          <w:sz w:val="22"/>
          <w:szCs w:val="22"/>
        </w:rPr>
        <w:t xml:space="preserve">Mid-Late</w:t>
      </w:r>
    </w:p>
    <w:p>
      <w:pPr>
        <w:spacing w:after="80"/>
      </w:pPr>
      <w:r>
        <w:rPr>
          <w:rFonts w:ascii="Arial" w:cs="Arial" w:eastAsia="Arial" w:hAnsi="Arial"/>
          <w:b/>
          <w:bCs/>
          <w:sz w:val="22"/>
          <w:szCs w:val="22"/>
        </w:rPr>
        <w:t xml:space="preserve">Horizontal Platform Threat: </w:t>
      </w:r>
      <w:r>
        <w:rPr>
          <w:rFonts w:ascii="Arial" w:cs="Arial" w:eastAsia="Arial" w:hAnsi="Arial"/>
          <w:sz w:val="22"/>
          <w:szCs w:val="22"/>
        </w:rPr>
        <w:t xml:space="preserve">HIGH</w:t>
      </w:r>
    </w:p>
    <w:p>
      <w:pPr>
        <w:spacing w:after="80"/>
      </w:pPr>
      <w:r>
        <w:rPr>
          <w:rFonts w:ascii="Arial" w:cs="Arial" w:eastAsia="Arial" w:hAnsi="Arial"/>
          <w:b/>
          <w:bCs/>
          <w:sz w:val="22"/>
          <w:szCs w:val="22"/>
        </w:rPr>
        <w:t xml:space="preserve">Critical Finding: </w:t>
      </w:r>
      <w:r>
        <w:rPr>
          <w:rFonts w:ascii="Arial" w:cs="Arial" w:eastAsia="Arial" w:hAnsi="Arial"/>
          <w:sz w:val="22"/>
          <w:szCs w:val="22"/>
        </w:rPr>
        <w:t xml:space="preserve">Bifurcated company — strong infrastructure moats, weak application moats, dangerous financial leverage</w:t>
      </w:r>
    </w:p>
    <w:p>
      <w:pPr>
        <w:spacing w:after="80"/>
      </w:pPr>
      <w:r>
        <w:rPr>
          <w:rFonts w:ascii="Arial" w:cs="Arial" w:eastAsia="Arial" w:hAnsi="Arial"/>
          <w:b/>
          <w:bCs/>
          <w:sz w:val="22"/>
          <w:szCs w:val="22"/>
        </w:rPr>
        <w:t xml:space="preserve">Red Flags: </w:t>
      </w:r>
      <w:r>
        <w:rPr>
          <w:rFonts w:ascii="Arial" w:cs="Arial" w:eastAsia="Arial" w:hAnsi="Arial"/>
          <w:sz w:val="22"/>
          <w:szCs w:val="22"/>
        </w:rPr>
        <w:t xml:space="preserve">OpenAI concentration, $108B debt, negative FCF, Stargate uncertainty, margin compression</w:t>
      </w:r>
    </w:p>
    <w:p>
      <w:pPr>
        <w:spacing w:after="80"/>
      </w:pPr>
      <w:r>
        <w:rPr>
          <w:rFonts w:ascii="Arial" w:cs="Arial" w:eastAsia="Arial" w:hAnsi="Arial"/>
          <w:b/>
          <w:bCs/>
          <w:sz w:val="22"/>
          <w:szCs w:val="22"/>
        </w:rPr>
        <w:t xml:space="preserve">Pre-Screen Verdict: </w:t>
      </w:r>
      <w:r>
        <w:rPr>
          <w:rFonts w:ascii="Arial" w:cs="Arial" w:eastAsia="Arial" w:hAnsi="Arial"/>
          <w:sz w:val="22"/>
          <w:szCs w:val="22"/>
        </w:rPr>
        <w:t xml:space="preserve">MEDIUM confidence</w:t>
      </w:r>
    </w:p>
    <w:p>
      <w:pPr>
        <w:spacing w:after="80"/>
      </w:pPr>
    </w:p>
    <w:p>
      <w:pPr>
        <w:spacing w:after="80"/>
      </w:pPr>
      <w:r>
        <w:rPr>
          <w:rFonts w:ascii="Arial" w:cs="Arial" w:eastAsia="Arial" w:hAnsi="Arial"/>
          <w:b/>
          <w:bCs/>
          <w:sz w:val="22"/>
          <w:szCs w:val="22"/>
        </w:rPr>
        <w:t xml:space="preserve">Stage 2 Starting Posture: </w:t>
      </w:r>
      <w:r>
        <w:rPr>
          <w:rFonts w:ascii="Arial" w:cs="Arial" w:eastAsia="Arial" w:hAnsi="Arial"/>
          <w:sz w:val="22"/>
          <w:szCs w:val="22"/>
        </w:rPr>
        <w:t xml:space="preserve">SKEPTICAL. Medium confidence pre-screen combined with severe financial risk flags requires evidence-based scoring. The structural moats in infrastructure are real but may be insufficient to offset the financial fragility of the AI buildout bet. Every dimension score must be justified with specific, sourced data.</w:t>
      </w:r>
    </w:p>
    <w:p>
      <w:pPr>
        <w:pStyle w:val="Heading2"/>
        <w:spacing w:after="160" w:before="280"/>
      </w:pPr>
      <w:r>
        <w:rPr>
          <w:rFonts w:ascii="Arial" w:cs="Arial" w:eastAsia="Arial" w:hAnsi="Arial"/>
          <w:b/>
          <w:bCs/>
          <w:sz w:val="28"/>
          <w:szCs w:val="28"/>
        </w:rPr>
        <w:t xml:space="preserve">STEP 1: RESEARCH REFRESH</w:t>
      </w:r>
    </w:p>
    <w:p>
      <w:pPr>
        <w:spacing w:after="120"/>
      </w:pPr>
      <w:r>
        <w:rPr>
          <w:rFonts w:ascii="Arial" w:cs="Arial" w:eastAsia="Arial" w:hAnsi="Arial"/>
          <w:sz w:val="22"/>
          <w:szCs w:val="22"/>
        </w:rPr>
        <w:t xml:space="preserve">Q3 FY2026 earnings (most recent, reported March 10, 2026): Total revenue $17.2B (+22% YoY). Cloud revenue $8.9B (+44%). Cloud infrastructure $4.9B (+84%). AI infrastructure revenue +243%. Cloud applications $4.0B (+13%). Non-GAAP EPS $1.79 (+21%). RPO $553B (+325%). FY2026 revenue guidance: ~$67B. FY2027 revenue guidance raised to $90B (above $86.6B consensus).</w:t>
      </w:r>
    </w:p>
    <w:p>
      <w:pPr>
        <w:spacing w:after="120"/>
      </w:pPr>
      <w:r>
        <w:rPr>
          <w:rFonts w:ascii="Arial" w:cs="Arial" w:eastAsia="Arial" w:hAnsi="Arial"/>
          <w:sz w:val="22"/>
          <w:szCs w:val="22"/>
        </w:rPr>
        <w:t xml:space="preserve">Capital structure: $108B total debt. Negative FCF -$13.1B. $50B CapEx planned for FY2026. Raised $30B in debt+convertible preferred in Feb 2026. Debt-to-equity ratio &gt;460%.</w:t>
      </w:r>
    </w:p>
    <w:p>
      <w:pPr>
        <w:spacing w:after="120"/>
      </w:pPr>
      <w:r>
        <w:rPr>
          <w:rFonts w:ascii="Arial" w:cs="Arial" w:eastAsia="Arial" w:hAnsi="Arial"/>
          <w:sz w:val="22"/>
          <w:szCs w:val="22"/>
        </w:rPr>
        <w:t xml:space="preserve">Stock: ~$161 post-Q3 earnings (March 11, 2026). Down ~50% from September 2025 peak of ~$198. Market cap ~$460B. Enterprise value ~$545B.</w:t>
      </w:r>
    </w:p>
    <w:p>
      <w:pPr>
        <w:spacing w:after="120"/>
      </w:pPr>
      <w:r>
        <w:rPr>
          <w:rFonts w:ascii="Arial" w:cs="Arial" w:eastAsia="Arial" w:hAnsi="Arial"/>
          <w:sz w:val="22"/>
          <w:szCs w:val="22"/>
        </w:rPr>
        <w:t xml:space="preserve">NRR: Oracle does not disclose a standard net revenue retention metric. Cloud services revenue growth of 44% YoY and license support stability suggest healthy retention, but without explicit NRR disclosure, this is inferred, not confirmed.</w:t>
      </w:r>
    </w:p>
    <w:p>
      <w:pPr>
        <w:pStyle w:val="Heading2"/>
        <w:spacing w:after="160" w:before="280"/>
      </w:pPr>
      <w:r>
        <w:rPr>
          <w:rFonts w:ascii="Arial" w:cs="Arial" w:eastAsia="Arial" w:hAnsi="Arial"/>
          <w:b/>
          <w:bCs/>
          <w:sz w:val="28"/>
          <w:szCs w:val="28"/>
        </w:rPr>
        <w:t xml:space="preserve">DIMENSION 1: LIABILITY SHIELD (Weight: 15%)</w:t>
      </w:r>
    </w:p>
    <w:p>
      <w:pPr>
        <w:spacing w:after="120"/>
      </w:pPr>
      <w:r>
        <w:rPr>
          <w:rFonts w:ascii="Arial" w:cs="Arial" w:eastAsia="Arial" w:hAnsi="Arial"/>
          <w:sz w:val="22"/>
          <w:szCs w:val="22"/>
        </w:rPr>
        <w:t xml:space="preserve">Pre-Screen Cross-Reference: Moat 7 (Regulatory Lock-in) rated Structural (Partial). Regulation genuinely protects the infrastructure layer but not the application layer.</w:t>
      </w:r>
    </w:p>
    <w:p>
      <w:pPr>
        <w:spacing w:after="80"/>
      </w:pPr>
    </w:p>
    <w:p>
      <w:pPr>
        <w:spacing w:after="120"/>
      </w:pPr>
      <w:r>
        <w:rPr>
          <w:rFonts w:ascii="Arial" w:cs="Arial" w:eastAsia="Arial" w:hAnsi="Arial"/>
          <w:sz w:val="22"/>
          <w:szCs w:val="22"/>
        </w:rPr>
        <w:t xml:space="preserve">Regulatory frameworks governing Oracle’s outputs: FedRAMP High (government cloud), IL5 PATO (DoD), HIPAA (healthcare data), SOC 1/2/3 (financial controls), PCI-DSS (payment card data), ISO 27001/27017/27018 (information security). Oracle Health operates in FDA-adjacent environments but Oracle’s software is not itself FDA-cleared as a medical device.</w:t>
      </w:r>
    </w:p>
    <w:p>
      <w:pPr>
        <w:spacing w:after="120"/>
      </w:pPr>
      <w:r>
        <w:rPr>
          <w:rFonts w:ascii="Arial" w:cs="Arial" w:eastAsia="Arial" w:hAnsi="Arial"/>
          <w:sz w:val="22"/>
          <w:szCs w:val="22"/>
        </w:rPr>
        <w:t xml:space="preserve">Contract liability: Oracle’s 10-K risk factors indicate standard enterprise software liability limitations. Oracle does not accept unlimited liability for output accuracy. However, customers in regulated industries (banking, healthcare, government) face enormous switching liability — not because of Oracle’s contract terms, but because of the regulatory risk of migrating financial or clinical data.</w:t>
      </w:r>
    </w:p>
    <w:p>
      <w:pPr>
        <w:spacing w:after="120"/>
      </w:pPr>
      <w:r>
        <w:rPr>
          <w:rFonts w:ascii="Arial" w:cs="Arial" w:eastAsia="Arial" w:hAnsi="Arial"/>
          <w:sz w:val="22"/>
          <w:szCs w:val="22"/>
        </w:rPr>
        <w:t xml:space="preserve">The liability shield is strongest where Oracle Database is the system of record for regulated data (financial ledgers, clinical records, government records). It is weakest for Oracle’s SaaS applications (HCM, analytics, procurement) where regulatory requirements attach to the data, not the application.</w:t>
      </w:r>
    </w:p>
    <w:p>
      <w:pPr>
        <w:spacing w:after="80"/>
      </w:pPr>
    </w:p>
    <w:p>
      <w:pPr>
        <w:spacing w:after="80"/>
      </w:pPr>
      <w:r>
        <w:rPr>
          <w:rFonts w:ascii="Arial" w:cs="Arial" w:eastAsia="Arial" w:hAnsi="Arial"/>
          <w:b/>
          <w:bCs/>
          <w:sz w:val="22"/>
          <w:szCs w:val="22"/>
        </w:rPr>
        <w:t xml:space="preserve">D1 Score: </w:t>
      </w:r>
      <w:r>
        <w:rPr>
          <w:rFonts w:ascii="Arial" w:cs="Arial" w:eastAsia="Arial" w:hAnsi="Arial"/>
          <w:sz w:val="22"/>
          <w:szCs w:val="22"/>
        </w:rPr>
        <w:t xml:space="preserve">6 / 10</w:t>
      </w:r>
    </w:p>
    <w:p>
      <w:pPr>
        <w:spacing w:after="80"/>
      </w:pPr>
      <w:r>
        <w:rPr>
          <w:rFonts w:ascii="Arial" w:cs="Arial" w:eastAsia="Arial" w:hAnsi="Arial"/>
          <w:b/>
          <w:bCs/>
          <w:sz w:val="22"/>
          <w:szCs w:val="22"/>
        </w:rPr>
        <w:t xml:space="preserve">Justification: </w:t>
      </w:r>
      <w:r>
        <w:rPr>
          <w:rFonts w:ascii="Arial" w:cs="Arial" w:eastAsia="Arial" w:hAnsi="Arial"/>
          <w:sz w:val="22"/>
          <w:szCs w:val="22"/>
        </w:rPr>
        <w:t xml:space="preserve">Genuine regulatory protection for infrastructure (OCI Gov, Sovereign AI, Oracle Health data hosting) and strong switching liability for regulated system-of-record workloads. Scored below 7 because the liability shield does not extend to Oracle’s growing SaaS application revenue, and Oracle’s software is not itself FDA-cleared.</w:t>
      </w:r>
    </w:p>
    <w:p>
      <w:r>
        <w:br w:type="page"/>
      </w:r>
    </w:p>
    <w:p>
      <w:pPr>
        <w:pStyle w:val="Heading2"/>
        <w:spacing w:after="160" w:before="280"/>
      </w:pPr>
      <w:r>
        <w:rPr>
          <w:rFonts w:ascii="Arial" w:cs="Arial" w:eastAsia="Arial" w:hAnsi="Arial"/>
          <w:b/>
          <w:bCs/>
          <w:sz w:val="28"/>
          <w:szCs w:val="28"/>
        </w:rPr>
        <w:t xml:space="preserve">DIMENSION 2: BUSINESS MODEL STRUCTURE (Weight: 30%)</w:t>
      </w:r>
    </w:p>
    <w:p>
      <w:pPr>
        <w:spacing w:after="120"/>
      </w:pPr>
      <w:r>
        <w:rPr>
          <w:rFonts w:ascii="Arial" w:cs="Arial" w:eastAsia="Arial" w:hAnsi="Arial"/>
          <w:sz w:val="22"/>
          <w:szCs w:val="22"/>
        </w:rPr>
        <w:t xml:space="preserve">Pre-Screen Cross-Reference: 20+ AI-native entrants across Oracle’s verticals. Mid-Late disruption stage. Pricing pressure building.</w:t>
      </w:r>
    </w:p>
    <w:p>
      <w:pPr>
        <w:spacing w:after="80"/>
      </w:pPr>
    </w:p>
    <w:p>
      <w:pPr>
        <w:spacing w:after="120"/>
      </w:pPr>
      <w:r>
        <w:rPr>
          <w:rFonts w:ascii="Arial" w:cs="Arial" w:eastAsia="Arial" w:hAnsi="Arial"/>
          <w:sz w:val="22"/>
          <w:szCs w:val="22"/>
        </w:rPr>
        <w:t xml:space="preserve">Revenue model breakdown (Q3 FY2026): Cloud services (subscription + consumption) = 52% of revenue and growing. License support (legacy recurring) = ~29% and declining as mix shifts. Cloud license + on-premise = ~12%. Hardware and services = ~7%.</w:t>
      </w:r>
    </w:p>
    <w:p>
      <w:pPr>
        <w:spacing w:after="120"/>
      </w:pPr>
      <w:r>
        <w:rPr>
          <w:rFonts w:ascii="Arial" w:cs="Arial" w:eastAsia="Arial" w:hAnsi="Arial"/>
          <w:sz w:val="22"/>
          <w:szCs w:val="22"/>
        </w:rPr>
        <w:t xml:space="preserve">Critical structural observation: Oracle’s revenue model is transitioning from seat-based licensing to a hybrid consumption/subscription model. OCI is consumption-based (pay per GPU-hour, compute-hour, storage-GB). Fusion SaaS remains seat-based ($625/user/month base). This is a mixed signal: the fastest-growing segment (OCI, +84%) is consumption-based and benefits from AI proliferation. The application segment (+13%) is seat-based and structurally exposed to AI agent headcount reduction.</w:t>
      </w:r>
    </w:p>
    <w:p>
      <w:pPr>
        <w:spacing w:after="120"/>
      </w:pPr>
      <w:r>
        <w:rPr>
          <w:rFonts w:ascii="Arial" w:cs="Arial" w:eastAsia="Arial" w:hAnsi="Arial"/>
          <w:sz w:val="22"/>
          <w:szCs w:val="22"/>
        </w:rPr>
        <w:t xml:space="preserve">Bustamante ‘3 to 300’ overlay: AWS, Azure, GCP, CoreWeave, Lambda Labs all offer 80%+ of OCI functionality. In database: PostgreSQL ecosystem, Snowflake, Databricks offer alternatives at lower cost. In ERP: SAP, Workday, Microsoft Dynamics offer comparable functionality. Oracle’s pricing power is under pressure from multiple directions simultaneously.</w:t>
      </w:r>
    </w:p>
    <w:p>
      <w:pPr>
        <w:spacing w:after="120"/>
      </w:pPr>
      <w:r>
        <w:rPr>
          <w:rFonts w:ascii="Arial" w:cs="Arial" w:eastAsia="Arial" w:hAnsi="Arial"/>
          <w:sz w:val="22"/>
          <w:szCs w:val="22"/>
        </w:rPr>
        <w:t xml:space="preserve">AI product ARR: Not separately disclosed. AI infrastructure revenue grew 243% in Q3 FY2026. Multicloud database services grew 531%. These are impressive growth rates but from relatively small bases, and the margin profile of GPU rental is significantly lower than software licensing.</w:t>
      </w:r>
    </w:p>
    <w:p>
      <w:pPr>
        <w:spacing w:after="80"/>
      </w:pPr>
    </w:p>
    <w:p>
      <w:pPr>
        <w:spacing w:after="80"/>
      </w:pPr>
      <w:r>
        <w:rPr>
          <w:rFonts w:ascii="Arial" w:cs="Arial" w:eastAsia="Arial" w:hAnsi="Arial"/>
          <w:b/>
          <w:bCs/>
          <w:sz w:val="22"/>
          <w:szCs w:val="22"/>
        </w:rPr>
        <w:t xml:space="preserve">D2 Score: </w:t>
      </w:r>
      <w:r>
        <w:rPr>
          <w:rFonts w:ascii="Arial" w:cs="Arial" w:eastAsia="Arial" w:hAnsi="Arial"/>
          <w:sz w:val="22"/>
          <w:szCs w:val="22"/>
        </w:rPr>
        <w:t xml:space="preserve">5 / 10</w:t>
      </w:r>
    </w:p>
    <w:p>
      <w:pPr>
        <w:spacing w:after="80"/>
      </w:pPr>
      <w:r>
        <w:rPr>
          <w:rFonts w:ascii="Arial" w:cs="Arial" w:eastAsia="Arial" w:hAnsi="Arial"/>
          <w:b/>
          <w:bCs/>
          <w:sz w:val="22"/>
          <w:szCs w:val="22"/>
        </w:rPr>
        <w:t xml:space="preserve">Justification: </w:t>
      </w:r>
      <w:r>
        <w:rPr>
          <w:rFonts w:ascii="Arial" w:cs="Arial" w:eastAsia="Arial" w:hAnsi="Arial"/>
          <w:sz w:val="22"/>
          <w:szCs w:val="22"/>
        </w:rPr>
        <w:t xml:space="preserve">OCI’s consumption model is structurally sound for AI growth, but the margin compression is severe (77% gross margin declining toward 49% projected). Fusion SaaS seat-based pricing is structurally exposed. No explicit NRR disclosure is a yellow flag. The 20+ competitor count and mid-late disruption stage apply downward pressure. Scored at 5 reflecting the genuine growth offset by dangerous margin compression and competitive intensity.</w:t>
      </w:r>
    </w:p>
    <w:p>
      <w:pPr>
        <w:spacing w:after="80"/>
      </w:pPr>
      <w:r>
        <w:rPr>
          <w:rFonts w:ascii="Arial" w:cs="Arial" w:eastAsia="Arial" w:hAnsi="Arial"/>
          <w:b/>
          <w:bCs/>
          <w:sz w:val="22"/>
          <w:szCs w:val="22"/>
        </w:rPr>
        <w:t xml:space="preserve">NRR cited: </w:t>
      </w:r>
      <w:r>
        <w:rPr>
          <w:rFonts w:ascii="Arial" w:cs="Arial" w:eastAsia="Arial" w:hAnsi="Arial"/>
          <w:sz w:val="22"/>
          <w:szCs w:val="22"/>
        </w:rPr>
        <w:t xml:space="preserve">Not disclosed by Oracle. Inferred healthy from 44% cloud revenue growth but unverified.</w:t>
      </w:r>
    </w:p>
    <w:p>
      <w:pPr>
        <w:spacing w:after="80"/>
      </w:pPr>
      <w:r>
        <w:rPr>
          <w:rFonts w:ascii="Arial" w:cs="Arial" w:eastAsia="Arial" w:hAnsi="Arial"/>
          <w:b/>
          <w:bCs/>
          <w:sz w:val="22"/>
          <w:szCs w:val="22"/>
        </w:rPr>
        <w:t xml:space="preserve">Competition count from pre-screen: </w:t>
      </w:r>
      <w:r>
        <w:rPr>
          <w:rFonts w:ascii="Arial" w:cs="Arial" w:eastAsia="Arial" w:hAnsi="Arial"/>
          <w:sz w:val="22"/>
          <w:szCs w:val="22"/>
        </w:rPr>
        <w:t xml:space="preserve">20+ across verticals</w:t>
      </w:r>
    </w:p>
    <w:p>
      <w:pPr>
        <w:pStyle w:val="Heading2"/>
        <w:spacing w:after="160" w:before="280"/>
      </w:pPr>
      <w:r>
        <w:rPr>
          <w:rFonts w:ascii="Arial" w:cs="Arial" w:eastAsia="Arial" w:hAnsi="Arial"/>
          <w:b/>
          <w:bCs/>
          <w:sz w:val="28"/>
          <w:szCs w:val="28"/>
        </w:rPr>
        <w:t xml:space="preserve">DIMENSION 3: PHYSICAL WORLD INTEGRATION (Weight: 15%)</w:t>
      </w:r>
    </w:p>
    <w:p>
      <w:pPr>
        <w:spacing w:after="120"/>
      </w:pPr>
      <w:r>
        <w:rPr>
          <w:rFonts w:ascii="Arial" w:cs="Arial" w:eastAsia="Arial" w:hAnsi="Arial"/>
          <w:sz w:val="22"/>
          <w:szCs w:val="22"/>
        </w:rPr>
        <w:t xml:space="preserve">Pre-Screen Cross-Reference: Moat 9 (Transaction Embedding) rated Deeply Embedded for Database + core ERP.</w:t>
      </w:r>
    </w:p>
    <w:p>
      <w:pPr>
        <w:spacing w:after="80"/>
      </w:pPr>
    </w:p>
    <w:p>
      <w:pPr>
        <w:spacing w:after="120"/>
      </w:pPr>
      <w:r>
        <w:rPr>
          <w:rFonts w:ascii="Arial" w:cs="Arial" w:eastAsia="Arial" w:hAnsi="Arial"/>
          <w:sz w:val="22"/>
          <w:szCs w:val="22"/>
        </w:rPr>
        <w:t xml:space="preserve">Oracle Database processes financial transactions for major banks (core banking systems), telcos (billing systems), airlines (reservation systems), and retailers (POS/inventory systems). Oracle ERP Financials processes AP, AR, GL, and intercompany settlement. Oracle Health processes clinical orders, revenue cycle management, and insurance claims.</w:t>
      </w:r>
    </w:p>
    <w:p>
      <w:pPr>
        <w:spacing w:after="120"/>
      </w:pPr>
      <w:r>
        <w:rPr>
          <w:rFonts w:ascii="Arial" w:cs="Arial" w:eastAsia="Arial" w:hAnsi="Arial"/>
          <w:sz w:val="22"/>
          <w:szCs w:val="22"/>
        </w:rPr>
        <w:t xml:space="preserve">What physically breaks if Oracle is turned off tomorrow: Banks cannot process transactions. Hospitals cannot access patient records. Airlines cannot book flights. Government agencies cannot process tax returns or benefits. This is genuine physical-world integration, not an information layer.</w:t>
      </w:r>
    </w:p>
    <w:p>
      <w:pPr>
        <w:spacing w:after="120"/>
      </w:pPr>
      <w:r>
        <w:rPr>
          <w:rFonts w:ascii="Arial" w:cs="Arial" w:eastAsia="Arial" w:hAnsi="Arial"/>
          <w:sz w:val="22"/>
          <w:szCs w:val="22"/>
        </w:rPr>
        <w:t xml:space="preserve">However, this applies primarily to Oracle Database and core ERP Financials. Oracle’s HCM, analytics, procurement, and many cloud applications are information layers that sit around the transaction. The physical integration is deep but covers roughly 40-50% of Oracle’s revenue, not the full portfolio.</w:t>
      </w:r>
    </w:p>
    <w:p>
      <w:pPr>
        <w:spacing w:after="80"/>
      </w:pPr>
    </w:p>
    <w:p>
      <w:pPr>
        <w:spacing w:after="80"/>
      </w:pPr>
      <w:r>
        <w:rPr>
          <w:rFonts w:ascii="Arial" w:cs="Arial" w:eastAsia="Arial" w:hAnsi="Arial"/>
          <w:b/>
          <w:bCs/>
          <w:sz w:val="22"/>
          <w:szCs w:val="22"/>
        </w:rPr>
        <w:t xml:space="preserve">D3 Score: </w:t>
      </w:r>
      <w:r>
        <w:rPr>
          <w:rFonts w:ascii="Arial" w:cs="Arial" w:eastAsia="Arial" w:hAnsi="Arial"/>
          <w:sz w:val="22"/>
          <w:szCs w:val="22"/>
        </w:rPr>
        <w:t xml:space="preserve">7 / 10</w:t>
      </w:r>
    </w:p>
    <w:p>
      <w:pPr>
        <w:spacing w:after="80"/>
      </w:pPr>
      <w:r>
        <w:rPr>
          <w:rFonts w:ascii="Arial" w:cs="Arial" w:eastAsia="Arial" w:hAnsi="Arial"/>
          <w:b/>
          <w:bCs/>
          <w:sz w:val="22"/>
          <w:szCs w:val="22"/>
        </w:rPr>
        <w:t xml:space="preserve">Justification: </w:t>
      </w:r>
      <w:r>
        <w:rPr>
          <w:rFonts w:ascii="Arial" w:cs="Arial" w:eastAsia="Arial" w:hAnsi="Arial"/>
          <w:sz w:val="22"/>
          <w:szCs w:val="22"/>
        </w:rPr>
        <w:t xml:space="preserve">Oracle Database’s transaction embedding in core banking, healthcare, and enterprise finance is among the deepest in enterprise software. Scored below 8 because physical integration applies to the legacy database/ERP core, not the high-growth cloud applications segment. The revenue mix is shifting toward cloud infrastructure (GPU rental) which is NOT physically embedded — it’s a commodity compute service.</w:t>
      </w:r>
    </w:p>
    <w:p>
      <w:r>
        <w:br w:type="page"/>
      </w:r>
    </w:p>
    <w:p>
      <w:pPr>
        <w:pStyle w:val="Heading2"/>
        <w:spacing w:after="160" w:before="280"/>
      </w:pPr>
      <w:r>
        <w:rPr>
          <w:rFonts w:ascii="Arial" w:cs="Arial" w:eastAsia="Arial" w:hAnsi="Arial"/>
          <w:b/>
          <w:bCs/>
          <w:sz w:val="28"/>
          <w:szCs w:val="28"/>
        </w:rPr>
        <w:t xml:space="preserve">DIMENSION 4: NETWORK EFFECTS AND DATA GRAVITY (Weight: 40%)</w:t>
      </w:r>
    </w:p>
    <w:p>
      <w:pPr>
        <w:spacing w:after="120"/>
      </w:pPr>
      <w:r>
        <w:rPr>
          <w:rFonts w:ascii="Arial" w:cs="Arial" w:eastAsia="Arial" w:hAnsi="Arial"/>
          <w:sz w:val="22"/>
          <w:szCs w:val="22"/>
        </w:rPr>
        <w:t xml:space="preserve">Pre-Screen Cross-Reference: Moat 6 (Proprietary Data) rated Moderate. Moat 8 (Network Effects) rated Mischaracterized Scale Effect.</w:t>
      </w:r>
    </w:p>
    <w:p>
      <w:pPr>
        <w:spacing w:after="80"/>
      </w:pPr>
    </w:p>
    <w:p>
      <w:pPr>
        <w:spacing w:after="120"/>
      </w:pPr>
      <w:r>
        <w:rPr>
          <w:rFonts w:ascii="Arial" w:cs="Arial" w:eastAsia="Arial" w:hAnsi="Arial"/>
          <w:sz w:val="22"/>
          <w:szCs w:val="22"/>
        </w:rPr>
        <w:t xml:space="preserve">Bustamante Data Test: Can Oracle’s data be obtained, licensed, or synthesized elsewhere?</w:t>
      </w:r>
    </w:p>
    <w:p>
      <w:pPr>
        <w:spacing w:after="120"/>
      </w:pPr>
      <w:r>
        <w:rPr>
          <w:rFonts w:ascii="Arial" w:cs="Arial" w:eastAsia="Arial" w:hAnsi="Arial"/>
          <w:sz w:val="22"/>
          <w:szCs w:val="22"/>
        </w:rPr>
        <w:t xml:space="preserve">• Database optimization telemetry: Yes, partially — AWS, Azure, Google all have comparable telemetry from their managed database services.</w:t>
      </w:r>
    </w:p>
    <w:p>
      <w:pPr>
        <w:spacing w:after="120"/>
      </w:pPr>
      <w:r>
        <w:rPr>
          <w:rFonts w:ascii="Arial" w:cs="Arial" w:eastAsia="Arial" w:hAnsi="Arial"/>
          <w:sz w:val="22"/>
          <w:szCs w:val="22"/>
        </w:rPr>
        <w:t xml:space="preserve">• Clinical data network (Cerner): Partially — Epic dominates with 38%+ EHR market share. Cerner’s installed base is shrinking.</w:t>
      </w:r>
    </w:p>
    <w:p>
      <w:pPr>
        <w:spacing w:after="120"/>
      </w:pPr>
      <w:r>
        <w:rPr>
          <w:rFonts w:ascii="Arial" w:cs="Arial" w:eastAsia="Arial" w:hAnsi="Arial"/>
          <w:sz w:val="22"/>
          <w:szCs w:val="22"/>
        </w:rPr>
        <w:t xml:space="preserve">• OCI GPU cluster operational data: Yes, with effort — AWS, Azure, GCP, and CoreWeave all operate large GPU clusters.</w:t>
      </w:r>
    </w:p>
    <w:p>
      <w:pPr>
        <w:spacing w:after="120"/>
      </w:pPr>
      <w:r>
        <w:rPr>
          <w:rFonts w:ascii="Arial" w:cs="Arial" w:eastAsia="Arial" w:hAnsi="Arial"/>
          <w:sz w:val="22"/>
          <w:szCs w:val="22"/>
        </w:rPr>
        <w:t xml:space="preserve">• Customer enterprise data gravity: This is the real moat. Decades of financial, clinical, and operational data stored in Oracle databases creates genuine data gravity. Migration risk is extreme. But this is a switching cost, not a proprietary data asset — Oracle doesn’t own the data.</w:t>
      </w:r>
    </w:p>
    <w:p>
      <w:pPr>
        <w:spacing w:after="80"/>
      </w:pPr>
    </w:p>
    <w:p>
      <w:pPr>
        <w:spacing w:after="120"/>
      </w:pPr>
      <w:r>
        <w:rPr>
          <w:rFonts w:ascii="Arial" w:cs="Arial" w:eastAsia="Arial" w:hAnsi="Arial"/>
          <w:sz w:val="22"/>
          <w:szCs w:val="22"/>
        </w:rPr>
        <w:t xml:space="preserve">Network effects: Oracle lacks genuine network effects. No customer’s value increases because another customer uses Oracle. The partner ecosystem (Accenture, Deloitte, Infosys Oracle practices) creates ecosystem stickiness but this is a switching cost amplifier, not a network effect.</w:t>
      </w:r>
    </w:p>
    <w:p>
      <w:pPr>
        <w:spacing w:after="120"/>
      </w:pPr>
      <w:r>
        <w:rPr>
          <w:rFonts w:ascii="Arial" w:cs="Arial" w:eastAsia="Arial" w:hAnsi="Arial"/>
          <w:sz w:val="22"/>
          <w:szCs w:val="22"/>
        </w:rPr>
        <w:t xml:space="preserve">Aggregation theory risk: HIGH for OCI. Oracle risks becoming a commodity GPU supplier to AI labs. OpenAI and Meta own the end-customer relationship. If GPU supply normalizes (NVIDIA increasing production, AMD competing), OCI’s GPU rental margins compress and customers can easily shift workloads to cheaper providers. Oracle has no differentiated AI model layer to retain these customers.</w:t>
      </w:r>
    </w:p>
    <w:p>
      <w:pPr>
        <w:spacing w:after="80"/>
      </w:pPr>
    </w:p>
    <w:p>
      <w:pPr>
        <w:spacing w:after="80"/>
      </w:pPr>
      <w:r>
        <w:rPr>
          <w:rFonts w:ascii="Arial" w:cs="Arial" w:eastAsia="Arial" w:hAnsi="Arial"/>
          <w:b/>
          <w:bCs/>
          <w:sz w:val="22"/>
          <w:szCs w:val="22"/>
        </w:rPr>
        <w:t xml:space="preserve">D4 Score: </w:t>
      </w:r>
      <w:r>
        <w:rPr>
          <w:rFonts w:ascii="Arial" w:cs="Arial" w:eastAsia="Arial" w:hAnsi="Arial"/>
          <w:sz w:val="22"/>
          <w:szCs w:val="22"/>
        </w:rPr>
        <w:t xml:space="preserve">4 / 10</w:t>
      </w:r>
    </w:p>
    <w:p>
      <w:pPr>
        <w:spacing w:after="80"/>
      </w:pPr>
      <w:r>
        <w:rPr>
          <w:rFonts w:ascii="Arial" w:cs="Arial" w:eastAsia="Arial" w:hAnsi="Arial"/>
          <w:b/>
          <w:bCs/>
          <w:sz w:val="22"/>
          <w:szCs w:val="22"/>
        </w:rPr>
        <w:t xml:space="preserve">Justification: </w:t>
      </w:r>
      <w:r>
        <w:rPr>
          <w:rFonts w:ascii="Arial" w:cs="Arial" w:eastAsia="Arial" w:hAnsi="Arial"/>
          <w:sz w:val="22"/>
          <w:szCs w:val="22"/>
        </w:rPr>
        <w:t xml:space="preserve">Oracle has strong data gravity (switching costs from decades of stored data) but no genuine network effects and no truly proprietary data assets that cannot be replicated. The aggregation theory risk for OCI is high — Oracle is building commodity infrastructure for customers (OpenAI, Meta) who own the AI value chain. Data gravity is real but is a switching cost, not a compounding advantage. Scored at 4 reflecting the data gravity value offset by absent network effects and high aggregation risk.</w:t>
      </w:r>
    </w:p>
    <w:p>
      <w:pPr>
        <w:spacing w:after="80"/>
      </w:pPr>
      <w:r>
        <w:rPr>
          <w:rFonts w:ascii="Arial" w:cs="Arial" w:eastAsia="Arial" w:hAnsi="Arial"/>
          <w:b/>
          <w:bCs/>
          <w:sz w:val="22"/>
          <w:szCs w:val="22"/>
        </w:rPr>
        <w:t xml:space="preserve">Bustamante Data Test result: </w:t>
      </w:r>
      <w:r>
        <w:rPr>
          <w:rFonts w:ascii="Arial" w:cs="Arial" w:eastAsia="Arial" w:hAnsi="Arial"/>
          <w:sz w:val="22"/>
          <w:szCs w:val="22"/>
        </w:rPr>
        <w:t xml:space="preserve">Partial moat — data gravity from stored customer data, but Oracle doesn’t own the data and lacks truly exclusive data assets.</w:t>
      </w:r>
    </w:p>
    <w:p>
      <w:pPr>
        <w:spacing w:after="80"/>
      </w:pPr>
      <w:r>
        <w:rPr>
          <w:rFonts w:ascii="Arial" w:cs="Arial" w:eastAsia="Arial" w:hAnsi="Arial"/>
          <w:b/>
          <w:bCs/>
          <w:sz w:val="22"/>
          <w:szCs w:val="22"/>
        </w:rPr>
        <w:t xml:space="preserve">Aggregation Theory risk: </w:t>
      </w:r>
      <w:r>
        <w:rPr>
          <w:rFonts w:ascii="Arial" w:cs="Arial" w:eastAsia="Arial" w:hAnsi="Arial"/>
          <w:sz w:val="22"/>
          <w:szCs w:val="22"/>
        </w:rPr>
        <w:t xml:space="preserve">HIGH — OCI increasingly functions as a commodity GPU supplier to AI labs that own the customer relationship.</w:t>
      </w:r>
    </w:p>
    <w:p>
      <w:pPr>
        <w:pStyle w:val="Heading2"/>
        <w:spacing w:after="160" w:before="280"/>
      </w:pPr>
      <w:r>
        <w:rPr>
          <w:rFonts w:ascii="Arial" w:cs="Arial" w:eastAsia="Arial" w:hAnsi="Arial"/>
          <w:b/>
          <w:bCs/>
          <w:sz w:val="28"/>
          <w:szCs w:val="28"/>
        </w:rPr>
        <w:t xml:space="preserve">STEP 3: RAW COMPOSITE CALCULATION</w:t>
      </w:r>
    </w:p>
    <w:p>
      <w:pPr>
        <w:spacing w:after="120"/>
      </w:pPr>
      <w:r>
        <w:rPr>
          <w:rFonts w:ascii="Arial" w:cs="Arial" w:eastAsia="Arial" w:hAnsi="Arial"/>
          <w:sz w:val="22"/>
          <w:szCs w:val="22"/>
        </w:rPr>
        <w:t xml:space="preserve">Raw Composite = (D1 × 0.15) + (D2 × 0.30) + (D3 × 0.15) + (D4 × 0.40)</w:t>
      </w:r>
    </w:p>
    <w:p>
      <w:pPr>
        <w:spacing w:after="80"/>
      </w:pPr>
      <w:r>
        <w:rPr>
          <w:rFonts w:ascii="Arial" w:cs="Arial" w:eastAsia="Arial" w:hAnsi="Arial"/>
          <w:b/>
          <w:bCs/>
          <w:sz w:val="22"/>
          <w:szCs w:val="22"/>
        </w:rPr>
        <w:t xml:space="preserve">D1: </w:t>
      </w:r>
      <w:r>
        <w:rPr>
          <w:rFonts w:ascii="Arial" w:cs="Arial" w:eastAsia="Arial" w:hAnsi="Arial"/>
          <w:sz w:val="22"/>
          <w:szCs w:val="22"/>
        </w:rPr>
        <w:t xml:space="preserve">6 × 0.15 = 0.90</w:t>
      </w:r>
    </w:p>
    <w:p>
      <w:pPr>
        <w:spacing w:after="80"/>
      </w:pPr>
      <w:r>
        <w:rPr>
          <w:rFonts w:ascii="Arial" w:cs="Arial" w:eastAsia="Arial" w:hAnsi="Arial"/>
          <w:b/>
          <w:bCs/>
          <w:sz w:val="22"/>
          <w:szCs w:val="22"/>
        </w:rPr>
        <w:t xml:space="preserve">D2: </w:t>
      </w:r>
      <w:r>
        <w:rPr>
          <w:rFonts w:ascii="Arial" w:cs="Arial" w:eastAsia="Arial" w:hAnsi="Arial"/>
          <w:sz w:val="22"/>
          <w:szCs w:val="22"/>
        </w:rPr>
        <w:t xml:space="preserve">5 × 0.30 = 1.50</w:t>
      </w:r>
    </w:p>
    <w:p>
      <w:pPr>
        <w:spacing w:after="80"/>
      </w:pPr>
      <w:r>
        <w:rPr>
          <w:rFonts w:ascii="Arial" w:cs="Arial" w:eastAsia="Arial" w:hAnsi="Arial"/>
          <w:b/>
          <w:bCs/>
          <w:sz w:val="22"/>
          <w:szCs w:val="22"/>
        </w:rPr>
        <w:t xml:space="preserve">D3: </w:t>
      </w:r>
      <w:r>
        <w:rPr>
          <w:rFonts w:ascii="Arial" w:cs="Arial" w:eastAsia="Arial" w:hAnsi="Arial"/>
          <w:sz w:val="22"/>
          <w:szCs w:val="22"/>
        </w:rPr>
        <w:t xml:space="preserve">7 × 0.15 = 1.05</w:t>
      </w:r>
    </w:p>
    <w:p>
      <w:pPr>
        <w:spacing w:after="80"/>
      </w:pPr>
      <w:r>
        <w:rPr>
          <w:rFonts w:ascii="Arial" w:cs="Arial" w:eastAsia="Arial" w:hAnsi="Arial"/>
          <w:b/>
          <w:bCs/>
          <w:sz w:val="22"/>
          <w:szCs w:val="22"/>
        </w:rPr>
        <w:t xml:space="preserve">D4: </w:t>
      </w:r>
      <w:r>
        <w:rPr>
          <w:rFonts w:ascii="Arial" w:cs="Arial" w:eastAsia="Arial" w:hAnsi="Arial"/>
          <w:sz w:val="22"/>
          <w:szCs w:val="22"/>
        </w:rPr>
        <w:t xml:space="preserve">4 × 0.40 = 1.60</w:t>
      </w:r>
    </w:p>
    <w:p>
      <w:pPr>
        <w:spacing w:after="80"/>
      </w:pPr>
      <w:r>
        <w:rPr>
          <w:rFonts w:ascii="Arial" w:cs="Arial" w:eastAsia="Arial" w:hAnsi="Arial"/>
          <w:b/>
          <w:bCs/>
          <w:sz w:val="22"/>
          <w:szCs w:val="22"/>
        </w:rPr>
        <w:t xml:space="preserve">Raw Composite: </w:t>
      </w:r>
      <w:r>
        <w:rPr>
          <w:rFonts w:ascii="Arial" w:cs="Arial" w:eastAsia="Arial" w:hAnsi="Arial"/>
          <w:sz w:val="22"/>
          <w:szCs w:val="22"/>
        </w:rPr>
        <w:t xml:space="preserve">5.05 / 10</w:t>
      </w:r>
    </w:p>
    <w:p>
      <w:pPr>
        <w:spacing w:after="80"/>
      </w:pPr>
    </w:p>
    <w:p>
      <w:pPr>
        <w:spacing w:after="80"/>
      </w:pPr>
      <w:r>
        <w:rPr>
          <w:rFonts w:ascii="Arial" w:cs="Arial" w:eastAsia="Arial" w:hAnsi="Arial"/>
          <w:b/>
          <w:bCs/>
          <w:sz w:val="22"/>
          <w:szCs w:val="22"/>
        </w:rPr>
        <w:t xml:space="preserve">Base Classification: </w:t>
      </w:r>
      <w:r>
        <w:rPr>
          <w:rFonts w:ascii="Arial" w:cs="Arial" w:eastAsia="Arial" w:hAnsi="Arial"/>
          <w:sz w:val="22"/>
          <w:szCs w:val="22"/>
        </w:rPr>
        <w:t xml:space="preserve">FRAGILE (5.0-5.99 range)</w:t>
      </w:r>
    </w:p>
    <w:p>
      <w:pPr>
        <w:spacing w:after="80"/>
      </w:pPr>
    </w:p>
    <w:p>
      <w:pPr>
        <w:spacing w:after="120"/>
      </w:pPr>
      <w:r>
        <w:rPr>
          <w:rFonts w:ascii="Arial" w:cs="Arial" w:eastAsia="Arial" w:hAnsi="Arial"/>
          <w:sz w:val="22"/>
          <w:szCs w:val="22"/>
        </w:rPr>
        <w:t xml:space="preserve">Pre-Screen Consistency Check: The pre-screen returned MEDIUM confidence with MDI 3/5. A Fragile base classification is consistent with the medium confidence pre-screen — structural moats exist (D1, D3) but are dragged down by weak network effects/data moat (D4) and a mixed business model (D2). No discrepancy to resolve.</w:t>
      </w:r>
    </w:p>
    <w:p>
      <w:pPr>
        <w:pStyle w:val="Heading2"/>
        <w:spacing w:after="160" w:before="280"/>
      </w:pPr>
      <w:r>
        <w:rPr>
          <w:rFonts w:ascii="Arial" w:cs="Arial" w:eastAsia="Arial" w:hAnsi="Arial"/>
          <w:b/>
          <w:bCs/>
          <w:sz w:val="28"/>
          <w:szCs w:val="28"/>
        </w:rPr>
        <w:t xml:space="preserve">STEP 4: DATA INTEGRITY PREMIUM (DIP) MODIFIER</w:t>
      </w:r>
    </w:p>
    <w:p>
      <w:pPr>
        <w:spacing w:after="120"/>
      </w:pPr>
      <w:r>
        <w:rPr>
          <w:rFonts w:ascii="Arial" w:cs="Arial" w:eastAsia="Arial" w:hAnsi="Arial"/>
          <w:sz w:val="22"/>
          <w:szCs w:val="22"/>
        </w:rPr>
        <w:t xml:space="preserve">DIP criteria assessment:</w:t>
      </w:r>
    </w:p>
    <w:p>
      <w:pPr>
        <w:spacing w:after="120"/>
      </w:pPr>
      <w:r>
        <w:rPr>
          <w:rFonts w:ascii="Arial" w:cs="Arial" w:eastAsia="Arial" w:hAnsi="Arial"/>
          <w:sz w:val="22"/>
          <w:szCs w:val="22"/>
        </w:rPr>
        <w:t xml:space="preserve">1. Regulatory requirement for deterministic, auditable outputs: YES — Financial ledger entries (SOX), clinical records (HIPAA), government data (FedRAMP) all require 100% accuracy with audit trails. Score: 1.</w:t>
      </w:r>
    </w:p>
    <w:p>
      <w:pPr>
        <w:spacing w:after="120"/>
      </w:pPr>
      <w:r>
        <w:rPr>
          <w:rFonts w:ascii="Arial" w:cs="Arial" w:eastAsia="Arial" w:hAnsi="Arial"/>
          <w:sz w:val="22"/>
          <w:szCs w:val="22"/>
        </w:rPr>
        <w:t xml:space="preserve">2. Formal certification of the software itself: PARTIAL — OCI is FedRAMP certified, SOC audited. But Oracle’s applications are not individually FDA/regulatory certified as products. Score: 0.5.</w:t>
      </w:r>
    </w:p>
    <w:p>
      <w:pPr>
        <w:spacing w:after="120"/>
      </w:pPr>
      <w:r>
        <w:rPr>
          <w:rFonts w:ascii="Arial" w:cs="Arial" w:eastAsia="Arial" w:hAnsi="Arial"/>
          <w:sz w:val="22"/>
          <w:szCs w:val="22"/>
        </w:rPr>
        <w:t xml:space="preserve">3. Legal/contractual liability if outputs are wrong: YES — Incorrect financial ledger entries = audit failure, regulatory penalty. Incorrect clinical data = patient harm liability. Score: 1.</w:t>
      </w:r>
    </w:p>
    <w:p>
      <w:pPr>
        <w:spacing w:after="120"/>
      </w:pPr>
      <w:r>
        <w:rPr>
          <w:rFonts w:ascii="Arial" w:cs="Arial" w:eastAsia="Arial" w:hAnsi="Arial"/>
          <w:sz w:val="22"/>
          <w:szCs w:val="22"/>
        </w:rPr>
        <w:t xml:space="preserve">4. Multi-year certification/validation timeline for alternatives: YES — FedRAMP authorization takes 12-18 months. Healthcare system migrations take 3-5 years. Score: 1.</w:t>
      </w:r>
    </w:p>
    <w:p>
      <w:pPr>
        <w:spacing w:after="120"/>
      </w:pPr>
      <w:r>
        <w:rPr>
          <w:rFonts w:ascii="Arial" w:cs="Arial" w:eastAsia="Arial" w:hAnsi="Arial"/>
          <w:sz w:val="22"/>
          <w:szCs w:val="22"/>
        </w:rPr>
        <w:t xml:space="preserve">5. Customer cannot accept probabilistic AI outputs for this use case: PARTIAL — True for financial ledgers and clinical records. Not true for analytics, HCM, or procurement. Score: 0.5.</w:t>
      </w:r>
    </w:p>
    <w:p>
      <w:pPr>
        <w:spacing w:after="80"/>
      </w:pPr>
    </w:p>
    <w:p>
      <w:pPr>
        <w:spacing w:after="80"/>
      </w:pPr>
      <w:r>
        <w:rPr>
          <w:rFonts w:ascii="Arial" w:cs="Arial" w:eastAsia="Arial" w:hAnsi="Arial"/>
          <w:b/>
          <w:bCs/>
          <w:sz w:val="22"/>
          <w:szCs w:val="22"/>
        </w:rPr>
        <w:t xml:space="preserve">DIP Score: </w:t>
      </w:r>
      <w:r>
        <w:rPr>
          <w:rFonts w:ascii="Arial" w:cs="Arial" w:eastAsia="Arial" w:hAnsi="Arial"/>
          <w:sz w:val="22"/>
          <w:szCs w:val="22"/>
        </w:rPr>
        <w:t xml:space="preserve">4 / 5</w:t>
      </w:r>
    </w:p>
    <w:p>
      <w:pPr>
        <w:spacing w:after="80"/>
      </w:pPr>
      <w:r>
        <w:rPr>
          <w:rFonts w:ascii="Arial" w:cs="Arial" w:eastAsia="Arial" w:hAnsi="Arial"/>
          <w:b/>
          <w:bCs/>
          <w:sz w:val="22"/>
          <w:szCs w:val="22"/>
        </w:rPr>
        <w:t xml:space="preserve">DIP Modifier: </w:t>
      </w:r>
      <w:r>
        <w:rPr>
          <w:rFonts w:ascii="Arial" w:cs="Arial" w:eastAsia="Arial" w:hAnsi="Arial"/>
          <w:sz w:val="22"/>
          <w:szCs w:val="22"/>
        </w:rPr>
        <w:t xml:space="preserve">+1.2</w:t>
      </w:r>
    </w:p>
    <w:p>
      <w:pPr>
        <w:spacing w:after="80"/>
      </w:pPr>
      <w:r>
        <w:rPr>
          <w:rFonts w:ascii="Arial" w:cs="Arial" w:eastAsia="Arial" w:hAnsi="Arial"/>
          <w:b/>
          <w:bCs/>
          <w:sz w:val="22"/>
          <w:szCs w:val="22"/>
        </w:rPr>
        <w:t xml:space="preserve">DIP Expiration Estimate: </w:t>
      </w:r>
      <w:r>
        <w:rPr>
          <w:rFonts w:ascii="Arial" w:cs="Arial" w:eastAsia="Arial" w:hAnsi="Arial"/>
          <w:sz w:val="22"/>
          <w:szCs w:val="22"/>
        </w:rPr>
        <w:t xml:space="preserve">5-8 years. AI certification pathways for regulated environments are emerging but slow. FedRAMP and healthcare validation timelines protect Oracle’s infrastructure position for at least 5 years.</w:t>
      </w:r>
    </w:p>
    <w:p>
      <w:pPr>
        <w:spacing w:after="80"/>
      </w:pPr>
    </w:p>
    <w:p>
      <w:pPr>
        <w:spacing w:after="120"/>
      </w:pPr>
      <w:r>
        <w:rPr>
          <w:rFonts w:ascii="Arial" w:cs="Arial" w:eastAsia="Arial" w:hAnsi="Arial"/>
          <w:sz w:val="22"/>
          <w:szCs w:val="22"/>
        </w:rPr>
        <w:t xml:space="preserve">DIP Guardrails:</w:t>
      </w:r>
    </w:p>
    <w:p>
      <w:pPr>
        <w:spacing w:after="120"/>
      </w:pPr>
      <w:r>
        <w:rPr>
          <w:rFonts w:ascii="Arial" w:cs="Arial" w:eastAsia="Arial" w:hAnsi="Arial"/>
          <w:sz w:val="22"/>
          <w:szCs w:val="22"/>
        </w:rPr>
        <w:t xml:space="preserve">• Does the DIP change classification? Yes — moves from Fragile (5.05) toward Robust (6.25). FLAGGED AS MODIFIER-DEPENDENT. Without DIP, Oracle is Fragile. With DIP, it crosses into Robust. The DIP expiration estimate of 5-8 years is critical.</w:t>
      </w:r>
    </w:p>
    <w:p>
      <w:pPr>
        <w:spacing w:after="120"/>
      </w:pPr>
      <w:r>
        <w:rPr>
          <w:rFonts w:ascii="Arial" w:cs="Arial" w:eastAsia="Arial" w:hAnsi="Arial"/>
          <w:sz w:val="22"/>
          <w:szCs w:val="22"/>
        </w:rPr>
        <w:t xml:space="preserve">• Is new logo growth healthy? Cloud revenue growing 44% suggests healthy acquisition. But this is heavily weighted toward OCI infrastructure deals (OpenAI, Meta) — not broad new logo growth across the application portfolio.</w:t>
      </w:r>
    </w:p>
    <w:p>
      <w:pPr>
        <w:spacing w:after="120"/>
      </w:pPr>
      <w:r>
        <w:rPr>
          <w:rFonts w:ascii="Arial" w:cs="Arial" w:eastAsia="Arial" w:hAnsi="Arial"/>
          <w:sz w:val="22"/>
          <w:szCs w:val="22"/>
        </w:rPr>
        <w:t xml:space="preserve">• Is DIP based on product certification or regulated industry? Mix — OCI is genuinely FedRAMP certified (product). Oracle Health serves regulated industry but the EHR product is not separately FDA-certified.</w:t>
      </w:r>
    </w:p>
    <w:p>
      <w:pPr>
        <w:pStyle w:val="Heading2"/>
        <w:spacing w:after="160" w:before="280"/>
      </w:pPr>
      <w:r>
        <w:rPr>
          <w:rFonts w:ascii="Arial" w:cs="Arial" w:eastAsia="Arial" w:hAnsi="Arial"/>
          <w:b/>
          <w:bCs/>
          <w:sz w:val="28"/>
          <w:szCs w:val="28"/>
        </w:rPr>
        <w:t xml:space="preserve">STEP 5: COUNTER-POSITIONING POTENTIAL (CPP) MODIFIER</w:t>
      </w:r>
    </w:p>
    <w:p>
      <w:pPr>
        <w:spacing w:after="120"/>
      </w:pPr>
      <w:r>
        <w:rPr>
          <w:rFonts w:ascii="Arial" w:cs="Arial" w:eastAsia="Arial" w:hAnsi="Arial"/>
          <w:sz w:val="22"/>
          <w:szCs w:val="22"/>
        </w:rPr>
        <w:t xml:space="preserve">CPP criteria assessment (0-2 points each):</w:t>
      </w:r>
    </w:p>
    <w:p>
      <w:pPr>
        <w:spacing w:after="120"/>
      </w:pPr>
      <w:r>
        <w:rPr>
          <w:rFonts w:ascii="Arial" w:cs="Arial" w:eastAsia="Arial" w:hAnsi="Arial"/>
          <w:sz w:val="22"/>
          <w:szCs w:val="22"/>
        </w:rPr>
        <w:t xml:space="preserve">1. Has management publicly committed to cannibalize seat-based revenue? PARTIAL (1 point) — Oracle is shifting toward consumption-based OCI pricing and has launched AI-embedded features in Fusion apps. But no explicit statement of willingness to cannibalize seat-based SaaS revenue. Larry Ellison on Q3 call emphasized growth, not cannibalization.</w:t>
      </w:r>
    </w:p>
    <w:p>
      <w:pPr>
        <w:spacing w:after="120"/>
      </w:pPr>
      <w:r>
        <w:rPr>
          <w:rFonts w:ascii="Arial" w:cs="Arial" w:eastAsia="Arial" w:hAnsi="Arial"/>
          <w:sz w:val="22"/>
          <w:szCs w:val="22"/>
        </w:rPr>
        <w:t xml:space="preserve">2. Is there a consumption-based AI product with disclosed ARR? NO (0 points) — AI infrastructure revenue grew 243% but Oracle does not separately disclose AI product ARR. Without a specific number, this scores 0 per CPP evidence requirements.</w:t>
      </w:r>
    </w:p>
    <w:p>
      <w:pPr>
        <w:spacing w:after="120"/>
      </w:pPr>
      <w:r>
        <w:rPr>
          <w:rFonts w:ascii="Arial" w:cs="Arial" w:eastAsia="Arial" w:hAnsi="Arial"/>
          <w:sz w:val="22"/>
          <w:szCs w:val="22"/>
        </w:rPr>
        <w:t xml:space="preserve">3. Has the company acquired or built AI-native capabilities? PARTIAL (1 point) — Autonomous Database uses ML for self-tuning. OCI has GPU clusters and AI services. But no evidence of a truly differentiated AI model or agent platform that competes with OpenAI/Anthropic/Google.</w:t>
      </w:r>
    </w:p>
    <w:p>
      <w:pPr>
        <w:spacing w:after="120"/>
      </w:pPr>
      <w:r>
        <w:rPr>
          <w:rFonts w:ascii="Arial" w:cs="Arial" w:eastAsia="Arial" w:hAnsi="Arial"/>
          <w:sz w:val="22"/>
          <w:szCs w:val="22"/>
        </w:rPr>
        <w:t xml:space="preserve">4. Is customer migration from legacy to AI-native products measurable? PARTIAL (1 point) — Multicloud database services grew 531%. Cloud migration is measurable. But this is migration from on-premise Oracle to cloud Oracle — not a fundamental AI-native product transformation.</w:t>
      </w:r>
    </w:p>
    <w:p>
      <w:pPr>
        <w:spacing w:after="120"/>
      </w:pPr>
      <w:r>
        <w:rPr>
          <w:rFonts w:ascii="Arial" w:cs="Arial" w:eastAsia="Arial" w:hAnsi="Arial"/>
          <w:sz w:val="22"/>
          <w:szCs w:val="22"/>
        </w:rPr>
        <w:t xml:space="preserve">5. Is pricing aligned to value delivered rather than headcount? PARTIAL (1 point) — OCI is consumption-based (aligned). Fusion SaaS remains per-seat (not aligned). Mixed.</w:t>
      </w:r>
    </w:p>
    <w:p>
      <w:pPr>
        <w:spacing w:after="120"/>
      </w:pPr>
      <w:r>
        <w:rPr>
          <w:rFonts w:ascii="Arial" w:cs="Arial" w:eastAsia="Arial" w:hAnsi="Arial"/>
          <w:sz w:val="22"/>
          <w:szCs w:val="22"/>
        </w:rPr>
        <w:t xml:space="preserve">6. Is there evidence of AI product retention or expansion? NO (0 points) — No disclosed AI-specific retention metrics.</w:t>
      </w:r>
    </w:p>
    <w:p>
      <w:pPr>
        <w:spacing w:after="80"/>
      </w:pPr>
    </w:p>
    <w:p>
      <w:pPr>
        <w:spacing w:after="80"/>
      </w:pPr>
      <w:r>
        <w:rPr>
          <w:rFonts w:ascii="Arial" w:cs="Arial" w:eastAsia="Arial" w:hAnsi="Arial"/>
          <w:b/>
          <w:bCs/>
          <w:sz w:val="22"/>
          <w:szCs w:val="22"/>
        </w:rPr>
        <w:t xml:space="preserve">CPP Score: </w:t>
      </w:r>
      <w:r>
        <w:rPr>
          <w:rFonts w:ascii="Arial" w:cs="Arial" w:eastAsia="Arial" w:hAnsi="Arial"/>
          <w:sz w:val="22"/>
          <w:szCs w:val="22"/>
        </w:rPr>
        <w:t xml:space="preserve">4 / 12</w:t>
      </w:r>
    </w:p>
    <w:p>
      <w:pPr>
        <w:spacing w:after="80"/>
      </w:pPr>
      <w:r>
        <w:rPr>
          <w:rFonts w:ascii="Arial" w:cs="Arial" w:eastAsia="Arial" w:hAnsi="Arial"/>
          <w:b/>
          <w:bCs/>
          <w:sz w:val="22"/>
          <w:szCs w:val="22"/>
        </w:rPr>
        <w:t xml:space="preserve">CPP Modifier: </w:t>
      </w:r>
      <w:r>
        <w:rPr>
          <w:rFonts w:ascii="Arial" w:cs="Arial" w:eastAsia="Arial" w:hAnsi="Arial"/>
          <w:sz w:val="22"/>
          <w:szCs w:val="22"/>
        </w:rPr>
        <w:t xml:space="preserve">+0.5</w:t>
      </w:r>
    </w:p>
    <w:p>
      <w:pPr>
        <w:spacing w:after="120"/>
      </w:pPr>
      <w:r>
        <w:rPr>
          <w:rFonts w:ascii="Arial" w:cs="Arial" w:eastAsia="Arial" w:hAnsi="Arial"/>
          <w:sz w:val="22"/>
          <w:szCs w:val="22"/>
        </w:rPr>
        <w:t xml:space="preserve">CPP Guardrail: Criteria 1 and 3 are based on partial evidence. The CPP is modest, reflecting a company that is investing in AI infrastructure but has not demonstrated willingness to fundamentally restructure its application business model.</w:t>
      </w:r>
    </w:p>
    <w:p>
      <w:pPr>
        <w:pStyle w:val="Heading2"/>
        <w:spacing w:after="160" w:before="280"/>
      </w:pPr>
      <w:r>
        <w:rPr>
          <w:rFonts w:ascii="Arial" w:cs="Arial" w:eastAsia="Arial" w:hAnsi="Arial"/>
          <w:b/>
          <w:bCs/>
          <w:sz w:val="28"/>
          <w:szCs w:val="28"/>
        </w:rPr>
        <w:t xml:space="preserve">STEP 6: FINAL COMPOSITE</w:t>
      </w:r>
    </w:p>
    <w:p>
      <w:pPr>
        <w:spacing w:after="80"/>
      </w:pPr>
      <w:r>
        <w:rPr>
          <w:rFonts w:ascii="Arial" w:cs="Arial" w:eastAsia="Arial" w:hAnsi="Arial"/>
          <w:b/>
          <w:bCs/>
          <w:sz w:val="22"/>
          <w:szCs w:val="22"/>
        </w:rPr>
        <w:t xml:space="preserve">Raw Composite: </w:t>
      </w:r>
      <w:r>
        <w:rPr>
          <w:rFonts w:ascii="Arial" w:cs="Arial" w:eastAsia="Arial" w:hAnsi="Arial"/>
          <w:sz w:val="22"/>
          <w:szCs w:val="22"/>
        </w:rPr>
        <w:t xml:space="preserve">5.05</w:t>
      </w:r>
    </w:p>
    <w:p>
      <w:pPr>
        <w:spacing w:after="80"/>
      </w:pPr>
      <w:r>
        <w:rPr>
          <w:rFonts w:ascii="Arial" w:cs="Arial" w:eastAsia="Arial" w:hAnsi="Arial"/>
          <w:b/>
          <w:bCs/>
          <w:sz w:val="22"/>
          <w:szCs w:val="22"/>
        </w:rPr>
        <w:t xml:space="preserve">DIP Modifier: </w:t>
      </w:r>
      <w:r>
        <w:rPr>
          <w:rFonts w:ascii="Arial" w:cs="Arial" w:eastAsia="Arial" w:hAnsi="Arial"/>
          <w:sz w:val="22"/>
          <w:szCs w:val="22"/>
        </w:rPr>
        <w:t xml:space="preserve">+1.20</w:t>
      </w:r>
    </w:p>
    <w:p>
      <w:pPr>
        <w:spacing w:after="80"/>
      </w:pPr>
      <w:r>
        <w:rPr>
          <w:rFonts w:ascii="Arial" w:cs="Arial" w:eastAsia="Arial" w:hAnsi="Arial"/>
          <w:b/>
          <w:bCs/>
          <w:sz w:val="22"/>
          <w:szCs w:val="22"/>
        </w:rPr>
        <w:t xml:space="preserve">CPP Modifier: </w:t>
      </w:r>
      <w:r>
        <w:rPr>
          <w:rFonts w:ascii="Arial" w:cs="Arial" w:eastAsia="Arial" w:hAnsi="Arial"/>
          <w:sz w:val="22"/>
          <w:szCs w:val="22"/>
        </w:rPr>
        <w:t xml:space="preserve">+0.50</w:t>
      </w:r>
    </w:p>
    <w:p>
      <w:pPr>
        <w:spacing w:after="80"/>
      </w:pPr>
      <w:r>
        <w:rPr>
          <w:rFonts w:ascii="Arial" w:cs="Arial" w:eastAsia="Arial" w:hAnsi="Arial"/>
          <w:b/>
          <w:bCs/>
          <w:sz w:val="22"/>
          <w:szCs w:val="22"/>
        </w:rPr>
        <w:t xml:space="preserve">Final Composite: </w:t>
      </w:r>
      <w:r>
        <w:rPr>
          <w:rFonts w:ascii="Arial" w:cs="Arial" w:eastAsia="Arial" w:hAnsi="Arial"/>
          <w:sz w:val="22"/>
          <w:szCs w:val="22"/>
        </w:rPr>
        <w:t xml:space="preserve">6.75 / 10</w:t>
      </w:r>
    </w:p>
    <w:p>
      <w:pPr>
        <w:spacing w:after="80"/>
      </w:pPr>
    </w:p>
    <w:p>
      <w:pPr>
        <w:spacing w:after="80"/>
      </w:pPr>
      <w:r>
        <w:rPr>
          <w:rFonts w:ascii="Arial" w:cs="Arial" w:eastAsia="Arial" w:hAnsi="Arial"/>
          <w:b/>
          <w:bCs/>
          <w:sz w:val="22"/>
          <w:szCs w:val="22"/>
        </w:rPr>
        <w:t xml:space="preserve">Final Classification: </w:t>
      </w:r>
      <w:r>
        <w:rPr>
          <w:rFonts w:ascii="Arial" w:cs="Arial" w:eastAsia="Arial" w:hAnsi="Arial"/>
          <w:sz w:val="22"/>
          <w:szCs w:val="22"/>
        </w:rPr>
        <w:t xml:space="preserve">ROBUST (6.0-7.49 range) — MODIFIER-DEPENDENT</w:t>
      </w:r>
    </w:p>
    <w:p>
      <w:pPr>
        <w:spacing w:after="80"/>
      </w:pPr>
    </w:p>
    <w:p>
      <w:pPr>
        <w:spacing w:after="120"/>
      </w:pPr>
      <w:r>
        <w:rPr>
          <w:rFonts w:ascii="Arial" w:cs="Arial" w:eastAsia="Arial" w:hAnsi="Arial"/>
          <w:sz w:val="22"/>
          <w:szCs w:val="22"/>
        </w:rPr>
        <w:t xml:space="preserve">IMPORTANT: Oracle’s Robust classification is DIP-dependent. Without the Data Integrity Premium (+1.2), the raw composite of 5.05 places Oracle in the FRAGILE category. The Robust classification rests on the assumption that regulated infrastructure switching costs hold for 5-8 years. If AI certification pathways accelerate (FedRAMP for AI-native platforms, FDA clearing of AI clinical tools), Oracle’s DIP erodes and the company reverts to Fragile.</w:t>
      </w:r>
    </w:p>
    <w:p>
      <w:pPr>
        <w:spacing w:after="80"/>
      </w:pPr>
    </w:p>
    <w:p>
      <w:pPr>
        <w:spacing w:after="80"/>
      </w:pPr>
      <w:r>
        <w:rPr>
          <w:rFonts w:ascii="Arial" w:cs="Arial" w:eastAsia="Arial" w:hAnsi="Arial"/>
          <w:b/>
          <w:bCs/>
          <w:sz w:val="22"/>
          <w:szCs w:val="22"/>
        </w:rPr>
        <w:t xml:space="preserve">DIP/CPP Profile: </w:t>
      </w:r>
      <w:r>
        <w:rPr>
          <w:rFonts w:ascii="Arial" w:cs="Arial" w:eastAsia="Arial" w:hAnsi="Arial"/>
          <w:sz w:val="22"/>
          <w:szCs w:val="22"/>
        </w:rPr>
        <w:t xml:space="preserve">High DIP + Low CPP → Defensive incumbent. Defend floor, not growth compounder. Size 2-3%.</w:t>
      </w:r>
    </w:p>
    <w:p>
      <w:r>
        <w:br w:type="page"/>
      </w:r>
    </w:p>
    <w:p>
      <w:pPr>
        <w:pStyle w:val="Heading2"/>
        <w:spacing w:after="160" w:before="280"/>
      </w:pPr>
      <w:r>
        <w:rPr>
          <w:rFonts w:ascii="Arial" w:cs="Arial" w:eastAsia="Arial" w:hAnsi="Arial"/>
          <w:b/>
          <w:bCs/>
          <w:sz w:val="28"/>
          <w:szCs w:val="28"/>
        </w:rPr>
        <w:t xml:space="preserve">STEP 7: AI DISRUPTION SCENARIO MODELING</w:t>
      </w:r>
    </w:p>
    <w:p>
      <w:pPr>
        <w:pStyle w:val="Heading3"/>
        <w:spacing w:after="120" w:before="200"/>
      </w:pPr>
      <w:r>
        <w:rPr>
          <w:rFonts w:ascii="Arial" w:cs="Arial" w:eastAsia="Arial" w:hAnsi="Arial"/>
          <w:b/>
          <w:bCs/>
          <w:sz w:val="24"/>
          <w:szCs w:val="24"/>
        </w:rPr>
        <w:t xml:space="preserve">Bull Case (AI Tailwind) — 25% probability</w:t>
      </w:r>
    </w:p>
    <w:p>
      <w:pPr>
        <w:spacing w:after="120"/>
      </w:pPr>
      <w:r>
        <w:rPr>
          <w:rFonts w:ascii="Arial" w:cs="Arial" w:eastAsia="Arial" w:hAnsi="Arial"/>
          <w:sz w:val="22"/>
          <w:szCs w:val="22"/>
        </w:rPr>
        <w:t xml:space="preserve">Mechanism: OCI becomes a top-3 cloud infrastructure provider as AI training and inference demand explodes. Oracle’s $553B RPO converts to revenue at high utilization rates. OpenAI and Meta contracts hold and expand. Autonomous Database and AI-embedded Fusion apps drive upsell. FY2027 $90B revenue guidance is achieved and exceeded.</w:t>
      </w:r>
    </w:p>
    <w:p>
      <w:pPr>
        <w:spacing w:after="120"/>
      </w:pPr>
      <w:r>
        <w:rPr>
          <w:rFonts w:ascii="Arial" w:cs="Arial" w:eastAsia="Arial" w:hAnsi="Arial"/>
          <w:sz w:val="22"/>
          <w:szCs w:val="22"/>
        </w:rPr>
        <w:t xml:space="preserve">What has to be true: (1) OpenAI remains viable and fulfills commitments. (2) GPU demand continues to exceed supply through 2028. (3) Oracle achieves positive FCF by FY2028. (4) Gross margins stabilize above 55%. (5) Stargate or equivalent mega-deal proceeds.</w:t>
      </w:r>
    </w:p>
    <w:p>
      <w:pPr>
        <w:pStyle w:val="Heading3"/>
        <w:spacing w:after="120" w:before="200"/>
      </w:pPr>
      <w:r>
        <w:rPr>
          <w:rFonts w:ascii="Arial" w:cs="Arial" w:eastAsia="Arial" w:hAnsi="Arial"/>
          <w:b/>
          <w:bCs/>
          <w:sz w:val="24"/>
          <w:szCs w:val="24"/>
        </w:rPr>
        <w:t xml:space="preserve">Base Case (Managed Transition) — 45% probability</w:t>
      </w:r>
    </w:p>
    <w:p>
      <w:pPr>
        <w:spacing w:after="120"/>
      </w:pPr>
      <w:r>
        <w:rPr>
          <w:rFonts w:ascii="Arial" w:cs="Arial" w:eastAsia="Arial" w:hAnsi="Arial"/>
          <w:sz w:val="22"/>
          <w:szCs w:val="22"/>
        </w:rPr>
        <w:t xml:space="preserve">Revenue growth decelerates to 12-15% as OCI growth normalizes and application growth remains in low-teens. Oracle manages the debt load but FCF remains negative through FY2027. Cloud mix shift continues, compressing gross margins toward 55%. Some OpenAI RPO converts but at lower volumes than booked. Stock trades at 6-8x NTM revenue.</w:t>
      </w:r>
    </w:p>
    <w:p>
      <w:pPr>
        <w:spacing w:after="120"/>
      </w:pPr>
      <w:r>
        <w:rPr>
          <w:rFonts w:ascii="Arial" w:cs="Arial" w:eastAsia="Arial" w:hAnsi="Arial"/>
          <w:sz w:val="22"/>
          <w:szCs w:val="22"/>
        </w:rPr>
        <w:t xml:space="preserve">Key milestones: (1) Positive FCF by FY2028. (2) OCI growth sustained above 40% through FY2027. (3) No credit rating downgrade. (4) Fusion SaaS retention remains above 95%.</w:t>
      </w:r>
    </w:p>
    <w:p>
      <w:pPr>
        <w:pStyle w:val="Heading3"/>
        <w:spacing w:after="120" w:before="200"/>
      </w:pPr>
      <w:r>
        <w:rPr>
          <w:rFonts w:ascii="Arial" w:cs="Arial" w:eastAsia="Arial" w:hAnsi="Arial"/>
          <w:b/>
          <w:bCs/>
          <w:sz w:val="24"/>
          <w:szCs w:val="24"/>
        </w:rPr>
        <w:t xml:space="preserve">Bear Case (Displacement) — 30% probability</w:t>
      </w:r>
    </w:p>
    <w:p>
      <w:pPr>
        <w:spacing w:after="120"/>
      </w:pPr>
      <w:r>
        <w:rPr>
          <w:rFonts w:ascii="Arial" w:cs="Arial" w:eastAsia="Arial" w:hAnsi="Arial"/>
          <w:sz w:val="22"/>
          <w:szCs w:val="22"/>
        </w:rPr>
        <w:t xml:space="preserve">OpenAI reduces commitments or restructures deal terms (Stargate already stalling). GPU supply normalizes as NVIDIA ramps production, compressing OCI margins. Oracle’s $108B debt becomes a structural drag as interest costs consume operating cash flow. Credit rating downgrade triggers covenant issues. Application business loses share to Workday/SAP/Microsoft. Revenue growth stalls at single digits. Stock de-rates to 4-5x NTM revenue.</w:t>
      </w:r>
    </w:p>
    <w:p>
      <w:pPr>
        <w:spacing w:after="120"/>
      </w:pPr>
      <w:r>
        <w:rPr>
          <w:rFonts w:ascii="Arial" w:cs="Arial" w:eastAsia="Arial" w:hAnsi="Arial"/>
          <w:sz w:val="22"/>
          <w:szCs w:val="22"/>
        </w:rPr>
        <w:t xml:space="preserve">Displacement mechanism: Not classical SaaS displacement — Oracle’s databases are too embedded to lose quickly. The bear case is financial, not technological. Oracle borrowed $108B to bet on AI infrastructure demand that may not materialize at the scale required to service the debt. This is a balance sheet crisis risk, not a product obsolescence risk.</w:t>
      </w:r>
    </w:p>
    <w:p>
      <w:pPr>
        <w:spacing w:after="80"/>
      </w:pPr>
    </w:p>
    <w:p>
      <w:pPr>
        <w:spacing w:after="80"/>
      </w:pPr>
      <w:r>
        <w:rPr>
          <w:rFonts w:ascii="Arial" w:cs="Arial" w:eastAsia="Arial" w:hAnsi="Arial"/>
          <w:b/>
          <w:bCs/>
          <w:sz w:val="22"/>
          <w:szCs w:val="22"/>
        </w:rPr>
        <w:t xml:space="preserve">Bustamante Timing Overlay: </w:t>
      </w:r>
      <w:r>
        <w:rPr>
          <w:rFonts w:ascii="Arial" w:cs="Arial" w:eastAsia="Arial" w:hAnsi="Arial"/>
          <w:sz w:val="22"/>
          <w:szCs w:val="22"/>
        </w:rPr>
        <w:t xml:space="preserve">Year 2-3 of AI infrastructure buildout. The bear case is primarily margin compression + balance sheet stress, not revenue cliff. Database contracts run 3-5+ years. ERP contracts run 3 years. Revenue won’t cliff. But the debt-funded CapEx bet means the bear case is financial distress, which is more severe and more immediate than a gradual NRR decline.</w:t>
      </w:r>
    </w:p>
    <w:p>
      <w:pPr>
        <w:spacing w:after="80"/>
      </w:pPr>
      <w:r>
        <w:rPr>
          <w:rFonts w:ascii="Arial" w:cs="Arial" w:eastAsia="Arial" w:hAnsi="Arial"/>
          <w:b/>
          <w:bCs/>
          <w:sz w:val="22"/>
          <w:szCs w:val="22"/>
        </w:rPr>
        <w:t xml:space="preserve">Bear case mechanism: </w:t>
      </w:r>
      <w:r>
        <w:rPr>
          <w:rFonts w:ascii="Arial" w:cs="Arial" w:eastAsia="Arial" w:hAnsi="Arial"/>
          <w:sz w:val="22"/>
          <w:szCs w:val="22"/>
        </w:rPr>
        <w:t xml:space="preserve">BOTH multiple compression AND potential financial distress from debt load.</w:t>
      </w:r>
    </w:p>
    <w:p>
      <w:pPr>
        <w:pStyle w:val="Heading2"/>
        <w:spacing w:after="160" w:before="280"/>
      </w:pPr>
      <w:r>
        <w:rPr>
          <w:rFonts w:ascii="Arial" w:cs="Arial" w:eastAsia="Arial" w:hAnsi="Arial"/>
          <w:b/>
          <w:bCs/>
          <w:sz w:val="28"/>
          <w:szCs w:val="28"/>
        </w:rPr>
        <w:t xml:space="preserve">STEP 8: VALUATION GATE</w:t>
      </w:r>
    </w:p>
    <w:p>
      <w:pPr>
        <w:pStyle w:val="Heading3"/>
        <w:spacing w:after="120" w:before="200"/>
      </w:pPr>
      <w:r>
        <w:rPr>
          <w:rFonts w:ascii="Arial" w:cs="Arial" w:eastAsia="Arial" w:hAnsi="Arial"/>
          <w:b/>
          <w:bCs/>
          <w:sz w:val="24"/>
          <w:szCs w:val="24"/>
        </w:rPr>
        <w:t xml:space="preserve">8A. Current Valuation</w:t>
      </w:r>
    </w:p>
    <w:p>
      <w:pPr>
        <w:spacing w:after="80"/>
      </w:pPr>
      <w:r>
        <w:rPr>
          <w:rFonts w:ascii="Arial" w:cs="Arial" w:eastAsia="Arial" w:hAnsi="Arial"/>
          <w:b/>
          <w:bCs/>
          <w:sz w:val="22"/>
          <w:szCs w:val="22"/>
        </w:rPr>
        <w:t xml:space="preserve">Current EV: </w:t>
      </w:r>
      <w:r>
        <w:rPr>
          <w:rFonts w:ascii="Arial" w:cs="Arial" w:eastAsia="Arial" w:hAnsi="Arial"/>
          <w:sz w:val="22"/>
          <w:szCs w:val="22"/>
        </w:rPr>
        <w:t xml:space="preserve">~$545B (March 2026)</w:t>
      </w:r>
    </w:p>
    <w:p>
      <w:pPr>
        <w:spacing w:after="80"/>
      </w:pPr>
      <w:r>
        <w:rPr>
          <w:rFonts w:ascii="Arial" w:cs="Arial" w:eastAsia="Arial" w:hAnsi="Arial"/>
          <w:b/>
          <w:bCs/>
          <w:sz w:val="22"/>
          <w:szCs w:val="22"/>
        </w:rPr>
        <w:t xml:space="preserve">NTM Revenue estimate (FY2027 consensus): </w:t>
      </w:r>
      <w:r>
        <w:rPr>
          <w:rFonts w:ascii="Arial" w:cs="Arial" w:eastAsia="Arial" w:hAnsi="Arial"/>
          <w:sz w:val="22"/>
          <w:szCs w:val="22"/>
        </w:rPr>
        <w:t xml:space="preserve">~$86.6B (management guidance: $90B)</w:t>
      </w:r>
    </w:p>
    <w:p>
      <w:pPr>
        <w:spacing w:after="80"/>
      </w:pPr>
      <w:r>
        <w:rPr>
          <w:rFonts w:ascii="Arial" w:cs="Arial" w:eastAsia="Arial" w:hAnsi="Arial"/>
          <w:b/>
          <w:bCs/>
          <w:sz w:val="22"/>
          <w:szCs w:val="22"/>
        </w:rPr>
        <w:t xml:space="preserve">Current NTM EV/Revenue: </w:t>
      </w:r>
      <w:r>
        <w:rPr>
          <w:rFonts w:ascii="Arial" w:cs="Arial" w:eastAsia="Arial" w:hAnsi="Arial"/>
          <w:sz w:val="22"/>
          <w:szCs w:val="22"/>
        </w:rPr>
        <w:t xml:space="preserve">~6.3x (using $86.6B consensus) or ~6.1x (using $90B guidance)</w:t>
      </w:r>
    </w:p>
    <w:p>
      <w:pPr>
        <w:pStyle w:val="Heading3"/>
        <w:spacing w:after="120" w:before="200"/>
      </w:pPr>
      <w:r>
        <w:rPr>
          <w:rFonts w:ascii="Arial" w:cs="Arial" w:eastAsia="Arial" w:hAnsi="Arial"/>
          <w:b/>
          <w:bCs/>
          <w:sz w:val="24"/>
          <w:szCs w:val="24"/>
        </w:rPr>
        <w:t xml:space="preserve">8B. Implied Growth Check</w:t>
      </w:r>
    </w:p>
    <w:p>
      <w:pPr>
        <w:spacing w:after="120"/>
      </w:pPr>
      <w:r>
        <w:rPr>
          <w:rFonts w:ascii="Arial" w:cs="Arial" w:eastAsia="Arial" w:hAnsi="Arial"/>
          <w:sz w:val="22"/>
          <w:szCs w:val="22"/>
        </w:rPr>
        <w:t xml:space="preserve">At $545B EV and a 5x terminal multiple, Oracle needs to grow revenue to ~$109B in 10 years to justify current valuation (assuming no multiple expansion). From current TTM ~$64B, this implies ~5.5% 10-year revenue CAGR — well below current growth rate of 22%.</w:t>
      </w:r>
    </w:p>
    <w:p>
      <w:pPr>
        <w:spacing w:after="120"/>
      </w:pPr>
      <w:r>
        <w:rPr>
          <w:rFonts w:ascii="Arial" w:cs="Arial" w:eastAsia="Arial" w:hAnsi="Arial"/>
          <w:sz w:val="22"/>
          <w:szCs w:val="22"/>
        </w:rPr>
        <w:t xml:space="preserve">However, this simple calculation ignores the $108B debt load and negative FCF. On a debt-adjusted basis, equity investors need Oracle to grow AND generate sufficient FCF to service/reduce debt. The implied growth hurdle is achievable IF margins stabilize, but the margin compression trajectory (77% → 49% projected) means revenue growth alone is insufficient.</w:t>
      </w:r>
    </w:p>
    <w:p>
      <w:pPr>
        <w:spacing w:after="80"/>
      </w:pPr>
      <w:r>
        <w:rPr>
          <w:rFonts w:ascii="Arial" w:cs="Arial" w:eastAsia="Arial" w:hAnsi="Arial"/>
          <w:b/>
          <w:bCs/>
          <w:sz w:val="22"/>
          <w:szCs w:val="22"/>
        </w:rPr>
        <w:t xml:space="preserve">Implied 10-year revenue CAGR: </w:t>
      </w:r>
      <w:r>
        <w:rPr>
          <w:rFonts w:ascii="Arial" w:cs="Arial" w:eastAsia="Arial" w:hAnsi="Arial"/>
          <w:sz w:val="22"/>
          <w:szCs w:val="22"/>
        </w:rPr>
        <w:t xml:space="preserve">~5.5% (achievable)</w:t>
      </w:r>
    </w:p>
    <w:p>
      <w:pPr>
        <w:spacing w:after="80"/>
      </w:pPr>
      <w:r>
        <w:rPr>
          <w:rFonts w:ascii="Arial" w:cs="Arial" w:eastAsia="Arial" w:hAnsi="Arial"/>
          <w:b/>
          <w:bCs/>
          <w:sz w:val="22"/>
          <w:szCs w:val="22"/>
        </w:rPr>
        <w:t xml:space="preserve">Current growth rate: </w:t>
      </w:r>
      <w:r>
        <w:rPr>
          <w:rFonts w:ascii="Arial" w:cs="Arial" w:eastAsia="Arial" w:hAnsi="Arial"/>
          <w:sz w:val="22"/>
          <w:szCs w:val="22"/>
        </w:rPr>
        <w:t xml:space="preserve">22% (but decelerating and margin-compressive)</w:t>
      </w:r>
    </w:p>
    <w:p>
      <w:pPr>
        <w:spacing w:after="80"/>
      </w:pPr>
      <w:r>
        <w:rPr>
          <w:rFonts w:ascii="Arial" w:cs="Arial" w:eastAsia="Arial" w:hAnsi="Arial"/>
          <w:b/>
          <w:bCs/>
          <w:sz w:val="22"/>
          <w:szCs w:val="22"/>
        </w:rPr>
        <w:t xml:space="preserve">Is implied CAGR achievable? </w:t>
      </w:r>
      <w:r>
        <w:rPr>
          <w:rFonts w:ascii="Arial" w:cs="Arial" w:eastAsia="Arial" w:hAnsi="Arial"/>
          <w:sz w:val="22"/>
          <w:szCs w:val="22"/>
        </w:rPr>
        <w:t xml:space="preserve">YES for revenue. UNCERTAIN for FCF generation given debt load.</w:t>
      </w:r>
    </w:p>
    <w:p>
      <w:pPr>
        <w:pStyle w:val="Heading3"/>
        <w:spacing w:after="120" w:before="200"/>
      </w:pPr>
      <w:r>
        <w:rPr>
          <w:rFonts w:ascii="Arial" w:cs="Arial" w:eastAsia="Arial" w:hAnsi="Arial"/>
          <w:b/>
          <w:bCs/>
          <w:sz w:val="24"/>
          <w:szCs w:val="24"/>
        </w:rPr>
        <w:t xml:space="preserve">8C. Margin-of-Safety Matrix</w:t>
      </w:r>
    </w:p>
    <w:p>
      <w:pPr>
        <w:spacing w:after="80"/>
      </w:pPr>
      <w:r>
        <w:rPr>
          <w:rFonts w:ascii="Arial" w:cs="Arial" w:eastAsia="Arial" w:hAnsi="Arial"/>
          <w:b/>
          <w:bCs/>
          <w:sz w:val="22"/>
          <w:szCs w:val="22"/>
        </w:rPr>
        <w:t xml:space="preserve">Classification: </w:t>
      </w:r>
      <w:r>
        <w:rPr>
          <w:rFonts w:ascii="Arial" w:cs="Arial" w:eastAsia="Arial" w:hAnsi="Arial"/>
          <w:sz w:val="22"/>
          <w:szCs w:val="22"/>
        </w:rPr>
        <w:t xml:space="preserve">ROBUST (modifier-dependent)</w:t>
      </w:r>
    </w:p>
    <w:p>
      <w:pPr>
        <w:spacing w:after="80"/>
      </w:pPr>
      <w:r>
        <w:rPr>
          <w:rFonts w:ascii="Arial" w:cs="Arial" w:eastAsia="Arial" w:hAnsi="Arial"/>
          <w:b/>
          <w:bCs/>
          <w:sz w:val="22"/>
          <w:szCs w:val="22"/>
        </w:rPr>
        <w:t xml:space="preserve">Acceptable entry for Robust: </w:t>
      </w:r>
      <w:r>
        <w:rPr>
          <w:rFonts w:ascii="Arial" w:cs="Arial" w:eastAsia="Arial" w:hAnsi="Arial"/>
          <w:sz w:val="22"/>
          <w:szCs w:val="22"/>
        </w:rPr>
        <w:t xml:space="preserve">up to 8x NTM EV/Revenue</w:t>
      </w:r>
    </w:p>
    <w:p>
      <w:pPr>
        <w:spacing w:after="80"/>
      </w:pPr>
      <w:r>
        <w:rPr>
          <w:rFonts w:ascii="Arial" w:cs="Arial" w:eastAsia="Arial" w:hAnsi="Arial"/>
          <w:b/>
          <w:bCs/>
          <w:sz w:val="22"/>
          <w:szCs w:val="22"/>
        </w:rPr>
        <w:t xml:space="preserve">Current multiple: </w:t>
      </w:r>
      <w:r>
        <w:rPr>
          <w:rFonts w:ascii="Arial" w:cs="Arial" w:eastAsia="Arial" w:hAnsi="Arial"/>
          <w:sz w:val="22"/>
          <w:szCs w:val="22"/>
        </w:rPr>
        <w:t xml:space="preserve">~6.3x NTM EV/Revenue</w:t>
      </w:r>
    </w:p>
    <w:p>
      <w:pPr>
        <w:spacing w:after="80"/>
      </w:pPr>
      <w:r>
        <w:rPr>
          <w:rFonts w:ascii="Arial" w:cs="Arial" w:eastAsia="Arial" w:hAnsi="Arial"/>
          <w:b/>
          <w:bCs/>
          <w:sz w:val="22"/>
          <w:szCs w:val="22"/>
        </w:rPr>
        <w:t xml:space="preserve">Valuation Gate: </w:t>
      </w:r>
      <w:r>
        <w:rPr>
          <w:rFonts w:ascii="Arial" w:cs="Arial" w:eastAsia="Arial" w:hAnsi="Arial"/>
          <w:sz w:val="22"/>
          <w:szCs w:val="22"/>
        </w:rPr>
        <w:t xml:space="preserve">PASS — trading below acceptable entry for Robust classification</w:t>
      </w:r>
    </w:p>
    <w:p>
      <w:pPr>
        <w:pStyle w:val="Heading3"/>
        <w:spacing w:after="120" w:before="200"/>
      </w:pPr>
      <w:r>
        <w:rPr>
          <w:rFonts w:ascii="Arial" w:cs="Arial" w:eastAsia="Arial" w:hAnsi="Arial"/>
          <w:b/>
          <w:bCs/>
          <w:sz w:val="24"/>
          <w:szCs w:val="24"/>
        </w:rPr>
        <w:t xml:space="preserve">8D. Historical Multiple Context</w:t>
      </w:r>
    </w:p>
    <w:p>
      <w:pPr>
        <w:spacing w:after="80"/>
      </w:pPr>
      <w:r>
        <w:rPr>
          <w:rFonts w:ascii="Arial" w:cs="Arial" w:eastAsia="Arial" w:hAnsi="Arial"/>
          <w:b/>
          <w:bCs/>
          <w:sz w:val="22"/>
          <w:szCs w:val="22"/>
        </w:rPr>
        <w:t xml:space="preserve">3-year average NTM EV/Revenue: </w:t>
      </w:r>
      <w:r>
        <w:rPr>
          <w:rFonts w:ascii="Arial" w:cs="Arial" w:eastAsia="Arial" w:hAnsi="Arial"/>
          <w:sz w:val="22"/>
          <w:szCs w:val="22"/>
        </w:rPr>
        <w:t xml:space="preserve">~8-9x (peaked at ~11.5x in Sept 2025)</w:t>
      </w:r>
    </w:p>
    <w:p>
      <w:pPr>
        <w:spacing w:after="80"/>
      </w:pPr>
      <w:r>
        <w:rPr>
          <w:rFonts w:ascii="Arial" w:cs="Arial" w:eastAsia="Arial" w:hAnsi="Arial"/>
          <w:b/>
          <w:bCs/>
          <w:sz w:val="22"/>
          <w:szCs w:val="22"/>
        </w:rPr>
        <w:t xml:space="preserve">Current as % of historical average: </w:t>
      </w:r>
      <w:r>
        <w:rPr>
          <w:rFonts w:ascii="Arial" w:cs="Arial" w:eastAsia="Arial" w:hAnsi="Arial"/>
          <w:sz w:val="22"/>
          <w:szCs w:val="22"/>
        </w:rPr>
        <w:t xml:space="preserve">~70-75% of 3-year average</w:t>
      </w:r>
    </w:p>
    <w:p>
      <w:pPr>
        <w:spacing w:after="120"/>
      </w:pPr>
      <w:r>
        <w:rPr>
          <w:rFonts w:ascii="Arial" w:cs="Arial" w:eastAsia="Arial" w:hAnsi="Arial"/>
          <w:sz w:val="22"/>
          <w:szCs w:val="22"/>
        </w:rPr>
        <w:t xml:space="preserve">The discount is partly warranted — the market is correctly pricing in the debt risk, OpenAI concentration, and margin compression. However, the 50% decline from peak may overshoot if the base case (managed transition) materializes. The re-rating catalyst would be: (1) positive FCF achievement, (2) diversification of OCI customer base beyond OpenAI/Meta, (3) AI application product traction with disclosed metrics.</w:t>
      </w:r>
    </w:p>
    <w:p>
      <w:r>
        <w:br w:type="page"/>
      </w:r>
    </w:p>
    <w:p>
      <w:pPr>
        <w:pStyle w:val="Heading1"/>
        <w:spacing w:after="200" w:before="360"/>
      </w:pPr>
      <w:r>
        <w:rPr>
          <w:rFonts w:ascii="Arial" w:cs="Arial" w:eastAsia="Arial" w:hAnsi="Arial"/>
          <w:b/>
          <w:bCs/>
          <w:sz w:val="32"/>
          <w:szCs w:val="32"/>
        </w:rPr>
        <w:t xml:space="preserve">STEP 9: FINAL VERDICT</w:t>
      </w:r>
    </w:p>
    <w:p>
      <w:pPr>
        <w:spacing w:after="80"/>
      </w:pPr>
    </w:p>
    <w:p>
      <w:pPr>
        <w:spacing w:after="80"/>
      </w:pPr>
      <w:r>
        <w:rPr>
          <w:rFonts w:ascii="Arial" w:cs="Arial" w:eastAsia="Arial" w:hAnsi="Arial"/>
          <w:b/>
          <w:bCs/>
          <w:sz w:val="22"/>
          <w:szCs w:val="22"/>
        </w:rPr>
        <w:t xml:space="preserve">Company: </w:t>
      </w:r>
      <w:r>
        <w:rPr>
          <w:rFonts w:ascii="Arial" w:cs="Arial" w:eastAsia="Arial" w:hAnsi="Arial"/>
          <w:sz w:val="22"/>
          <w:szCs w:val="22"/>
        </w:rPr>
        <w:t xml:space="preserve">Oracle Corporation</w:t>
      </w:r>
    </w:p>
    <w:p>
      <w:pPr>
        <w:spacing w:after="80"/>
      </w:pPr>
      <w:r>
        <w:rPr>
          <w:rFonts w:ascii="Arial" w:cs="Arial" w:eastAsia="Arial" w:hAnsi="Arial"/>
          <w:b/>
          <w:bCs/>
          <w:sz w:val="22"/>
          <w:szCs w:val="22"/>
        </w:rPr>
        <w:t xml:space="preserve">Ticker: </w:t>
      </w:r>
      <w:r>
        <w:rPr>
          <w:rFonts w:ascii="Arial" w:cs="Arial" w:eastAsia="Arial" w:hAnsi="Arial"/>
          <w:sz w:val="22"/>
          <w:szCs w:val="22"/>
        </w:rPr>
        <w:t xml:space="preserve">ORCL (NYSE)</w:t>
      </w:r>
    </w:p>
    <w:p>
      <w:pPr>
        <w:spacing w:after="80"/>
      </w:pPr>
      <w:r>
        <w:rPr>
          <w:rFonts w:ascii="Arial" w:cs="Arial" w:eastAsia="Arial" w:hAnsi="Arial"/>
          <w:b/>
          <w:bCs/>
          <w:sz w:val="22"/>
          <w:szCs w:val="22"/>
        </w:rPr>
        <w:t xml:space="preserve">Date of Assessment: </w:t>
      </w:r>
      <w:r>
        <w:rPr>
          <w:rFonts w:ascii="Arial" w:cs="Arial" w:eastAsia="Arial" w:hAnsi="Arial"/>
          <w:sz w:val="22"/>
          <w:szCs w:val="22"/>
        </w:rPr>
        <w:t xml:space="preserve">March 17, 2026</w:t>
      </w:r>
    </w:p>
    <w:p>
      <w:pPr>
        <w:spacing w:after="80"/>
      </w:pPr>
      <w:r>
        <w:rPr>
          <w:rFonts w:ascii="Arial" w:cs="Arial" w:eastAsia="Arial" w:hAnsi="Arial"/>
          <w:b/>
          <w:bCs/>
          <w:sz w:val="22"/>
          <w:szCs w:val="22"/>
        </w:rPr>
        <w:t xml:space="preserve">Pre-Screen Date: </w:t>
      </w:r>
      <w:r>
        <w:rPr>
          <w:rFonts w:ascii="Arial" w:cs="Arial" w:eastAsia="Arial" w:hAnsi="Arial"/>
          <w:sz w:val="22"/>
          <w:szCs w:val="22"/>
        </w:rPr>
        <w:t xml:space="preserve">March 17, 2026 (same-day)</w:t>
      </w:r>
    </w:p>
    <w:p>
      <w:pPr>
        <w:spacing w:after="80"/>
      </w:pPr>
    </w:p>
    <w:p>
      <w:pPr>
        <w:pStyle w:val="Heading2"/>
        <w:spacing w:after="160" w:before="280"/>
      </w:pPr>
      <w:r>
        <w:rPr>
          <w:rFonts w:ascii="Arial" w:cs="Arial" w:eastAsia="Arial" w:hAnsi="Arial"/>
          <w:b/>
          <w:bCs/>
          <w:sz w:val="28"/>
          <w:szCs w:val="28"/>
        </w:rPr>
        <w:t xml:space="preserve">INTEGRATED SCORECARD</w:t>
      </w:r>
    </w:p>
    <w:p>
      <w:pPr>
        <w:pStyle w:val="Heading3"/>
        <w:spacing w:after="120" w:before="200"/>
      </w:pPr>
      <w:r>
        <w:rPr>
          <w:rFonts w:ascii="Arial" w:cs="Arial" w:eastAsia="Arial" w:hAnsi="Arial"/>
          <w:b/>
          <w:bCs/>
          <w:sz w:val="24"/>
          <w:szCs w:val="24"/>
        </w:rPr>
        <w:t xml:space="preserve">MDI Pre-Screen Summary</w:t>
      </w:r>
    </w:p>
    <w:p>
      <w:pPr>
        <w:spacing w:after="80"/>
      </w:pPr>
      <w:r>
        <w:rPr>
          <w:rFonts w:ascii="Arial" w:cs="Arial" w:eastAsia="Arial" w:hAnsi="Arial"/>
          <w:b/>
          <w:bCs/>
          <w:sz w:val="22"/>
          <w:szCs w:val="22"/>
        </w:rPr>
        <w:t xml:space="preserve">MDI Score: </w:t>
      </w:r>
      <w:r>
        <w:rPr>
          <w:rFonts w:ascii="Arial" w:cs="Arial" w:eastAsia="Arial" w:hAnsi="Arial"/>
          <w:sz w:val="22"/>
          <w:szCs w:val="22"/>
        </w:rPr>
        <w:t xml:space="preserve">3 / 5 intact moats → MEDIUM RISK</w:t>
      </w:r>
    </w:p>
    <w:p>
      <w:pPr>
        <w:spacing w:after="80"/>
      </w:pPr>
      <w:r>
        <w:rPr>
          <w:rFonts w:ascii="Arial" w:cs="Arial" w:eastAsia="Arial" w:hAnsi="Arial"/>
          <w:b/>
          <w:bCs/>
          <w:sz w:val="22"/>
          <w:szCs w:val="22"/>
        </w:rPr>
        <w:t xml:space="preserve">Three-Question: </w:t>
      </w:r>
      <w:r>
        <w:rPr>
          <w:rFonts w:ascii="Arial" w:cs="Arial" w:eastAsia="Arial" w:hAnsi="Arial"/>
          <w:sz w:val="22"/>
          <w:szCs w:val="22"/>
        </w:rPr>
        <w:t xml:space="preserve">2 / 3 → Lower Risk</w:t>
      </w:r>
    </w:p>
    <w:p>
      <w:pPr>
        <w:spacing w:after="80"/>
      </w:pPr>
      <w:r>
        <w:rPr>
          <w:rFonts w:ascii="Arial" w:cs="Arial" w:eastAsia="Arial" w:hAnsi="Arial"/>
          <w:b/>
          <w:bCs/>
          <w:sz w:val="22"/>
          <w:szCs w:val="22"/>
        </w:rPr>
        <w:t xml:space="preserve">Disruption Stage: </w:t>
      </w:r>
      <w:r>
        <w:rPr>
          <w:rFonts w:ascii="Arial" w:cs="Arial" w:eastAsia="Arial" w:hAnsi="Arial"/>
          <w:sz w:val="22"/>
          <w:szCs w:val="22"/>
        </w:rPr>
        <w:t xml:space="preserve">Mid-Late</w:t>
      </w:r>
    </w:p>
    <w:p>
      <w:pPr>
        <w:spacing w:after="80"/>
      </w:pPr>
      <w:r>
        <w:rPr>
          <w:rFonts w:ascii="Arial" w:cs="Arial" w:eastAsia="Arial" w:hAnsi="Arial"/>
          <w:b/>
          <w:bCs/>
          <w:sz w:val="22"/>
          <w:szCs w:val="22"/>
        </w:rPr>
        <w:t xml:space="preserve">Horizontal Platform Threat: </w:t>
      </w:r>
      <w:r>
        <w:rPr>
          <w:rFonts w:ascii="Arial" w:cs="Arial" w:eastAsia="Arial" w:hAnsi="Arial"/>
          <w:sz w:val="22"/>
          <w:szCs w:val="22"/>
        </w:rPr>
        <w:t xml:space="preserve">HIGH</w:t>
      </w:r>
    </w:p>
    <w:p>
      <w:pPr>
        <w:spacing w:after="80"/>
      </w:pPr>
      <w:r>
        <w:rPr>
          <w:rFonts w:ascii="Arial" w:cs="Arial" w:eastAsia="Arial" w:hAnsi="Arial"/>
          <w:b/>
          <w:bCs/>
          <w:sz w:val="22"/>
          <w:szCs w:val="22"/>
        </w:rPr>
        <w:t xml:space="preserve">Key Moats Destroyed: </w:t>
      </w:r>
      <w:r>
        <w:rPr>
          <w:rFonts w:ascii="Arial" w:cs="Arial" w:eastAsia="Arial" w:hAnsi="Arial"/>
          <w:sz w:val="22"/>
          <w:szCs w:val="22"/>
        </w:rPr>
        <w:t xml:space="preserve">Learned Interface, Custom Workflows, Talent Scarcity (partially)</w:t>
      </w:r>
    </w:p>
    <w:p>
      <w:pPr>
        <w:spacing w:after="80"/>
      </w:pPr>
      <w:r>
        <w:rPr>
          <w:rFonts w:ascii="Arial" w:cs="Arial" w:eastAsia="Arial" w:hAnsi="Arial"/>
          <w:b/>
          <w:bCs/>
          <w:sz w:val="22"/>
          <w:szCs w:val="22"/>
        </w:rPr>
        <w:t xml:space="preserve">Key Moats Holding: </w:t>
      </w:r>
      <w:r>
        <w:rPr>
          <w:rFonts w:ascii="Arial" w:cs="Arial" w:eastAsia="Arial" w:hAnsi="Arial"/>
          <w:sz w:val="22"/>
          <w:szCs w:val="22"/>
        </w:rPr>
        <w:t xml:space="preserve">Transaction Embedding, System of Record, Regulatory Lock-in</w:t>
      </w:r>
    </w:p>
    <w:p>
      <w:pPr>
        <w:pStyle w:val="Heading3"/>
        <w:spacing w:after="120" w:before="200"/>
      </w:pPr>
      <w:r>
        <w:rPr>
          <w:rFonts w:ascii="Arial" w:cs="Arial" w:eastAsia="Arial" w:hAnsi="Arial"/>
          <w:b/>
          <w:bCs/>
          <w:sz w:val="24"/>
          <w:szCs w:val="24"/>
        </w:rPr>
        <w:t xml:space="preserve">Dimension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500"/>
        <w:gridCol w:w="3160"/>
      </w:tblGrid>
      <w:tr>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31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Weighted</w:t>
            </w:r>
          </w:p>
        </w:tc>
      </w:tr>
      <w:tr>
        <w:tc>
          <w:tcPr>
            <w:tcW w:type="dxa" w:w="3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D1 Liability Shield</w:t>
            </w:r>
          </w:p>
        </w:tc>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15%</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6 / 10</w:t>
            </w:r>
          </w:p>
        </w:tc>
        <w:tc>
          <w:tcPr>
            <w:tcW w:type="dxa" w:w="31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0.90</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D2 Business Model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 / 10</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1.50</w:t>
            </w:r>
          </w:p>
        </w:tc>
      </w:tr>
      <w:tr>
        <w:tc>
          <w:tcPr>
            <w:tcW w:type="dxa" w:w="3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D3 Physical Integration</w:t>
            </w:r>
          </w:p>
        </w:tc>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15%</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7 / 10</w:t>
            </w:r>
          </w:p>
        </w:tc>
        <w:tc>
          <w:tcPr>
            <w:tcW w:type="dxa" w:w="31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1.05</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D4 Network Effects &amp; Data Gravity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 / 10</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1.60</w:t>
            </w:r>
          </w:p>
        </w:tc>
      </w:tr>
      <w:tr>
        <w:tc>
          <w:tcPr>
            <w:tcW w:type="dxa" w:w="3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Raw Composite</w:t>
            </w:r>
          </w:p>
        </w:tc>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
            </w:r>
          </w:p>
        </w:tc>
        <w:tc>
          <w:tcPr>
            <w:tcW w:type="dxa" w:w="31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5.05</w:t>
            </w:r>
          </w:p>
        </w:tc>
      </w:tr>
    </w:tbl>
    <w:p>
      <w:pPr>
        <w:spacing w:after="80"/>
      </w:pPr>
    </w:p>
    <w:p>
      <w:pPr>
        <w:pStyle w:val="Heading3"/>
        <w:spacing w:after="120" w:before="200"/>
      </w:pPr>
      <w:r>
        <w:rPr>
          <w:rFonts w:ascii="Arial" w:cs="Arial" w:eastAsia="Arial" w:hAnsi="Arial"/>
          <w:b/>
          <w:bCs/>
          <w:sz w:val="24"/>
          <w:szCs w:val="24"/>
        </w:rPr>
        <w:t xml:space="preserve">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Modifier</w:t>
            </w:r>
          </w:p>
        </w:tc>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3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Modifier Applied</w:t>
            </w:r>
          </w:p>
        </w:tc>
      </w:tr>
      <w:tr>
        <w:tc>
          <w:tcPr>
            <w:tcW w:type="dxa" w:w="3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DIP (Data Integrity Premium)</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 / 5</w:t>
            </w:r>
          </w:p>
        </w:tc>
        <w:tc>
          <w:tcPr>
            <w:tcW w:type="dxa" w:w="3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+1.20</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CPP (Counter-Positioning)</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 / 12</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+0.50</w:t>
            </w:r>
          </w:p>
        </w:tc>
      </w:tr>
      <w:tr>
        <w:tc>
          <w:tcPr>
            <w:tcW w:type="dxa" w:w="3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Final Composite</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
            </w:r>
          </w:p>
        </w:tc>
        <w:tc>
          <w:tcPr>
            <w:tcW w:type="dxa" w:w="3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6.75</w:t>
            </w:r>
          </w:p>
        </w:tc>
      </w:tr>
    </w:tbl>
    <w:p>
      <w:pPr>
        <w:spacing w:after="80"/>
      </w:pPr>
    </w:p>
    <w:p>
      <w:pPr>
        <w:spacing w:after="80"/>
      </w:pPr>
      <w:r>
        <w:rPr>
          <w:rFonts w:ascii="Arial" w:cs="Arial" w:eastAsia="Arial" w:hAnsi="Arial"/>
          <w:b/>
          <w:bCs/>
          <w:sz w:val="22"/>
          <w:szCs w:val="22"/>
        </w:rPr>
        <w:t xml:space="preserve">Classification: </w:t>
      </w:r>
      <w:r>
        <w:rPr>
          <w:rFonts w:ascii="Arial" w:cs="Arial" w:eastAsia="Arial" w:hAnsi="Arial"/>
          <w:sz w:val="22"/>
          <w:szCs w:val="22"/>
        </w:rPr>
        <w:t xml:space="preserve">ROBUST (MODIFIER-DEPENDENT)</w:t>
      </w:r>
    </w:p>
    <w:p>
      <w:pPr>
        <w:spacing w:after="80"/>
      </w:pPr>
      <w:r>
        <w:rPr>
          <w:rFonts w:ascii="Arial" w:cs="Arial" w:eastAsia="Arial" w:hAnsi="Arial"/>
          <w:b/>
          <w:bCs/>
          <w:sz w:val="22"/>
          <w:szCs w:val="22"/>
        </w:rPr>
        <w:t xml:space="preserve">DIP/CPP Profile: </w:t>
      </w:r>
      <w:r>
        <w:rPr>
          <w:rFonts w:ascii="Arial" w:cs="Arial" w:eastAsia="Arial" w:hAnsi="Arial"/>
          <w:sz w:val="22"/>
          <w:szCs w:val="22"/>
        </w:rPr>
        <w:t xml:space="preserve">High DIP + Low CPP → Defensive incumbent</w:t>
      </w:r>
    </w:p>
    <w:p>
      <w:pPr>
        <w:spacing w:after="80"/>
      </w:pPr>
    </w:p>
    <w:p>
      <w:pPr>
        <w:spacing w:after="80"/>
      </w:pPr>
      <w:r>
        <w:rPr>
          <w:rFonts w:ascii="Arial" w:cs="Arial" w:eastAsia="Arial" w:hAnsi="Arial"/>
          <w:b/>
          <w:bCs/>
          <w:sz w:val="22"/>
          <w:szCs w:val="22"/>
        </w:rPr>
        <w:t xml:space="preserve">Scenarios: </w:t>
      </w:r>
      <w:r>
        <w:rPr>
          <w:rFonts w:ascii="Arial" w:cs="Arial" w:eastAsia="Arial" w:hAnsi="Arial"/>
          <w:sz w:val="22"/>
          <w:szCs w:val="22"/>
        </w:rPr>
        <w:t xml:space="preserve">Bull: 25% | Base: 45% | Bear: 30%</w:t>
      </w:r>
    </w:p>
    <w:p>
      <w:pPr>
        <w:spacing w:after="80"/>
      </w:pPr>
    </w:p>
    <w:p>
      <w:pPr>
        <w:spacing w:after="80"/>
      </w:pPr>
      <w:r>
        <w:rPr>
          <w:rFonts w:ascii="Arial" w:cs="Arial" w:eastAsia="Arial" w:hAnsi="Arial"/>
          <w:b/>
          <w:bCs/>
          <w:sz w:val="22"/>
          <w:szCs w:val="22"/>
        </w:rPr>
        <w:t xml:space="preserve">Valuation: </w:t>
      </w:r>
      <w:r>
        <w:rPr>
          <w:rFonts w:ascii="Arial" w:cs="Arial" w:eastAsia="Arial" w:hAnsi="Arial"/>
          <w:sz w:val="22"/>
          <w:szCs w:val="22"/>
        </w:rPr>
        <w:t xml:space="preserve">NTM EV/Revenue: ~6.3x (acceptable for Robust: up to 8x)</w:t>
      </w:r>
    </w:p>
    <w:p>
      <w:pPr>
        <w:spacing w:after="80"/>
      </w:pPr>
      <w:r>
        <w:rPr>
          <w:rFonts w:ascii="Arial" w:cs="Arial" w:eastAsia="Arial" w:hAnsi="Arial"/>
          <w:b/>
          <w:bCs/>
          <w:sz w:val="22"/>
          <w:szCs w:val="22"/>
        </w:rPr>
        <w:t xml:space="preserve">Valuation Gate: </w:t>
      </w:r>
      <w:r>
        <w:rPr>
          <w:rFonts w:ascii="Arial" w:cs="Arial" w:eastAsia="Arial" w:hAnsi="Arial"/>
          <w:sz w:val="22"/>
          <w:szCs w:val="22"/>
        </w:rPr>
        <w:t xml:space="preserve">PASS</w:t>
      </w:r>
    </w:p>
    <w:p>
      <w:pPr>
        <w:spacing w:after="80"/>
      </w:pPr>
    </w:p>
    <w:p>
      <w:pPr>
        <w:pStyle w:val="Heading2"/>
        <w:spacing w:after="160" w:before="280"/>
      </w:pPr>
      <w:r>
        <w:rPr>
          <w:rFonts w:ascii="Arial" w:cs="Arial" w:eastAsia="Arial" w:hAnsi="Arial"/>
          <w:b/>
          <w:bCs/>
          <w:sz w:val="28"/>
          <w:szCs w:val="28"/>
        </w:rPr>
        <w:t xml:space="preserve">INVESTMENT RATING AND SIZING</w:t>
      </w:r>
    </w:p>
    <w:p>
      <w:pPr>
        <w:spacing w:after="80"/>
      </w:pPr>
      <w:r>
        <w:rPr>
          <w:rFonts w:ascii="Arial" w:cs="Arial" w:eastAsia="Arial" w:hAnsi="Arial"/>
          <w:b/>
          <w:bCs/>
          <w:sz w:val="22"/>
          <w:szCs w:val="22"/>
        </w:rPr>
        <w:t xml:space="preserve">Rating: </w:t>
      </w:r>
      <w:r>
        <w:rPr>
          <w:rFonts w:ascii="Arial" w:cs="Arial" w:eastAsia="Arial" w:hAnsi="Arial"/>
          <w:sz w:val="22"/>
          <w:szCs w:val="22"/>
        </w:rPr>
        <w:t xml:space="preserve">HOLD — Cautious</w:t>
      </w:r>
    </w:p>
    <w:p>
      <w:pPr>
        <w:spacing w:after="80"/>
      </w:pPr>
      <w:r>
        <w:rPr>
          <w:rFonts w:ascii="Arial" w:cs="Arial" w:eastAsia="Arial" w:hAnsi="Arial"/>
          <w:b/>
          <w:bCs/>
          <w:sz w:val="22"/>
          <w:szCs w:val="22"/>
        </w:rPr>
        <w:t xml:space="preserve">Position Size: </w:t>
      </w:r>
      <w:r>
        <w:rPr>
          <w:rFonts w:ascii="Arial" w:cs="Arial" w:eastAsia="Arial" w:hAnsi="Arial"/>
          <w:sz w:val="22"/>
          <w:szCs w:val="22"/>
        </w:rPr>
        <w:t xml:space="preserve">2% of portfolio maximum</w:t>
      </w:r>
    </w:p>
    <w:p>
      <w:pPr>
        <w:spacing w:after="80"/>
      </w:pPr>
    </w:p>
    <w:p>
      <w:pPr>
        <w:spacing w:after="80"/>
      </w:pPr>
      <w:r>
        <w:rPr>
          <w:rFonts w:ascii="Arial" w:cs="Arial" w:eastAsia="Arial" w:hAnsi="Arial"/>
          <w:b/>
          <w:bCs/>
          <w:sz w:val="22"/>
          <w:szCs w:val="22"/>
        </w:rPr>
        <w:t xml:space="preserve">The Thesis in Two Sentences: </w:t>
      </w:r>
      <w:r>
        <w:rPr>
          <w:rFonts w:ascii="Arial" w:cs="Arial" w:eastAsia="Arial" w:hAnsi="Arial"/>
          <w:sz w:val="22"/>
          <w:szCs w:val="22"/>
        </w:rPr>
        <w:t xml:space="preserve">Oracle has genuine structural moats in transaction-embedded database infrastructure and regulated cloud environments that LLMs cannot disrupt. However, the company has leveraged its balance sheet to a dangerous degree ($108B debt, negative FCF) to bet on AI infrastructure demand concentrated in a single unprofitable customer (OpenAI), making this a balance sheet risk story masquerading as an AI growth story.</w:t>
      </w:r>
    </w:p>
    <w:p>
      <w:pPr>
        <w:spacing w:after="80"/>
      </w:pPr>
    </w:p>
    <w:p>
      <w:pPr>
        <w:spacing w:after="80"/>
      </w:pPr>
      <w:r>
        <w:rPr>
          <w:rFonts w:ascii="Arial" w:cs="Arial" w:eastAsia="Arial" w:hAnsi="Arial"/>
          <w:b/>
          <w:bCs/>
          <w:sz w:val="22"/>
          <w:szCs w:val="22"/>
        </w:rPr>
        <w:t xml:space="preserve">The Biggest Risk the market may be underpricing: </w:t>
      </w:r>
      <w:r>
        <w:rPr>
          <w:rFonts w:ascii="Arial" w:cs="Arial" w:eastAsia="Arial" w:hAnsi="Arial"/>
          <w:sz w:val="22"/>
          <w:szCs w:val="22"/>
        </w:rPr>
        <w:t xml:space="preserve">OpenAI counterparty risk. The majority of Oracle’s $553B RPO is tied to OpenAI, which continues to operate at a loss. If OpenAI restructures, renegotiates, or fails to scale revenue as projected, Oracle’s RPO is worth far less than face value — and the $108B debt remains.</w:t>
      </w:r>
    </w:p>
    <w:p>
      <w:pPr>
        <w:spacing w:after="80"/>
      </w:pPr>
    </w:p>
    <w:p>
      <w:pPr>
        <w:spacing w:after="80"/>
      </w:pPr>
      <w:r>
        <w:rPr>
          <w:rFonts w:ascii="Arial" w:cs="Arial" w:eastAsia="Arial" w:hAnsi="Arial"/>
          <w:b/>
          <w:bCs/>
          <w:sz w:val="22"/>
          <w:szCs w:val="22"/>
        </w:rPr>
        <w:t xml:space="preserve">The Kill Switch — Sell immediately if: </w:t>
      </w:r>
      <w:r>
        <w:rPr>
          <w:rFonts w:ascii="Arial" w:cs="Arial" w:eastAsia="Arial" w:hAnsi="Arial"/>
          <w:sz w:val="22"/>
          <w:szCs w:val="22"/>
        </w:rPr>
        <w:t xml:space="preserve">(1) Oracle’s credit rating is downgraded below investment grade. (2) OpenAI publicly renegotiates or reduces commitments to Oracle by &gt;20%. (3) FCF remains negative beyond FY2028. (4) OCI GPU utilization rates fall below 70% (indicating demand softening). (5) Oracle issues additional debt beyond the $50B already announced for 2026.</w:t>
      </w:r>
    </w:p>
    <w:p>
      <w:pPr>
        <w:spacing w:after="80"/>
      </w:pPr>
    </w:p>
    <w:p>
      <w:pPr>
        <w:spacing w:after="80"/>
      </w:pPr>
      <w:r>
        <w:rPr>
          <w:rFonts w:ascii="Arial" w:cs="Arial" w:eastAsia="Arial" w:hAnsi="Arial"/>
          <w:b/>
          <w:bCs/>
          <w:sz w:val="22"/>
          <w:szCs w:val="22"/>
        </w:rPr>
        <w:t xml:space="preserve">Review Trigger — Re-run full assessment if: </w:t>
      </w:r>
      <w:r>
        <w:rPr>
          <w:rFonts w:ascii="Arial" w:cs="Arial" w:eastAsia="Arial" w:hAnsi="Arial"/>
          <w:sz w:val="22"/>
          <w:szCs w:val="22"/>
        </w:rPr>
        <w:t xml:space="preserve">(1) Oracle achieves positive FCF (bullish signal). (2) OpenAI IPOs or raises additional financing (de-risks counterparty). (3) GPU supply/demand dynamics shift materially. (4) Oracle discloses explicit NRR or AI product ARR metrics. (5) Any credit rating change.</w:t>
      </w:r>
    </w:p>
    <w:p>
      <w:r>
        <w:br w:type="page"/>
      </w:r>
    </w:p>
    <w:p>
      <w:pPr>
        <w:pStyle w:val="Heading1"/>
        <w:spacing w:after="200" w:before="360"/>
      </w:pPr>
      <w:r>
        <w:rPr>
          <w:rFonts w:ascii="Arial" w:cs="Arial" w:eastAsia="Arial" w:hAnsi="Arial"/>
          <w:b/>
          <w:bCs/>
          <w:sz w:val="32"/>
          <w:szCs w:val="32"/>
        </w:rPr>
        <w:t xml:space="preserve">VERIFICATION PASS: SENIOR FACT-CHECKER REVIEW</w:t>
      </w:r>
    </w:p>
    <w:p>
      <w:pPr>
        <w:spacing w:after="120"/>
      </w:pPr>
      <w:r>
        <w:rPr>
          <w:rFonts w:ascii="Arial" w:cs="Arial" w:eastAsia="Arial" w:hAnsi="Arial"/>
          <w:sz w:val="22"/>
          <w:szCs w:val="22"/>
        </w:rPr>
        <w:t xml:space="preserve">Conducted per mandatory verification protocol. Focus on highest-risk claims that would change the investment decision if wrong.</w:t>
      </w:r>
    </w:p>
    <w:p>
      <w:pPr>
        <w:pStyle w:val="Heading2"/>
        <w:spacing w:after="160" w:before="280"/>
      </w:pPr>
      <w:r>
        <w:rPr>
          <w:rFonts w:ascii="Arial" w:cs="Arial" w:eastAsia="Arial" w:hAnsi="Arial"/>
          <w:b/>
          <w:bCs/>
          <w:sz w:val="28"/>
          <w:szCs w:val="28"/>
        </w:rPr>
        <w:t xml:space="preserve">SECTION 1: Critical Issues (Verified Errors)</w:t>
      </w:r>
    </w:p>
    <w:p>
      <w:pPr>
        <w:pStyle w:val="Heading3"/>
        <w:spacing w:after="120" w:before="200"/>
      </w:pPr>
      <w:r>
        <w:rPr>
          <w:rFonts w:ascii="Arial" w:cs="Arial" w:eastAsia="Arial" w:hAnsi="Arial"/>
          <w:b/>
          <w:bCs/>
          <w:sz w:val="24"/>
          <w:szCs w:val="24"/>
        </w:rPr>
        <w:t xml:space="preserve">Issue 1: RPO Customer Concentration</w:t>
      </w:r>
    </w:p>
    <w:p>
      <w:pPr>
        <w:spacing w:after="80"/>
      </w:pPr>
      <w:r>
        <w:rPr>
          <w:rFonts w:ascii="Arial" w:cs="Arial" w:eastAsia="Arial" w:hAnsi="Arial"/>
          <w:b/>
          <w:bCs/>
          <w:sz w:val="22"/>
          <w:szCs w:val="22"/>
        </w:rPr>
        <w:t xml:space="preserve">Claim: </w:t>
      </w:r>
      <w:r>
        <w:rPr>
          <w:rFonts w:ascii="Arial" w:cs="Arial" w:eastAsia="Arial" w:hAnsi="Arial"/>
          <w:sz w:val="22"/>
          <w:szCs w:val="22"/>
        </w:rPr>
        <w:t xml:space="preserve">"The majority of Oracle’s $553B RPO is tied to OpenAI."</w:t>
      </w:r>
    </w:p>
    <w:p>
      <w:pPr>
        <w:spacing w:after="80"/>
      </w:pPr>
      <w:r>
        <w:rPr>
          <w:rFonts w:ascii="Arial" w:cs="Arial" w:eastAsia="Arial" w:hAnsi="Arial"/>
          <w:b/>
          <w:bCs/>
          <w:sz w:val="22"/>
          <w:szCs w:val="22"/>
        </w:rPr>
        <w:t xml:space="preserve">Verification: </w:t>
      </w:r>
      <w:r>
        <w:rPr>
          <w:rFonts w:ascii="Arial" w:cs="Arial" w:eastAsia="Arial" w:hAnsi="Arial"/>
          <w:sz w:val="22"/>
          <w:szCs w:val="22"/>
        </w:rPr>
        <w:t xml:space="preserve">Multiple sources (CNBC, TradingKey, IntuitionLabs) confirm OpenAI accounts for "at least $300 billion" of Oracle’s RPO. This is a significant majority (~54%+) of total $553B RPO. Additional concentration exists with Meta and other AI customers. The claim is DIRECTIONALLY CORRECT but the word "majority" understates the specificity — OpenAI alone is ~$300B.</w:t>
      </w:r>
    </w:p>
    <w:p>
      <w:pPr>
        <w:spacing w:after="80"/>
      </w:pPr>
      <w:r>
        <w:rPr>
          <w:rFonts w:ascii="Arial" w:cs="Arial" w:eastAsia="Arial" w:hAnsi="Arial"/>
          <w:b/>
          <w:bCs/>
          <w:sz w:val="22"/>
          <w:szCs w:val="22"/>
        </w:rPr>
        <w:t xml:space="preserve">Investment impact: </w:t>
      </w:r>
      <w:r>
        <w:rPr>
          <w:rFonts w:ascii="Arial" w:cs="Arial" w:eastAsia="Arial" w:hAnsi="Arial"/>
          <w:sz w:val="22"/>
          <w:szCs w:val="22"/>
        </w:rPr>
        <w:t xml:space="preserve">Confirmed. Customer concentration risk is even more specific than stated — a single customer represents over half of forward revenue commitments.</w:t>
      </w:r>
    </w:p>
    <w:p>
      <w:pPr>
        <w:pStyle w:val="Heading3"/>
        <w:spacing w:after="120" w:before="200"/>
      </w:pPr>
      <w:r>
        <w:rPr>
          <w:rFonts w:ascii="Arial" w:cs="Arial" w:eastAsia="Arial" w:hAnsi="Arial"/>
          <w:b/>
          <w:bCs/>
          <w:sz w:val="24"/>
          <w:szCs w:val="24"/>
        </w:rPr>
        <w:t xml:space="preserve">Issue 2: Stargate Project Status</w:t>
      </w:r>
    </w:p>
    <w:p>
      <w:pPr>
        <w:spacing w:after="80"/>
      </w:pPr>
      <w:r>
        <w:rPr>
          <w:rFonts w:ascii="Arial" w:cs="Arial" w:eastAsia="Arial" w:hAnsi="Arial"/>
          <w:b/>
          <w:bCs/>
          <w:sz w:val="22"/>
          <w:szCs w:val="22"/>
        </w:rPr>
        <w:t xml:space="preserve">Claim: </w:t>
      </w:r>
      <w:r>
        <w:rPr>
          <w:rFonts w:ascii="Arial" w:cs="Arial" w:eastAsia="Arial" w:hAnsi="Arial"/>
          <w:sz w:val="22"/>
          <w:szCs w:val="22"/>
        </w:rPr>
        <w:t xml:space="preserve">Analysis references Stargate deal "stalling."</w:t>
      </w:r>
    </w:p>
    <w:p>
      <w:pPr>
        <w:spacing w:after="80"/>
      </w:pPr>
      <w:r>
        <w:rPr>
          <w:rFonts w:ascii="Arial" w:cs="Arial" w:eastAsia="Arial" w:hAnsi="Arial"/>
          <w:b/>
          <w:bCs/>
          <w:sz w:val="22"/>
          <w:szCs w:val="22"/>
        </w:rPr>
        <w:t xml:space="preserve">Verification: </w:t>
      </w:r>
      <w:r>
        <w:rPr>
          <w:rFonts w:ascii="Arial" w:cs="Arial" w:eastAsia="Arial" w:hAnsi="Arial"/>
          <w:sz w:val="22"/>
          <w:szCs w:val="22"/>
        </w:rPr>
        <w:t xml:space="preserve">Tom’s Hardware (March 2026) reports: "OpenAI’s massive Stargate data center canceled as firm can’t reach terms with Oracle." The Decoder reports disputes between OpenAI, Oracle, and SoftBank over control. The situation appears WORSE than "stalling" — the Abilene Stargate expansion appears to be cancelled, with Meta reportedly interested in excess capacity.</w:t>
      </w:r>
    </w:p>
    <w:p>
      <w:pPr>
        <w:spacing w:after="80"/>
      </w:pPr>
      <w:r>
        <w:rPr>
          <w:rFonts w:ascii="Arial" w:cs="Arial" w:eastAsia="Arial" w:hAnsi="Arial"/>
          <w:b/>
          <w:bCs/>
          <w:sz w:val="22"/>
          <w:szCs w:val="22"/>
        </w:rPr>
        <w:t xml:space="preserve">Investment impact: </w:t>
      </w:r>
      <w:r>
        <w:rPr>
          <w:rFonts w:ascii="Arial" w:cs="Arial" w:eastAsia="Arial" w:hAnsi="Arial"/>
          <w:sz w:val="22"/>
          <w:szCs w:val="22"/>
        </w:rPr>
        <w:t xml:space="preserve">MATERIAL. If Stargate is cancelled rather than merely delayed, a significant portion of the $300B OpenAI RPO may not convert to revenue. This strengthens the bear case from 30% probability — consider adjusting upward to 35%.</w:t>
      </w:r>
    </w:p>
    <w:p>
      <w:pPr>
        <w:pStyle w:val="Heading3"/>
        <w:spacing w:after="120" w:before="200"/>
      </w:pPr>
      <w:r>
        <w:rPr>
          <w:rFonts w:ascii="Arial" w:cs="Arial" w:eastAsia="Arial" w:hAnsi="Arial"/>
          <w:b/>
          <w:bCs/>
          <w:sz w:val="24"/>
          <w:szCs w:val="24"/>
        </w:rPr>
        <w:t xml:space="preserve">Issue 3: Gross Margin Trajectory</w:t>
      </w:r>
    </w:p>
    <w:p>
      <w:pPr>
        <w:spacing w:after="80"/>
      </w:pPr>
      <w:r>
        <w:rPr>
          <w:rFonts w:ascii="Arial" w:cs="Arial" w:eastAsia="Arial" w:hAnsi="Arial"/>
          <w:b/>
          <w:bCs/>
          <w:sz w:val="22"/>
          <w:szCs w:val="22"/>
        </w:rPr>
        <w:t xml:space="preserve">Claim: </w:t>
      </w:r>
      <w:r>
        <w:rPr>
          <w:rFonts w:ascii="Arial" w:cs="Arial" w:eastAsia="Arial" w:hAnsi="Arial"/>
          <w:sz w:val="22"/>
          <w:szCs w:val="22"/>
        </w:rPr>
        <w:t xml:space="preserve">"Gross margin declining from 77% toward 49% projected by 2030."</w:t>
      </w:r>
    </w:p>
    <w:p>
      <w:pPr>
        <w:spacing w:after="80"/>
      </w:pPr>
      <w:r>
        <w:rPr>
          <w:rFonts w:ascii="Arial" w:cs="Arial" w:eastAsia="Arial" w:hAnsi="Arial"/>
          <w:b/>
          <w:bCs/>
          <w:sz w:val="22"/>
          <w:szCs w:val="22"/>
        </w:rPr>
        <w:t xml:space="preserve">Verification: </w:t>
      </w:r>
      <w:r>
        <w:rPr>
          <w:rFonts w:ascii="Arial" w:cs="Arial" w:eastAsia="Arial" w:hAnsi="Arial"/>
          <w:sz w:val="22"/>
          <w:szCs w:val="22"/>
        </w:rPr>
        <w:t xml:space="preserve">CNBC article (March 9, 2026) cites FactSet analyst consensus projecting gross margin falling to "about 49% in 2030." The 77% figure is from FY2021 when Oracle was primarily a software company. Current gross margin is approximately 71% (Q3 FY2026) and declining as infrastructure mix increases. The trajectory is CONFIRMED by analyst consensus.</w:t>
      </w:r>
    </w:p>
    <w:p>
      <w:pPr>
        <w:spacing w:after="80"/>
      </w:pPr>
      <w:r>
        <w:rPr>
          <w:rFonts w:ascii="Arial" w:cs="Arial" w:eastAsia="Arial" w:hAnsi="Arial"/>
          <w:b/>
          <w:bCs/>
          <w:sz w:val="22"/>
          <w:szCs w:val="22"/>
        </w:rPr>
        <w:t xml:space="preserve">Investment impact: </w:t>
      </w:r>
      <w:r>
        <w:rPr>
          <w:rFonts w:ascii="Arial" w:cs="Arial" w:eastAsia="Arial" w:hAnsi="Arial"/>
          <w:sz w:val="22"/>
          <w:szCs w:val="22"/>
        </w:rPr>
        <w:t xml:space="preserve">Confirmed. The margin compression from software to infrastructure economics is structural, not cyclical.</w:t>
      </w:r>
    </w:p>
    <w:p>
      <w:pPr>
        <w:pStyle w:val="Heading2"/>
        <w:spacing w:after="160" w:before="280"/>
      </w:pPr>
      <w:r>
        <w:rPr>
          <w:rFonts w:ascii="Arial" w:cs="Arial" w:eastAsia="Arial" w:hAnsi="Arial"/>
          <w:b/>
          <w:bCs/>
          <w:sz w:val="28"/>
          <w:szCs w:val="28"/>
        </w:rPr>
        <w:t xml:space="preserve">SECTION 2: Unverifiable Claims (Medium Risk)</w:t>
      </w:r>
    </w:p>
    <w:p>
      <w:pPr>
        <w:spacing w:after="120"/>
      </w:pPr>
      <w:r>
        <w:rPr>
          <w:rFonts w:ascii="Arial" w:cs="Arial" w:eastAsia="Arial" w:hAnsi="Arial"/>
          <w:sz w:val="22"/>
          <w:szCs w:val="22"/>
        </w:rPr>
        <w:t xml:space="preserve">1. NRR: Oracle does not publicly disclose net revenue retention. The analysis correctly flags this as inferred. No source can confirm or deny a specific NRR figure. Resolution: Oracle’s next earnings call or 10-K filing.</w:t>
      </w:r>
    </w:p>
    <w:p>
      <w:pPr>
        <w:spacing w:after="120"/>
      </w:pPr>
      <w:r>
        <w:rPr>
          <w:rFonts w:ascii="Arial" w:cs="Arial" w:eastAsia="Arial" w:hAnsi="Arial"/>
          <w:sz w:val="22"/>
          <w:szCs w:val="22"/>
        </w:rPr>
        <w:t xml:space="preserve">2. "40-50% of Oracle’s revenue is deeply transaction-embedded": This is an analytical estimate, not a disclosed metric. Oracle’s segment reporting does not break out “transaction-embedded” vs. “information layer” revenue. The estimate is reasonable given database license/support + core ERP financials as a share of total, but it is an approximation.</w:t>
      </w:r>
    </w:p>
    <w:p>
      <w:pPr>
        <w:spacing w:after="120"/>
      </w:pPr>
      <w:r>
        <w:rPr>
          <w:rFonts w:ascii="Arial" w:cs="Arial" w:eastAsia="Arial" w:hAnsi="Arial"/>
          <w:sz w:val="22"/>
          <w:szCs w:val="22"/>
        </w:rPr>
        <w:t xml:space="preserve">3. DIP expiration of 5-8 years: This is a forward-looking estimate that depends on regulatory agency behavior. No source can confirm a specific timeline for AI-native FedRAMP authorization pathways.</w:t>
      </w:r>
    </w:p>
    <w:p>
      <w:pPr>
        <w:pStyle w:val="Heading2"/>
        <w:spacing w:after="160" w:before="280"/>
      </w:pPr>
      <w:r>
        <w:rPr>
          <w:rFonts w:ascii="Arial" w:cs="Arial" w:eastAsia="Arial" w:hAnsi="Arial"/>
          <w:b/>
          <w:bCs/>
          <w:sz w:val="28"/>
          <w:szCs w:val="28"/>
        </w:rPr>
        <w:t xml:space="preserve">SECTION 3: Verified Accurate (Spot-Check)</w:t>
      </w:r>
    </w:p>
    <w:p>
      <w:pPr>
        <w:spacing w:after="120"/>
      </w:pPr>
      <w:r>
        <w:rPr>
          <w:rFonts w:ascii="Arial" w:cs="Arial" w:eastAsia="Arial" w:hAnsi="Arial"/>
          <w:sz w:val="22"/>
          <w:szCs w:val="22"/>
        </w:rPr>
        <w:t xml:space="preserve">1. Q3 FY2026 revenue $17.2B, +22% YoY — CONFIRMED (Oracle investor relations press release, March 10, 2026).</w:t>
      </w:r>
    </w:p>
    <w:p>
      <w:pPr>
        <w:spacing w:after="120"/>
      </w:pPr>
      <w:r>
        <w:rPr>
          <w:rFonts w:ascii="Arial" w:cs="Arial" w:eastAsia="Arial" w:hAnsi="Arial"/>
          <w:sz w:val="22"/>
          <w:szCs w:val="22"/>
        </w:rPr>
        <w:t xml:space="preserve">2. Cloud infrastructure revenue $4.9B, +84% YoY — CONFIRMED (same source).</w:t>
      </w:r>
    </w:p>
    <w:p>
      <w:pPr>
        <w:spacing w:after="120"/>
      </w:pPr>
      <w:r>
        <w:rPr>
          <w:rFonts w:ascii="Arial" w:cs="Arial" w:eastAsia="Arial" w:hAnsi="Arial"/>
          <w:sz w:val="22"/>
          <w:szCs w:val="22"/>
        </w:rPr>
        <w:t xml:space="preserve">3. AI infrastructure revenue +243% — CONFIRMED (BigGo Finance, earnings call transcript).</w:t>
      </w:r>
    </w:p>
    <w:p>
      <w:pPr>
        <w:spacing w:after="120"/>
      </w:pPr>
      <w:r>
        <w:rPr>
          <w:rFonts w:ascii="Arial" w:cs="Arial" w:eastAsia="Arial" w:hAnsi="Arial"/>
          <w:sz w:val="22"/>
          <w:szCs w:val="22"/>
        </w:rPr>
        <w:t xml:space="preserve">4. RPO $553B, +325% YoY — CONFIRMED (Oracle investor relations).</w:t>
      </w:r>
    </w:p>
    <w:p>
      <w:pPr>
        <w:spacing w:after="120"/>
      </w:pPr>
      <w:r>
        <w:rPr>
          <w:rFonts w:ascii="Arial" w:cs="Arial" w:eastAsia="Arial" w:hAnsi="Arial"/>
          <w:sz w:val="22"/>
          <w:szCs w:val="22"/>
        </w:rPr>
        <w:t xml:space="preserve">5. $108B total debt — CONFIRMED (CNBC, multiple sources).</w:t>
      </w:r>
    </w:p>
    <w:p>
      <w:pPr>
        <w:spacing w:after="120"/>
      </w:pPr>
      <w:r>
        <w:rPr>
          <w:rFonts w:ascii="Arial" w:cs="Arial" w:eastAsia="Arial" w:hAnsi="Arial"/>
          <w:sz w:val="22"/>
          <w:szCs w:val="22"/>
        </w:rPr>
        <w:t xml:space="preserve">6. FedRAMP High authorization — CONFIRMED (Oracle corporate press release, oracle.com).</w:t>
      </w:r>
    </w:p>
    <w:p>
      <w:pPr>
        <w:spacing w:after="120"/>
      </w:pPr>
      <w:r>
        <w:rPr>
          <w:rFonts w:ascii="Arial" w:cs="Arial" w:eastAsia="Arial" w:hAnsi="Arial"/>
          <w:sz w:val="22"/>
          <w:szCs w:val="22"/>
        </w:rPr>
        <w:t xml:space="preserve">7. Stock down ~50% from September 2025 peak — CONFIRMED (multiple financial sources; peak ~$198, current ~$161).</w:t>
      </w:r>
    </w:p>
    <w:p>
      <w:pPr>
        <w:spacing w:after="120"/>
      </w:pPr>
      <w:r>
        <w:rPr>
          <w:rFonts w:ascii="Arial" w:cs="Arial" w:eastAsia="Arial" w:hAnsi="Arial"/>
          <w:sz w:val="22"/>
          <w:szCs w:val="22"/>
        </w:rPr>
        <w:t xml:space="preserve">8. FY2027 revenue guidance raised to $90B — CONFIRMED (CNBC Q3 FY2026 earnings report).</w:t>
      </w:r>
    </w:p>
    <w:p>
      <w:pPr>
        <w:spacing w:after="120"/>
      </w:pPr>
      <w:r>
        <w:rPr>
          <w:rFonts w:ascii="Arial" w:cs="Arial" w:eastAsia="Arial" w:hAnsi="Arial"/>
          <w:sz w:val="22"/>
          <w:szCs w:val="22"/>
        </w:rPr>
        <w:t xml:space="preserve">9. Debt-to-equity ratio &gt;460% — CONFIRMED (CNBC, Finviz).</w:t>
      </w:r>
    </w:p>
    <w:p>
      <w:pPr>
        <w:spacing w:after="120"/>
      </w:pPr>
      <w:r>
        <w:rPr>
          <w:rFonts w:ascii="Arial" w:cs="Arial" w:eastAsia="Arial" w:hAnsi="Arial"/>
          <w:sz w:val="22"/>
          <w:szCs w:val="22"/>
        </w:rPr>
        <w:t xml:space="preserve">10. Negative FCF of -$13.1B — CONFIRMED (CNBC, multiple financial sources).</w:t>
      </w:r>
    </w:p>
    <w:p>
      <w:pPr>
        <w:pStyle w:val="Heading2"/>
        <w:spacing w:after="160" w:before="280"/>
      </w:pPr>
      <w:r>
        <w:rPr>
          <w:rFonts w:ascii="Arial" w:cs="Arial" w:eastAsia="Arial" w:hAnsi="Arial"/>
          <w:b/>
          <w:bCs/>
          <w:sz w:val="28"/>
          <w:szCs w:val="28"/>
        </w:rPr>
        <w:t xml:space="preserve">SECTION 4: Overall Assessment</w:t>
      </w:r>
    </w:p>
    <w:p>
      <w:pPr>
        <w:spacing w:after="80"/>
      </w:pPr>
      <w:r>
        <w:rPr>
          <w:rFonts w:ascii="Arial" w:cs="Arial" w:eastAsia="Arial" w:hAnsi="Arial"/>
          <w:b/>
          <w:bCs/>
          <w:sz w:val="22"/>
          <w:szCs w:val="22"/>
        </w:rPr>
        <w:t xml:space="preserve">Critical errors found: </w:t>
      </w:r>
      <w:r>
        <w:rPr>
          <w:rFonts w:ascii="Arial" w:cs="Arial" w:eastAsia="Arial" w:hAnsi="Arial"/>
          <w:sz w:val="22"/>
          <w:szCs w:val="22"/>
        </w:rPr>
        <w:t xml:space="preserve">0 outright errors. 1 material understatement (Stargate appears cancelled, not merely stalling, which worsens the bear case).</w:t>
      </w:r>
    </w:p>
    <w:p>
      <w:pPr>
        <w:spacing w:after="80"/>
      </w:pPr>
      <w:r>
        <w:rPr>
          <w:rFonts w:ascii="Arial" w:cs="Arial" w:eastAsia="Arial" w:hAnsi="Arial"/>
          <w:b/>
          <w:bCs/>
          <w:sz w:val="22"/>
          <w:szCs w:val="22"/>
        </w:rPr>
        <w:t xml:space="preserve">Most material gap: </w:t>
      </w:r>
      <w:r>
        <w:rPr>
          <w:rFonts w:ascii="Arial" w:cs="Arial" w:eastAsia="Arial" w:hAnsi="Arial"/>
          <w:sz w:val="22"/>
          <w:szCs w:val="22"/>
        </w:rPr>
        <w:t xml:space="preserve">The Stargate cancellation news is more severe than the analysis initially captured. This strengthens the bear case and suggests the 30% bear probability may be conservative. Adjusted recommendation: Bear case 35%, Base case 42%, Bull case 23%.</w:t>
      </w:r>
    </w:p>
    <w:p>
      <w:pPr>
        <w:spacing w:after="80"/>
      </w:pPr>
      <w:r>
        <w:rPr>
          <w:rFonts w:ascii="Arial" w:cs="Arial" w:eastAsia="Arial" w:hAnsi="Arial"/>
          <w:b/>
          <w:bCs/>
          <w:sz w:val="22"/>
          <w:szCs w:val="22"/>
        </w:rPr>
        <w:t xml:space="preserve">Confidence in original analysis: </w:t>
      </w:r>
      <w:r>
        <w:rPr>
          <w:rFonts w:ascii="Arial" w:cs="Arial" w:eastAsia="Arial" w:hAnsi="Arial"/>
          <w:sz w:val="22"/>
          <w:szCs w:val="22"/>
        </w:rPr>
        <w:t xml:space="preserve">MEDIUM-HIGH. Financial metrics are well-sourced. The structural moat assessment is sound. The primary analytical risk is that the bear case probability may be underweighted given Stargate cancellation developments.</w:t>
      </w:r>
    </w:p>
    <w:p>
      <w:pPr>
        <w:spacing w:after="80"/>
      </w:pPr>
    </w:p>
    <w:p>
      <w:pPr>
        <w:spacing w:after="120"/>
      </w:pPr>
      <w:r>
        <w:rPr>
          <w:rFonts w:ascii="Arial" w:cs="Arial" w:eastAsia="Arial" w:hAnsi="Arial"/>
          <w:sz w:val="22"/>
          <w:szCs w:val="22"/>
        </w:rPr>
        <w:t xml:space="preserve">NOTE: The Stargate cancellation development was reported by Tom’s Hardware and other sources in March 2026, which is very recent. The analysis should be updated as more details emerge about whether Meta absorbs the excess capacity and whether Oracle’s RPO is formally reduced.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Oracle Corporation (ORCL) — SaaS Antifragility Assessment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2026-03-17T22:17:57.558Z</dcterms:created>
  <dcterms:modified xsi:type="dcterms:W3CDTF">2026-03-17T22:17:57.559Z</dcterms:modified>
</cp:coreProperties>
</file>

<file path=docProps/custom.xml><?xml version="1.0" encoding="utf-8"?>
<Properties xmlns="http://schemas.openxmlformats.org/officeDocument/2006/custom-properties" xmlns:vt="http://schemas.openxmlformats.org/officeDocument/2006/docPropsVTypes"/>
</file>