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CC62" w14:textId="77777777" w:rsidR="004E58A2" w:rsidRDefault="004E58A2">
      <w:pPr>
        <w:spacing w:after="600"/>
      </w:pPr>
    </w:p>
    <w:p w14:paraId="43B49FAC" w14:textId="77777777" w:rsidR="004E58A2" w:rsidRDefault="00000000">
      <w:pPr>
        <w:spacing w:after="60"/>
        <w:jc w:val="center"/>
      </w:pPr>
      <w:r>
        <w:rPr>
          <w:b/>
          <w:bCs/>
          <w:caps/>
          <w:color w:val="555555"/>
          <w:sz w:val="28"/>
          <w:szCs w:val="28"/>
        </w:rPr>
        <w:t>BIOPHARMA ENABLER PICKS-AND-SHOVELS</w:t>
      </w:r>
    </w:p>
    <w:p w14:paraId="035E5BAF" w14:textId="77777777" w:rsidR="004E58A2" w:rsidRDefault="00000000">
      <w:pPr>
        <w:spacing w:after="200"/>
        <w:jc w:val="center"/>
      </w:pPr>
      <w:r>
        <w:rPr>
          <w:caps/>
          <w:color w:val="555555"/>
          <w:sz w:val="24"/>
          <w:szCs w:val="24"/>
        </w:rPr>
        <w:t>INVESTMENT FRAMEWORK v1.0</w:t>
      </w:r>
    </w:p>
    <w:p w14:paraId="55F00604" w14:textId="77777777" w:rsidR="004E58A2" w:rsidRDefault="00000000">
      <w:pPr>
        <w:spacing w:after="80"/>
        <w:jc w:val="center"/>
      </w:pPr>
      <w:r>
        <w:rPr>
          <w:b/>
          <w:bCs/>
          <w:color w:val="1B3A6B"/>
          <w:sz w:val="56"/>
          <w:szCs w:val="56"/>
        </w:rPr>
        <w:t>STEVANATO GROUP S.P.A.</w:t>
      </w:r>
    </w:p>
    <w:p w14:paraId="74239F31" w14:textId="77777777" w:rsidR="004E58A2" w:rsidRDefault="00000000">
      <w:pPr>
        <w:spacing w:after="120"/>
        <w:jc w:val="center"/>
      </w:pPr>
      <w:r>
        <w:rPr>
          <w:b/>
          <w:bCs/>
          <w:color w:val="1F7EC2"/>
          <w:sz w:val="30"/>
          <w:szCs w:val="30"/>
        </w:rPr>
        <w:t>NYSE: STVN</w:t>
      </w:r>
    </w:p>
    <w:p w14:paraId="159F0F8B" w14:textId="77777777" w:rsidR="004E58A2" w:rsidRDefault="004E58A2">
      <w:pPr>
        <w:pBdr>
          <w:bottom w:val="single" w:sz="12" w:space="0" w:color="1F7EC2"/>
        </w:pBdr>
        <w:spacing w:after="240"/>
      </w:pPr>
    </w:p>
    <w:p w14:paraId="1223FAFA" w14:textId="77777777" w:rsidR="004E58A2" w:rsidRDefault="00000000">
      <w:pPr>
        <w:spacing w:after="80"/>
        <w:jc w:val="center"/>
      </w:pPr>
      <w:r>
        <w:rPr>
          <w:i/>
          <w:iCs/>
          <w:color w:val="2E6096"/>
          <w:sz w:val="26"/>
          <w:szCs w:val="26"/>
        </w:rPr>
        <w:t>Drug Containment | Drug Delivery | Diagnostic Solutions</w:t>
      </w:r>
    </w:p>
    <w:p w14:paraId="095FF422" w14:textId="77777777" w:rsidR="004E58A2" w:rsidRDefault="00000000">
      <w:pPr>
        <w:spacing w:after="400"/>
        <w:jc w:val="center"/>
      </w:pPr>
      <w:r>
        <w:rPr>
          <w:i/>
          <w:iCs/>
          <w:color w:val="555555"/>
        </w:rPr>
        <w:t>Life Science Tools / Specialty Platform Enabler — Injectable Biologics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58A2" w14:paraId="0E1E6411" w14:textId="77777777">
        <w:tblPrEx>
          <w:tblCellMar>
            <w:top w:w="0" w:type="dxa"/>
            <w:bottom w:w="0" w:type="dxa"/>
          </w:tblCellMar>
        </w:tblPrEx>
        <w:tc>
          <w:tcPr>
            <w:tcW w:w="234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160" w:type="dxa"/>
              <w:bottom w:w="160" w:type="dxa"/>
              <w:right w:w="160" w:type="dxa"/>
            </w:tcMar>
          </w:tcPr>
          <w:p w14:paraId="41256F61" w14:textId="77777777" w:rsidR="004E58A2" w:rsidRDefault="00000000">
            <w:pPr>
              <w:spacing w:after="60"/>
              <w:jc w:val="center"/>
            </w:pPr>
            <w:r>
              <w:rPr>
                <w:b/>
                <w:bCs/>
                <w:caps/>
                <w:color w:val="1B3A6B"/>
                <w:sz w:val="18"/>
                <w:szCs w:val="18"/>
              </w:rPr>
              <w:t>EMT Score</w:t>
            </w:r>
          </w:p>
          <w:p w14:paraId="542EAA76" w14:textId="77777777" w:rsidR="004E58A2" w:rsidRDefault="00000000">
            <w:pPr>
              <w:spacing w:after="60"/>
              <w:jc w:val="center"/>
            </w:pPr>
            <w:r>
              <w:rPr>
                <w:b/>
                <w:bCs/>
                <w:color w:val="1F7EC2"/>
                <w:sz w:val="28"/>
                <w:szCs w:val="28"/>
              </w:rPr>
              <w:t>13 / 16</w:t>
            </w:r>
          </w:p>
          <w:p w14:paraId="1D4E62FC" w14:textId="77777777" w:rsidR="004E58A2" w:rsidRDefault="00000000">
            <w:pPr>
              <w:jc w:val="center"/>
            </w:pPr>
            <w:r>
              <w:rPr>
                <w:i/>
                <w:iCs/>
                <w:color w:val="555555"/>
                <w:sz w:val="17"/>
                <w:szCs w:val="17"/>
              </w:rPr>
              <w:t>Structural Moat Leader</w:t>
            </w:r>
          </w:p>
        </w:tc>
        <w:tc>
          <w:tcPr>
            <w:tcW w:w="234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160" w:type="dxa"/>
              <w:bottom w:w="160" w:type="dxa"/>
              <w:right w:w="160" w:type="dxa"/>
            </w:tcMar>
          </w:tcPr>
          <w:p w14:paraId="63382986" w14:textId="77777777" w:rsidR="004E58A2" w:rsidRDefault="00000000">
            <w:pPr>
              <w:spacing w:after="60"/>
              <w:jc w:val="center"/>
            </w:pPr>
            <w:r>
              <w:rPr>
                <w:b/>
                <w:bCs/>
                <w:caps/>
                <w:color w:val="1B3A6B"/>
                <w:sz w:val="18"/>
                <w:szCs w:val="18"/>
              </w:rPr>
              <w:t>Composite Score</w:t>
            </w:r>
          </w:p>
          <w:p w14:paraId="7C9DDA8F" w14:textId="77777777" w:rsidR="004E58A2" w:rsidRDefault="00000000">
            <w:pPr>
              <w:spacing w:after="60"/>
              <w:jc w:val="center"/>
            </w:pPr>
            <w:r>
              <w:rPr>
                <w:b/>
                <w:bCs/>
                <w:color w:val="1F7EC2"/>
                <w:sz w:val="28"/>
                <w:szCs w:val="28"/>
              </w:rPr>
              <w:t>7.40 / 10</w:t>
            </w:r>
          </w:p>
          <w:p w14:paraId="4ED69AD5" w14:textId="77777777" w:rsidR="004E58A2" w:rsidRDefault="00000000">
            <w:pPr>
              <w:jc w:val="center"/>
            </w:pPr>
            <w:r>
              <w:rPr>
                <w:i/>
                <w:iCs/>
                <w:color w:val="555555"/>
                <w:sz w:val="17"/>
                <w:szCs w:val="17"/>
              </w:rPr>
              <w:t>Structurally Advantaged</w:t>
            </w:r>
          </w:p>
        </w:tc>
        <w:tc>
          <w:tcPr>
            <w:tcW w:w="234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160" w:type="dxa"/>
              <w:bottom w:w="160" w:type="dxa"/>
              <w:right w:w="160" w:type="dxa"/>
            </w:tcMar>
          </w:tcPr>
          <w:p w14:paraId="19FEB306" w14:textId="77777777" w:rsidR="004E58A2" w:rsidRDefault="00000000">
            <w:pPr>
              <w:spacing w:after="60"/>
              <w:jc w:val="center"/>
            </w:pPr>
            <w:r>
              <w:rPr>
                <w:b/>
                <w:bCs/>
                <w:caps/>
                <w:color w:val="1B3A6B"/>
                <w:sz w:val="18"/>
                <w:szCs w:val="18"/>
              </w:rPr>
              <w:t>EV / 2026E EBITDA</w:t>
            </w:r>
          </w:p>
          <w:p w14:paraId="5B26B842" w14:textId="77777777" w:rsidR="004E58A2" w:rsidRDefault="00000000">
            <w:pPr>
              <w:spacing w:after="60"/>
              <w:jc w:val="center"/>
            </w:pPr>
            <w:r>
              <w:rPr>
                <w:b/>
                <w:bCs/>
                <w:color w:val="1F7EC2"/>
                <w:sz w:val="28"/>
                <w:szCs w:val="28"/>
              </w:rPr>
              <w:t>~12.5x</w:t>
            </w:r>
          </w:p>
          <w:p w14:paraId="777795F6" w14:textId="77777777" w:rsidR="004E58A2" w:rsidRDefault="00000000">
            <w:pPr>
              <w:jc w:val="center"/>
            </w:pPr>
            <w:r>
              <w:rPr>
                <w:i/>
                <w:iCs/>
                <w:color w:val="555555"/>
                <w:sz w:val="17"/>
                <w:szCs w:val="17"/>
              </w:rPr>
              <w:t>vs. 20–30x Peer Band</w:t>
            </w:r>
          </w:p>
        </w:tc>
        <w:tc>
          <w:tcPr>
            <w:tcW w:w="234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160" w:type="dxa"/>
              <w:bottom w:w="160" w:type="dxa"/>
              <w:right w:w="160" w:type="dxa"/>
            </w:tcMar>
          </w:tcPr>
          <w:p w14:paraId="41C10457" w14:textId="77777777" w:rsidR="004E58A2" w:rsidRDefault="00000000">
            <w:pPr>
              <w:spacing w:after="60"/>
              <w:jc w:val="center"/>
            </w:pPr>
            <w:r>
              <w:rPr>
                <w:b/>
                <w:bCs/>
                <w:caps/>
                <w:color w:val="1B3A6B"/>
                <w:sz w:val="18"/>
                <w:szCs w:val="18"/>
              </w:rPr>
              <w:t>Recommendation</w:t>
            </w:r>
          </w:p>
          <w:p w14:paraId="24D04EC1" w14:textId="77777777" w:rsidR="004E58A2" w:rsidRDefault="00000000">
            <w:pPr>
              <w:spacing w:after="60"/>
              <w:jc w:val="center"/>
            </w:pPr>
            <w:r>
              <w:rPr>
                <w:b/>
                <w:bCs/>
                <w:color w:val="1F7EC2"/>
                <w:sz w:val="28"/>
                <w:szCs w:val="28"/>
              </w:rPr>
              <w:t>BUY</w:t>
            </w:r>
          </w:p>
          <w:p w14:paraId="666A1116" w14:textId="77777777" w:rsidR="004E58A2" w:rsidRDefault="00000000">
            <w:pPr>
              <w:jc w:val="center"/>
            </w:pPr>
            <w:r>
              <w:rPr>
                <w:i/>
                <w:iCs/>
                <w:color w:val="555555"/>
                <w:sz w:val="17"/>
                <w:szCs w:val="17"/>
              </w:rPr>
              <w:t>12–24 Month Horizon</w:t>
            </w:r>
          </w:p>
        </w:tc>
      </w:tr>
    </w:tbl>
    <w:p w14:paraId="3EF1A94E" w14:textId="77777777" w:rsidR="004E58A2" w:rsidRDefault="004E58A2">
      <w:pPr>
        <w:spacing w:after="400"/>
      </w:pPr>
    </w:p>
    <w:p w14:paraId="57F8F9F7" w14:textId="77777777" w:rsidR="004E58A2" w:rsidRDefault="00000000">
      <w:pPr>
        <w:jc w:val="center"/>
      </w:pPr>
      <w:r>
        <w:rPr>
          <w:color w:val="555555"/>
          <w:sz w:val="18"/>
          <w:szCs w:val="18"/>
        </w:rPr>
        <w:t xml:space="preserve">Prepared: March 13, </w:t>
      </w:r>
      <w:proofErr w:type="gramStart"/>
      <w:r>
        <w:rPr>
          <w:color w:val="555555"/>
          <w:sz w:val="18"/>
          <w:szCs w:val="18"/>
        </w:rPr>
        <w:t>2026</w:t>
      </w:r>
      <w:proofErr w:type="gramEnd"/>
      <w:r>
        <w:rPr>
          <w:color w:val="555555"/>
          <w:sz w:val="18"/>
          <w:szCs w:val="18"/>
        </w:rPr>
        <w:t xml:space="preserve">     |     Framework: Bustamante-Stoffel Biopharma Enabler Picks-and-Shovels v1.0</w:t>
      </w:r>
    </w:p>
    <w:p w14:paraId="059A5067" w14:textId="77777777" w:rsidR="004E58A2" w:rsidRDefault="004E58A2">
      <w:pPr>
        <w:spacing w:after="100"/>
      </w:pPr>
    </w:p>
    <w:p w14:paraId="0C0B2077" w14:textId="77777777" w:rsidR="004E58A2" w:rsidRDefault="00000000">
      <w:pPr>
        <w:jc w:val="center"/>
      </w:pPr>
      <w:r>
        <w:rPr>
          <w:caps/>
          <w:color w:val="555555"/>
          <w:sz w:val="16"/>
          <w:szCs w:val="16"/>
        </w:rPr>
        <w:t>CONFIDENTIAL — INTERNAL INVESTMENT RESEARCH — NOT FOR DISTRIBUTION</w:t>
      </w:r>
    </w:p>
    <w:p w14:paraId="21E92CAE" w14:textId="77777777" w:rsidR="004E58A2" w:rsidRDefault="00000000">
      <w:r>
        <w:br w:type="page"/>
      </w:r>
    </w:p>
    <w:p w14:paraId="0963D293" w14:textId="77777777" w:rsidR="004E58A2" w:rsidRDefault="00000000">
      <w:pPr>
        <w:pStyle w:val="Heading1"/>
        <w:pBdr>
          <w:bottom w:val="single" w:sz="10" w:space="4" w:color="1F7EC2"/>
        </w:pBdr>
      </w:pPr>
      <w:r>
        <w:lastRenderedPageBreak/>
        <w:t>SECTION 1: COMPANY OVERVIEW</w:t>
      </w:r>
    </w:p>
    <w:p w14:paraId="55921031" w14:textId="77777777" w:rsidR="004E58A2" w:rsidRDefault="00000000">
      <w:pPr>
        <w:spacing w:after="120"/>
      </w:pPr>
      <w:proofErr w:type="spellStart"/>
      <w:r>
        <w:rPr>
          <w:color w:val="111111"/>
        </w:rPr>
        <w:t>Stevanato</w:t>
      </w:r>
      <w:proofErr w:type="spellEnd"/>
      <w:r>
        <w:rPr>
          <w:color w:val="111111"/>
        </w:rPr>
        <w:t xml:space="preserve"> Group S.p.A. (NYSE: STVN) is a leading global provider of drug containment, drug delivery, and diagnostic solutions to the pharmaceutical, biotechnology, and life sciences industries. Founded in 1949 and headquartered in Piombino Dese, Italy, the company is family-controlled through </w:t>
      </w:r>
      <w:proofErr w:type="spellStart"/>
      <w:r>
        <w:rPr>
          <w:color w:val="111111"/>
        </w:rPr>
        <w:t>Stevanato</w:t>
      </w:r>
      <w:proofErr w:type="spellEnd"/>
      <w:r>
        <w:rPr>
          <w:color w:val="111111"/>
        </w:rPr>
        <w:t xml:space="preserve"> Holding S.R.L. and operates through two segments: Biopharmaceutical and Diagnostic Solutions (BDS, ~87% of revenue) and Engineering (~13% of revenue). With FY2025 revenue of €1.186 billion and approximately 5,521 employees across seven manufacturing facilities globally, </w:t>
      </w:r>
      <w:proofErr w:type="spellStart"/>
      <w:r>
        <w:rPr>
          <w:color w:val="111111"/>
        </w:rPr>
        <w:t>Stevanato</w:t>
      </w:r>
      <w:proofErr w:type="spellEnd"/>
      <w:r>
        <w:rPr>
          <w:color w:val="111111"/>
        </w:rPr>
        <w:t xml:space="preserve"> occupies the mission-critical layer of the pharmaceutical supply chain — the primary packaging and drug delivery infrastructure that enables injectable biologics to reach patients.</w:t>
      </w:r>
    </w:p>
    <w:p w14:paraId="5F8409E1" w14:textId="77777777" w:rsidR="004E58A2" w:rsidRDefault="004E58A2">
      <w:pPr>
        <w:spacing w:after="80"/>
      </w:pPr>
    </w:p>
    <w:p w14:paraId="677BF406" w14:textId="77777777" w:rsidR="004E58A2" w:rsidRDefault="00000000">
      <w:pPr>
        <w:pStyle w:val="Heading2"/>
        <w:spacing w:before="260"/>
      </w:pPr>
      <w:r>
        <w:t>Business Model Classification</w:t>
      </w:r>
    </w:p>
    <w:p w14:paraId="194D6A9D" w14:textId="77777777" w:rsidR="004E58A2" w:rsidRDefault="00000000">
      <w:pPr>
        <w:spacing w:after="120"/>
      </w:pPr>
      <w:r>
        <w:rPr>
          <w:color w:val="111111"/>
        </w:rPr>
        <w:t xml:space="preserve">Sub-sector routing per framework: Life Science Tools / Specialty Platform Enabler hybrid. </w:t>
      </w:r>
      <w:proofErr w:type="spellStart"/>
      <w:r>
        <w:rPr>
          <w:color w:val="111111"/>
        </w:rPr>
        <w:t>Stevanato</w:t>
      </w:r>
      <w:proofErr w:type="spellEnd"/>
      <w:r>
        <w:rPr>
          <w:color w:val="111111"/>
        </w:rPr>
        <w:t xml:space="preserve"> is NOT a drug developer (CDMO model does not apply). Its revenue is tied to the volume and complexity of injectable drug manufacturing — a structural growth market — rather than to the success of any individual drug. Framework weighting applied: Moats 4 (Scientific Platform) and 2 (Switching Costs) are primary anchors; Dimension 1 reflects multi-year validated supply agreements, not traditional backlog.</w:t>
      </w:r>
    </w:p>
    <w:p w14:paraId="49FFDA1B" w14:textId="77777777" w:rsidR="004E58A2" w:rsidRDefault="004E58A2">
      <w:pPr>
        <w:spacing w:after="80"/>
      </w:pPr>
    </w:p>
    <w:p w14:paraId="775F2C2D" w14:textId="77777777" w:rsidR="004E58A2" w:rsidRDefault="00000000">
      <w:pPr>
        <w:pStyle w:val="Heading2"/>
        <w:spacing w:before="260"/>
      </w:pPr>
      <w:r>
        <w:t>Key Financial Snapshot (FY2025 &amp; FY2026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58A2" w14:paraId="4760EA53" w14:textId="77777777">
        <w:tblPrEx>
          <w:tblCellMar>
            <w:top w:w="0" w:type="dxa"/>
            <w:bottom w:w="0" w:type="dxa"/>
          </w:tblCellMar>
        </w:tblPrEx>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92EA98B" w14:textId="77777777" w:rsidR="004E58A2" w:rsidRDefault="00000000">
            <w:r>
              <w:rPr>
                <w:b/>
                <w:bCs/>
                <w:color w:val="FFFFFF"/>
                <w:sz w:val="20"/>
                <w:szCs w:val="20"/>
              </w:rPr>
              <w:t>Metric</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E2B0241" w14:textId="77777777" w:rsidR="004E58A2" w:rsidRDefault="00000000">
            <w:pPr>
              <w:jc w:val="center"/>
            </w:pPr>
            <w:r>
              <w:rPr>
                <w:b/>
                <w:bCs/>
                <w:color w:val="FFFFFF"/>
                <w:sz w:val="20"/>
                <w:szCs w:val="20"/>
              </w:rPr>
              <w:t>FY2025 Actual</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3023967" w14:textId="77777777" w:rsidR="004E58A2" w:rsidRDefault="00000000">
            <w:pPr>
              <w:jc w:val="center"/>
            </w:pPr>
            <w:r>
              <w:rPr>
                <w:b/>
                <w:bCs/>
                <w:color w:val="FFFFFF"/>
                <w:sz w:val="20"/>
                <w:szCs w:val="20"/>
              </w:rPr>
              <w:t>FY2026 Guidance</w:t>
            </w:r>
          </w:p>
        </w:tc>
      </w:tr>
      <w:tr w:rsidR="004E58A2" w14:paraId="22F3884D"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C0A5E0C" w14:textId="77777777" w:rsidR="004E58A2" w:rsidRDefault="00000000">
            <w:r>
              <w:rPr>
                <w:b/>
                <w:bCs/>
                <w:color w:val="111111"/>
                <w:sz w:val="20"/>
                <w:szCs w:val="20"/>
              </w:rPr>
              <w:t>Revenue</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4C6E1C7" w14:textId="77777777" w:rsidR="004E58A2" w:rsidRDefault="00000000">
            <w:pPr>
              <w:jc w:val="center"/>
            </w:pPr>
            <w:r>
              <w:rPr>
                <w:color w:val="111111"/>
                <w:sz w:val="20"/>
                <w:szCs w:val="20"/>
              </w:rPr>
              <w:t>€1.186B (+7% reported; +9% CC)</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CD06D07" w14:textId="77777777" w:rsidR="004E58A2" w:rsidRDefault="00000000">
            <w:pPr>
              <w:jc w:val="center"/>
            </w:pPr>
            <w:r>
              <w:rPr>
                <w:color w:val="111111"/>
                <w:sz w:val="20"/>
                <w:szCs w:val="20"/>
              </w:rPr>
              <w:t>€1.260–1.290B</w:t>
            </w:r>
          </w:p>
        </w:tc>
      </w:tr>
      <w:tr w:rsidR="004E58A2" w14:paraId="0363D89F"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3C0B4E1" w14:textId="77777777" w:rsidR="004E58A2" w:rsidRDefault="00000000">
            <w:r>
              <w:rPr>
                <w:b/>
                <w:bCs/>
                <w:color w:val="111111"/>
                <w:sz w:val="20"/>
                <w:szCs w:val="20"/>
              </w:rPr>
              <w:t>High-Value Solutions (HVS)</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2E823CF" w14:textId="77777777" w:rsidR="004E58A2" w:rsidRDefault="00000000">
            <w:pPr>
              <w:jc w:val="center"/>
            </w:pPr>
            <w:r>
              <w:rPr>
                <w:color w:val="111111"/>
                <w:sz w:val="20"/>
                <w:szCs w:val="20"/>
              </w:rPr>
              <w:t>46% of revenue; +29% YoY</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EB290A4" w14:textId="77777777" w:rsidR="004E58A2" w:rsidRDefault="00000000">
            <w:pPr>
              <w:jc w:val="center"/>
            </w:pPr>
            <w:r>
              <w:rPr>
                <w:color w:val="111111"/>
                <w:sz w:val="20"/>
                <w:szCs w:val="20"/>
              </w:rPr>
              <w:t>~47–48% of revenue</w:t>
            </w:r>
          </w:p>
        </w:tc>
      </w:tr>
      <w:tr w:rsidR="004E58A2" w14:paraId="56E962FF"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879F499" w14:textId="77777777" w:rsidR="004E58A2" w:rsidRDefault="00000000">
            <w:r>
              <w:rPr>
                <w:b/>
                <w:bCs/>
                <w:color w:val="111111"/>
                <w:sz w:val="20"/>
                <w:szCs w:val="20"/>
              </w:rPr>
              <w:t>Gross Profit Margin</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9A96B32" w14:textId="77777777" w:rsidR="004E58A2" w:rsidRDefault="00000000">
            <w:pPr>
              <w:jc w:val="center"/>
            </w:pPr>
            <w:r>
              <w:rPr>
                <w:color w:val="111111"/>
                <w:sz w:val="20"/>
                <w:szCs w:val="20"/>
              </w:rPr>
              <w:t>29.0% (vs. 27.4% FY2024)</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382404C" w14:textId="77777777" w:rsidR="004E58A2" w:rsidRDefault="00000000">
            <w:pPr>
              <w:jc w:val="center"/>
            </w:pPr>
            <w:r>
              <w:rPr>
                <w:color w:val="111111"/>
                <w:sz w:val="20"/>
                <w:szCs w:val="20"/>
              </w:rPr>
              <w:t>Expanding</w:t>
            </w:r>
          </w:p>
        </w:tc>
      </w:tr>
      <w:tr w:rsidR="004E58A2" w14:paraId="12840555"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287C41A" w14:textId="77777777" w:rsidR="004E58A2" w:rsidRDefault="00000000">
            <w:r>
              <w:rPr>
                <w:b/>
                <w:bCs/>
                <w:color w:val="111111"/>
                <w:sz w:val="20"/>
                <w:szCs w:val="20"/>
              </w:rPr>
              <w:t>Adj. EBITDA</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D7AEFC3" w14:textId="77777777" w:rsidR="004E58A2" w:rsidRDefault="00000000">
            <w:pPr>
              <w:jc w:val="center"/>
            </w:pPr>
            <w:r>
              <w:rPr>
                <w:color w:val="111111"/>
                <w:sz w:val="20"/>
                <w:szCs w:val="20"/>
              </w:rPr>
              <w:t>€298.0M (25.1% margin)</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04CEF45" w14:textId="77777777" w:rsidR="004E58A2" w:rsidRDefault="00000000">
            <w:pPr>
              <w:jc w:val="center"/>
            </w:pPr>
            <w:r>
              <w:rPr>
                <w:color w:val="111111"/>
                <w:sz w:val="20"/>
                <w:szCs w:val="20"/>
              </w:rPr>
              <w:t>€331.8–346.9M (~26%)</w:t>
            </w:r>
          </w:p>
        </w:tc>
      </w:tr>
      <w:tr w:rsidR="004E58A2" w14:paraId="0A9DD332"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DCD4A7E" w14:textId="77777777" w:rsidR="004E58A2" w:rsidRDefault="00000000">
            <w:r>
              <w:rPr>
                <w:b/>
                <w:bCs/>
                <w:color w:val="111111"/>
                <w:sz w:val="20"/>
                <w:szCs w:val="20"/>
              </w:rPr>
              <w:t>Adj. Diluted EPS</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7AFC1F3" w14:textId="77777777" w:rsidR="004E58A2" w:rsidRDefault="00000000">
            <w:pPr>
              <w:jc w:val="center"/>
            </w:pPr>
            <w:r>
              <w:rPr>
                <w:color w:val="111111"/>
                <w:sz w:val="20"/>
                <w:szCs w:val="20"/>
              </w:rPr>
              <w:t>€0.54 (+19% YoY)</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CB082FC" w14:textId="77777777" w:rsidR="004E58A2" w:rsidRDefault="00000000">
            <w:pPr>
              <w:jc w:val="center"/>
            </w:pPr>
            <w:r>
              <w:rPr>
                <w:color w:val="111111"/>
                <w:sz w:val="20"/>
                <w:szCs w:val="20"/>
              </w:rPr>
              <w:t>€0.59–0.63</w:t>
            </w:r>
          </w:p>
        </w:tc>
      </w:tr>
      <w:tr w:rsidR="004E58A2" w14:paraId="3F8ADEDC"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63BBC9E1" w14:textId="77777777" w:rsidR="004E58A2" w:rsidRDefault="00000000">
            <w:r>
              <w:rPr>
                <w:b/>
                <w:bCs/>
                <w:color w:val="111111"/>
                <w:sz w:val="20"/>
                <w:szCs w:val="20"/>
              </w:rPr>
              <w:t>Free Cash Flow</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63C96BA" w14:textId="77777777" w:rsidR="004E58A2" w:rsidRDefault="00000000">
            <w:pPr>
              <w:jc w:val="center"/>
            </w:pPr>
            <w:r>
              <w:rPr>
                <w:color w:val="111111"/>
                <w:sz w:val="20"/>
                <w:szCs w:val="20"/>
              </w:rPr>
              <w:t>+€18.4M (first positive year)</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D6F3D2E" w14:textId="77777777" w:rsidR="004E58A2" w:rsidRDefault="00000000">
            <w:pPr>
              <w:jc w:val="center"/>
            </w:pPr>
            <w:r>
              <w:rPr>
                <w:color w:val="111111"/>
                <w:sz w:val="20"/>
                <w:szCs w:val="20"/>
              </w:rPr>
              <w:t>Expanding</w:t>
            </w:r>
          </w:p>
        </w:tc>
      </w:tr>
      <w:tr w:rsidR="004E58A2" w14:paraId="53237D02"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D946CE5" w14:textId="77777777" w:rsidR="004E58A2" w:rsidRDefault="00000000">
            <w:r>
              <w:rPr>
                <w:b/>
                <w:bCs/>
                <w:color w:val="111111"/>
                <w:sz w:val="20"/>
                <w:szCs w:val="20"/>
              </w:rPr>
              <w:t>Capex</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2227843" w14:textId="77777777" w:rsidR="004E58A2" w:rsidRDefault="00000000">
            <w:pPr>
              <w:jc w:val="center"/>
            </w:pPr>
            <w:r>
              <w:rPr>
                <w:color w:val="111111"/>
                <w:sz w:val="20"/>
                <w:szCs w:val="20"/>
              </w:rPr>
              <w:t>€294.9M (89% growth-oriented)</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F6C91D6" w14:textId="77777777" w:rsidR="004E58A2" w:rsidRDefault="00000000">
            <w:pPr>
              <w:jc w:val="center"/>
            </w:pPr>
            <w:r>
              <w:rPr>
                <w:color w:val="111111"/>
                <w:sz w:val="20"/>
                <w:szCs w:val="20"/>
              </w:rPr>
              <w:t>€270–290M (declining)</w:t>
            </w:r>
          </w:p>
        </w:tc>
      </w:tr>
      <w:tr w:rsidR="004E58A2" w14:paraId="20B23B8E"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37F8D65" w14:textId="77777777" w:rsidR="004E58A2" w:rsidRDefault="00000000">
            <w:r>
              <w:rPr>
                <w:b/>
                <w:bCs/>
                <w:color w:val="111111"/>
                <w:sz w:val="20"/>
                <w:szCs w:val="20"/>
              </w:rPr>
              <w:t>Net Debt</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F60231A" w14:textId="77777777" w:rsidR="004E58A2" w:rsidRDefault="00000000">
            <w:pPr>
              <w:jc w:val="center"/>
            </w:pPr>
            <w:r>
              <w:rPr>
                <w:color w:val="111111"/>
                <w:sz w:val="20"/>
                <w:szCs w:val="20"/>
              </w:rPr>
              <w:t>€337.7M</w:t>
            </w:r>
          </w:p>
        </w:tc>
        <w:tc>
          <w:tcPr>
            <w:tcW w:w="312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62F53E4" w14:textId="77777777" w:rsidR="004E58A2" w:rsidRDefault="00000000">
            <w:pPr>
              <w:jc w:val="center"/>
            </w:pPr>
            <w:r>
              <w:rPr>
                <w:color w:val="111111"/>
                <w:sz w:val="20"/>
                <w:szCs w:val="20"/>
              </w:rPr>
              <w:t>Declining</w:t>
            </w:r>
          </w:p>
        </w:tc>
      </w:tr>
      <w:tr w:rsidR="004E58A2" w14:paraId="5170FC66" w14:textId="77777777">
        <w:tblPrEx>
          <w:tblCellMar>
            <w:top w:w="0" w:type="dxa"/>
            <w:bottom w:w="0" w:type="dxa"/>
          </w:tblCellMar>
        </w:tblPrEx>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0A37560" w14:textId="77777777" w:rsidR="004E58A2" w:rsidRDefault="00000000">
            <w:r>
              <w:rPr>
                <w:b/>
                <w:bCs/>
                <w:color w:val="111111"/>
                <w:sz w:val="20"/>
                <w:szCs w:val="20"/>
              </w:rPr>
              <w:t>GLP-1 Revenue</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9DAC5F5" w14:textId="77777777" w:rsidR="004E58A2" w:rsidRDefault="00000000">
            <w:pPr>
              <w:jc w:val="center"/>
            </w:pPr>
            <w:r>
              <w:rPr>
                <w:color w:val="111111"/>
                <w:sz w:val="20"/>
                <w:szCs w:val="20"/>
              </w:rPr>
              <w:t>~19–20% of total; grew &gt;50%</w:t>
            </w:r>
          </w:p>
        </w:tc>
        <w:tc>
          <w:tcPr>
            <w:tcW w:w="31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8E91900" w14:textId="77777777" w:rsidR="004E58A2" w:rsidRDefault="00000000">
            <w:pPr>
              <w:jc w:val="center"/>
            </w:pPr>
            <w:r>
              <w:rPr>
                <w:color w:val="111111"/>
                <w:sz w:val="20"/>
                <w:szCs w:val="20"/>
              </w:rPr>
              <w:t>Mid-teens growth expected</w:t>
            </w:r>
          </w:p>
        </w:tc>
      </w:tr>
    </w:tbl>
    <w:p w14:paraId="768FC85E" w14:textId="77777777" w:rsidR="004E58A2" w:rsidRDefault="004E58A2">
      <w:pPr>
        <w:spacing w:after="80"/>
      </w:pPr>
    </w:p>
    <w:p w14:paraId="0506ACE5" w14:textId="77777777" w:rsidR="004E58A2" w:rsidRDefault="00000000">
      <w:pPr>
        <w:pStyle w:val="Heading2"/>
        <w:spacing w:before="260"/>
      </w:pPr>
      <w:r>
        <w:t>Quarterly Revenue &amp; Margin Progression (FY2025)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E58A2" w14:paraId="52690144" w14:textId="77777777">
        <w:tblPrEx>
          <w:tblCellMar>
            <w:top w:w="0" w:type="dxa"/>
            <w:bottom w:w="0" w:type="dxa"/>
          </w:tblCellMar>
        </w:tblPrEx>
        <w:tc>
          <w:tcPr>
            <w:tcW w:w="18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C2392A6" w14:textId="77777777" w:rsidR="004E58A2" w:rsidRDefault="00000000">
            <w:pPr>
              <w:jc w:val="center"/>
            </w:pPr>
            <w:r>
              <w:rPr>
                <w:b/>
                <w:bCs/>
                <w:color w:val="FFFFFF"/>
                <w:sz w:val="19"/>
                <w:szCs w:val="19"/>
              </w:rPr>
              <w:t>Quarter</w:t>
            </w:r>
          </w:p>
        </w:tc>
        <w:tc>
          <w:tcPr>
            <w:tcW w:w="18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BBDD2C2" w14:textId="77777777" w:rsidR="004E58A2" w:rsidRDefault="00000000">
            <w:pPr>
              <w:jc w:val="center"/>
            </w:pPr>
            <w:r>
              <w:rPr>
                <w:b/>
                <w:bCs/>
                <w:color w:val="FFFFFF"/>
                <w:sz w:val="19"/>
                <w:szCs w:val="19"/>
              </w:rPr>
              <w:t>Revenue</w:t>
            </w:r>
          </w:p>
        </w:tc>
        <w:tc>
          <w:tcPr>
            <w:tcW w:w="18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C4B180C" w14:textId="77777777" w:rsidR="004E58A2" w:rsidRDefault="00000000">
            <w:pPr>
              <w:jc w:val="center"/>
            </w:pPr>
            <w:r>
              <w:rPr>
                <w:b/>
                <w:bCs/>
                <w:color w:val="FFFFFF"/>
                <w:sz w:val="19"/>
                <w:szCs w:val="19"/>
              </w:rPr>
              <w:t>HVS %</w:t>
            </w:r>
          </w:p>
        </w:tc>
        <w:tc>
          <w:tcPr>
            <w:tcW w:w="18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7E64758" w14:textId="77777777" w:rsidR="004E58A2" w:rsidRDefault="00000000">
            <w:pPr>
              <w:jc w:val="center"/>
            </w:pPr>
            <w:r>
              <w:rPr>
                <w:b/>
                <w:bCs/>
                <w:color w:val="FFFFFF"/>
                <w:sz w:val="19"/>
                <w:szCs w:val="19"/>
              </w:rPr>
              <w:t>Gross Margin</w:t>
            </w:r>
          </w:p>
        </w:tc>
        <w:tc>
          <w:tcPr>
            <w:tcW w:w="18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84BE3A5" w14:textId="77777777" w:rsidR="004E58A2" w:rsidRDefault="00000000">
            <w:pPr>
              <w:jc w:val="center"/>
            </w:pPr>
            <w:r>
              <w:rPr>
                <w:b/>
                <w:bCs/>
                <w:color w:val="FFFFFF"/>
                <w:sz w:val="19"/>
                <w:szCs w:val="19"/>
              </w:rPr>
              <w:t>Adj. EBITDA Margin</w:t>
            </w:r>
          </w:p>
        </w:tc>
      </w:tr>
      <w:tr w:rsidR="004E58A2" w14:paraId="7B744228" w14:textId="77777777">
        <w:tblPrEx>
          <w:tblCellMar>
            <w:top w:w="0" w:type="dxa"/>
            <w:bottom w:w="0" w:type="dxa"/>
          </w:tblCellMar>
        </w:tblPrEx>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1625CC1" w14:textId="77777777" w:rsidR="004E58A2" w:rsidRDefault="00000000">
            <w:pPr>
              <w:jc w:val="center"/>
            </w:pPr>
            <w:r>
              <w:rPr>
                <w:color w:val="111111"/>
                <w:sz w:val="19"/>
                <w:szCs w:val="19"/>
              </w:rPr>
              <w:t>Q1 2025</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8D23CA" w14:textId="77777777" w:rsidR="004E58A2" w:rsidRDefault="00000000">
            <w:pPr>
              <w:jc w:val="center"/>
            </w:pPr>
            <w:r>
              <w:rPr>
                <w:color w:val="111111"/>
                <w:sz w:val="19"/>
                <w:szCs w:val="19"/>
              </w:rPr>
              <w:t>€256.6M (+9%)</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2A2E7C2" w14:textId="77777777" w:rsidR="004E58A2" w:rsidRDefault="00000000">
            <w:pPr>
              <w:jc w:val="center"/>
            </w:pPr>
            <w:r>
              <w:rPr>
                <w:color w:val="111111"/>
                <w:sz w:val="19"/>
                <w:szCs w:val="19"/>
              </w:rPr>
              <w:t>43%</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EA1BC1D" w14:textId="77777777" w:rsidR="004E58A2" w:rsidRDefault="00000000">
            <w:pPr>
              <w:jc w:val="center"/>
            </w:pPr>
            <w:r>
              <w:rPr>
                <w:color w:val="111111"/>
                <w:sz w:val="19"/>
                <w:szCs w:val="19"/>
              </w:rPr>
              <w:t>27.2%</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DBA9F0A" w14:textId="77777777" w:rsidR="004E58A2" w:rsidRDefault="00000000">
            <w:pPr>
              <w:jc w:val="center"/>
            </w:pPr>
            <w:r>
              <w:rPr>
                <w:color w:val="111111"/>
                <w:sz w:val="19"/>
                <w:szCs w:val="19"/>
              </w:rPr>
              <w:t>22.4%</w:t>
            </w:r>
          </w:p>
        </w:tc>
      </w:tr>
      <w:tr w:rsidR="004E58A2" w14:paraId="355EEACF" w14:textId="77777777">
        <w:tblPrEx>
          <w:tblCellMar>
            <w:top w:w="0" w:type="dxa"/>
            <w:bottom w:w="0" w:type="dxa"/>
          </w:tblCellMar>
        </w:tblPrEx>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61AFEBB" w14:textId="77777777" w:rsidR="004E58A2" w:rsidRDefault="00000000">
            <w:pPr>
              <w:jc w:val="center"/>
            </w:pPr>
            <w:r>
              <w:rPr>
                <w:color w:val="111111"/>
                <w:sz w:val="19"/>
                <w:szCs w:val="19"/>
              </w:rPr>
              <w:t>Q2 2025</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4AB0BB3" w14:textId="77777777" w:rsidR="004E58A2" w:rsidRDefault="00000000">
            <w:pPr>
              <w:jc w:val="center"/>
            </w:pPr>
            <w:r>
              <w:rPr>
                <w:color w:val="111111"/>
                <w:sz w:val="19"/>
                <w:szCs w:val="19"/>
              </w:rPr>
              <w:t>€280.0M (+8%)</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0EC9B9B" w14:textId="77777777" w:rsidR="004E58A2" w:rsidRDefault="00000000">
            <w:pPr>
              <w:jc w:val="center"/>
            </w:pPr>
            <w:r>
              <w:rPr>
                <w:color w:val="111111"/>
                <w:sz w:val="19"/>
                <w:szCs w:val="19"/>
              </w:rPr>
              <w:t>42%</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01A7162" w14:textId="77777777" w:rsidR="004E58A2" w:rsidRDefault="00000000">
            <w:pPr>
              <w:jc w:val="center"/>
            </w:pPr>
            <w:r>
              <w:rPr>
                <w:color w:val="111111"/>
                <w:sz w:val="19"/>
                <w:szCs w:val="19"/>
              </w:rPr>
              <w:t>28.1%</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17CA1FB" w14:textId="77777777" w:rsidR="004E58A2" w:rsidRDefault="00000000">
            <w:pPr>
              <w:jc w:val="center"/>
            </w:pPr>
            <w:r>
              <w:rPr>
                <w:color w:val="111111"/>
                <w:sz w:val="19"/>
                <w:szCs w:val="19"/>
              </w:rPr>
              <w:t>23.2%</w:t>
            </w:r>
          </w:p>
        </w:tc>
      </w:tr>
      <w:tr w:rsidR="004E58A2" w14:paraId="748369D5" w14:textId="77777777">
        <w:tblPrEx>
          <w:tblCellMar>
            <w:top w:w="0" w:type="dxa"/>
            <w:bottom w:w="0" w:type="dxa"/>
          </w:tblCellMar>
        </w:tblPrEx>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562CBC3" w14:textId="77777777" w:rsidR="004E58A2" w:rsidRDefault="00000000">
            <w:pPr>
              <w:jc w:val="center"/>
            </w:pPr>
            <w:r>
              <w:rPr>
                <w:color w:val="111111"/>
                <w:sz w:val="19"/>
                <w:szCs w:val="19"/>
              </w:rPr>
              <w:t>Q3 2025</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A2FB309" w14:textId="77777777" w:rsidR="004E58A2" w:rsidRDefault="00000000">
            <w:pPr>
              <w:jc w:val="center"/>
            </w:pPr>
            <w:r>
              <w:rPr>
                <w:color w:val="111111"/>
                <w:sz w:val="19"/>
                <w:szCs w:val="19"/>
              </w:rPr>
              <w:t>€303.2M (+9%)</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2F426C6" w14:textId="77777777" w:rsidR="004E58A2" w:rsidRDefault="00000000">
            <w:pPr>
              <w:jc w:val="center"/>
            </w:pPr>
            <w:r>
              <w:rPr>
                <w:color w:val="111111"/>
                <w:sz w:val="19"/>
                <w:szCs w:val="19"/>
              </w:rPr>
              <w:t>49% (record)</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B807736" w14:textId="77777777" w:rsidR="004E58A2" w:rsidRDefault="00000000">
            <w:pPr>
              <w:jc w:val="center"/>
            </w:pPr>
            <w:r>
              <w:rPr>
                <w:color w:val="111111"/>
                <w:sz w:val="19"/>
                <w:szCs w:val="19"/>
              </w:rPr>
              <w:t>29.2%</w:t>
            </w:r>
          </w:p>
        </w:tc>
        <w:tc>
          <w:tcPr>
            <w:tcW w:w="1872"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A6A2112" w14:textId="77777777" w:rsidR="004E58A2" w:rsidRDefault="00000000">
            <w:pPr>
              <w:jc w:val="center"/>
            </w:pPr>
            <w:r>
              <w:rPr>
                <w:color w:val="111111"/>
                <w:sz w:val="19"/>
                <w:szCs w:val="19"/>
              </w:rPr>
              <w:t>25.7%</w:t>
            </w:r>
          </w:p>
        </w:tc>
      </w:tr>
      <w:tr w:rsidR="004E58A2" w14:paraId="26C2D328" w14:textId="77777777">
        <w:tblPrEx>
          <w:tblCellMar>
            <w:top w:w="0" w:type="dxa"/>
            <w:bottom w:w="0" w:type="dxa"/>
          </w:tblCellMar>
        </w:tblPrEx>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07FF65B" w14:textId="77777777" w:rsidR="004E58A2" w:rsidRDefault="00000000">
            <w:pPr>
              <w:jc w:val="center"/>
            </w:pPr>
            <w:r>
              <w:rPr>
                <w:color w:val="111111"/>
                <w:sz w:val="19"/>
                <w:szCs w:val="19"/>
              </w:rPr>
              <w:t>Q4 2025</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81AE323" w14:textId="77777777" w:rsidR="004E58A2" w:rsidRDefault="00000000">
            <w:pPr>
              <w:jc w:val="center"/>
            </w:pPr>
            <w:r>
              <w:rPr>
                <w:color w:val="111111"/>
                <w:sz w:val="19"/>
                <w:szCs w:val="19"/>
              </w:rPr>
              <w:t>€346.5M (+5%)</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A88AD14" w14:textId="77777777" w:rsidR="004E58A2" w:rsidRDefault="00000000">
            <w:pPr>
              <w:jc w:val="center"/>
            </w:pPr>
            <w:r>
              <w:rPr>
                <w:color w:val="111111"/>
                <w:sz w:val="19"/>
                <w:szCs w:val="19"/>
              </w:rPr>
              <w:t>49%</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28649961" w14:textId="77777777" w:rsidR="004E58A2" w:rsidRDefault="00000000">
            <w:pPr>
              <w:jc w:val="center"/>
            </w:pPr>
            <w:r>
              <w:rPr>
                <w:color w:val="111111"/>
                <w:sz w:val="19"/>
                <w:szCs w:val="19"/>
              </w:rPr>
              <w:t>30.9%</w:t>
            </w:r>
          </w:p>
        </w:tc>
        <w:tc>
          <w:tcPr>
            <w:tcW w:w="1872"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65CF229" w14:textId="77777777" w:rsidR="004E58A2" w:rsidRDefault="00000000">
            <w:pPr>
              <w:jc w:val="center"/>
            </w:pPr>
            <w:r>
              <w:rPr>
                <w:color w:val="111111"/>
                <w:sz w:val="19"/>
                <w:szCs w:val="19"/>
              </w:rPr>
              <w:t>28.2%</w:t>
            </w:r>
          </w:p>
        </w:tc>
      </w:tr>
    </w:tbl>
    <w:p w14:paraId="1B2B6B38" w14:textId="77777777" w:rsidR="004E58A2" w:rsidRDefault="004E58A2">
      <w:pPr>
        <w:spacing w:after="80"/>
      </w:pPr>
    </w:p>
    <w:p w14:paraId="6BBCF3F8" w14:textId="77777777" w:rsidR="004E58A2" w:rsidRDefault="00000000">
      <w:pPr>
        <w:spacing w:after="120"/>
      </w:pPr>
      <w:r>
        <w:rPr>
          <w:color w:val="111111"/>
        </w:rPr>
        <w:t xml:space="preserve">Note: Q4 2025 gross margin of 30.9% and adj. EBITDA margin of 28.2% </w:t>
      </w:r>
      <w:proofErr w:type="gramStart"/>
      <w:r>
        <w:rPr>
          <w:color w:val="111111"/>
        </w:rPr>
        <w:t>represent</w:t>
      </w:r>
      <w:proofErr w:type="gramEnd"/>
      <w:r>
        <w:rPr>
          <w:color w:val="111111"/>
        </w:rPr>
        <w:t xml:space="preserve"> the forward trajectory as HVS mix increases and new facility inefficiencies resolve. The sequential margin expansion from Q1 to Q4 demonstrates strong operating leverage in the BDS segment. Engineering segment (€170.3M FY2024; –17% decline) acted as a consistent drag throughout 2025 and is expected to decline further in 2026 as the company executes its optimization plan.</w:t>
      </w:r>
    </w:p>
    <w:p w14:paraId="4AE86CE0" w14:textId="77777777" w:rsidR="004E58A2" w:rsidRDefault="00000000">
      <w:r>
        <w:br w:type="page"/>
      </w:r>
    </w:p>
    <w:p w14:paraId="51A5A9E9" w14:textId="77777777" w:rsidR="004E58A2" w:rsidRDefault="00000000">
      <w:pPr>
        <w:pStyle w:val="Heading1"/>
        <w:pBdr>
          <w:bottom w:val="single" w:sz="10" w:space="4" w:color="1F7EC2"/>
        </w:pBdr>
      </w:pPr>
      <w:r>
        <w:lastRenderedPageBreak/>
        <w:t>SECTION 2: INVESTMENT THESIS</w:t>
      </w:r>
    </w:p>
    <w:p w14:paraId="5B7435FF" w14:textId="77777777" w:rsidR="004E58A2" w:rsidRDefault="00000000">
      <w:pPr>
        <w:spacing w:after="120"/>
      </w:pPr>
      <w:proofErr w:type="spellStart"/>
      <w:r>
        <w:rPr>
          <w:color w:val="111111"/>
        </w:rPr>
        <w:t>Stevanato</w:t>
      </w:r>
      <w:proofErr w:type="spellEnd"/>
      <w:r>
        <w:rPr>
          <w:color w:val="111111"/>
        </w:rPr>
        <w:t xml:space="preserve"> Group is the picks-and-shovels infrastructure play on the most durable secular trend in biopharma: the migration of global medicine to injectable biologics. Over the past four years, </w:t>
      </w:r>
      <w:proofErr w:type="gramStart"/>
      <w:r>
        <w:rPr>
          <w:color w:val="111111"/>
        </w:rPr>
        <w:t>biologics</w:t>
      </w:r>
      <w:proofErr w:type="gramEnd"/>
      <w:r>
        <w:rPr>
          <w:color w:val="111111"/>
        </w:rPr>
        <w:t xml:space="preserve"> </w:t>
      </w:r>
      <w:proofErr w:type="gramStart"/>
      <w:r>
        <w:rPr>
          <w:color w:val="111111"/>
        </w:rPr>
        <w:t>grew</w:t>
      </w:r>
      <w:proofErr w:type="gramEnd"/>
      <w:r>
        <w:rPr>
          <w:color w:val="111111"/>
        </w:rPr>
        <w:t xml:space="preserve"> from 21% to 41% of BDS revenue. GLP-1 drugs — the fastest-growing pharmaceutical category in history — drove more than 50% revenue growth in that sub-category in FY2025 and are guiding to mid-teens growth in FY2026. With over 9,000 injectable assets in the global clinical pipeline, of which more than 60% are biologics, the addressable market for </w:t>
      </w:r>
      <w:proofErr w:type="spellStart"/>
      <w:r>
        <w:rPr>
          <w:color w:val="111111"/>
        </w:rPr>
        <w:t>Stevanato's</w:t>
      </w:r>
      <w:proofErr w:type="spellEnd"/>
      <w:r>
        <w:rPr>
          <w:color w:val="111111"/>
        </w:rPr>
        <w:t xml:space="preserve"> primary packaging and delivery systems is in structural, multi-decade growth.</w:t>
      </w:r>
    </w:p>
    <w:p w14:paraId="14485620" w14:textId="77777777" w:rsidR="004E58A2" w:rsidRDefault="004E58A2">
      <w:pPr>
        <w:spacing w:after="80"/>
      </w:pPr>
    </w:p>
    <w:p w14:paraId="361CBEFA" w14:textId="77777777" w:rsidR="004E58A2" w:rsidRDefault="00000000">
      <w:pPr>
        <w:spacing w:after="120"/>
      </w:pPr>
      <w:r>
        <w:rPr>
          <w:color w:val="111111"/>
        </w:rPr>
        <w:t>The investment thesis rests on three interlocking pillars:</w:t>
      </w:r>
    </w:p>
    <w:p w14:paraId="07D73CE3" w14:textId="77777777" w:rsidR="004E58A2" w:rsidRDefault="004E58A2">
      <w:pPr>
        <w:spacing w:after="60"/>
      </w:pPr>
    </w:p>
    <w:p w14:paraId="67478F8D" w14:textId="77777777" w:rsidR="004E58A2" w:rsidRDefault="00000000">
      <w:pPr>
        <w:spacing w:before="180" w:after="80"/>
      </w:pPr>
      <w:r>
        <w:rPr>
          <w:b/>
          <w:bCs/>
          <w:color w:val="1F7EC2"/>
          <w:sz w:val="24"/>
          <w:szCs w:val="24"/>
        </w:rPr>
        <w:t>Pillar 1: Regulatory Lock-in Creates Irreplaceable Moat</w:t>
      </w:r>
    </w:p>
    <w:p w14:paraId="3F5B122D" w14:textId="77777777" w:rsidR="004E58A2" w:rsidRDefault="00000000">
      <w:pPr>
        <w:spacing w:after="120"/>
      </w:pPr>
      <w:proofErr w:type="spellStart"/>
      <w:r>
        <w:rPr>
          <w:color w:val="111111"/>
        </w:rPr>
        <w:t>Stevanato's</w:t>
      </w:r>
      <w:proofErr w:type="spellEnd"/>
      <w:r>
        <w:rPr>
          <w:color w:val="111111"/>
        </w:rPr>
        <w:t xml:space="preserve"> glass vials, prefilled syringes, and cartridges are not commodity packaging — they are primary containers embedded in each drug's regulatory filing with the FDA and EMA. Changing a primary packaging supplier requires 12–24 months of analytical testing, regulatory revalidation, and filing amendments that can cost $5–50M and delay commercialization. This </w:t>
      </w:r>
      <w:proofErr w:type="gramStart"/>
      <w:r>
        <w:rPr>
          <w:color w:val="111111"/>
        </w:rPr>
        <w:t>regulatory switching</w:t>
      </w:r>
      <w:proofErr w:type="gramEnd"/>
      <w:r>
        <w:rPr>
          <w:color w:val="111111"/>
        </w:rPr>
        <w:t xml:space="preserve"> cost barrier is structural and compounding: every new drug that completes validation with </w:t>
      </w:r>
      <w:proofErr w:type="spellStart"/>
      <w:r>
        <w:rPr>
          <w:color w:val="111111"/>
        </w:rPr>
        <w:t>Stevanato</w:t>
      </w:r>
      <w:proofErr w:type="spellEnd"/>
      <w:r>
        <w:rPr>
          <w:color w:val="111111"/>
        </w:rPr>
        <w:t xml:space="preserve"> represents a decade-plus revenue annuity. The empirical confirmation of this moat is a client retention rate exceeding 90%, sustained over decades.</w:t>
      </w:r>
    </w:p>
    <w:p w14:paraId="23D52F27" w14:textId="77777777" w:rsidR="004E58A2" w:rsidRDefault="004E58A2">
      <w:pPr>
        <w:spacing w:after="60"/>
      </w:pPr>
    </w:p>
    <w:p w14:paraId="447EA6BC" w14:textId="77777777" w:rsidR="004E58A2" w:rsidRDefault="00000000">
      <w:pPr>
        <w:spacing w:before="180" w:after="80"/>
      </w:pPr>
      <w:r>
        <w:rPr>
          <w:b/>
          <w:bCs/>
          <w:color w:val="1F7EC2"/>
          <w:sz w:val="24"/>
          <w:szCs w:val="24"/>
        </w:rPr>
        <w:t>Pillar 2: High-Value Solutions Mix Shift Drives Non-Linear Margin Expansion</w:t>
      </w:r>
    </w:p>
    <w:p w14:paraId="49CF63A5" w14:textId="77777777" w:rsidR="004E58A2" w:rsidRDefault="00000000">
      <w:pPr>
        <w:spacing w:after="120"/>
      </w:pPr>
      <w:r>
        <w:rPr>
          <w:color w:val="111111"/>
        </w:rPr>
        <w:t>HVS (Nexa® prefilled syringes, EZ-fill® ready-to-use platforms) carry gross margins of 40–70% versus 15–35% for standard vials — a 2–3x premium in profitability. HVS grew from 40% of revenue in Q4 2024 to 49% in both Q3 and Q4 2025. This mix shift, combined with the ramp-up of new high-capacity manufacturing facilities in Latina, Italy and Fishers, Indiana, is driving adj. EBITDA margin from 22.4% in Q1 2025 to 28.2% in Q4 2025. As these facilities reach full utilization in 2026–2027, the operating leverage embedded in the model should push consolidated margins toward 28–30%.</w:t>
      </w:r>
    </w:p>
    <w:p w14:paraId="342E999E" w14:textId="77777777" w:rsidR="004E58A2" w:rsidRDefault="004E58A2">
      <w:pPr>
        <w:spacing w:after="60"/>
      </w:pPr>
    </w:p>
    <w:p w14:paraId="7AC812B8" w14:textId="77777777" w:rsidR="004E58A2" w:rsidRDefault="00000000">
      <w:pPr>
        <w:spacing w:before="180" w:after="80"/>
      </w:pPr>
      <w:r>
        <w:rPr>
          <w:b/>
          <w:bCs/>
          <w:color w:val="1F7EC2"/>
          <w:sz w:val="24"/>
          <w:szCs w:val="24"/>
        </w:rPr>
        <w:t>Pillar 3: Valuation Dislocation Creates Asymmetric Entry Point</w:t>
      </w:r>
    </w:p>
    <w:p w14:paraId="68831241" w14:textId="77777777" w:rsidR="004E58A2" w:rsidRDefault="00000000">
      <w:pPr>
        <w:spacing w:after="120"/>
      </w:pPr>
      <w:r>
        <w:rPr>
          <w:color w:val="111111"/>
        </w:rPr>
        <w:t>At the current stock price of ~$15.41, STVN trades at approximately 12.5x EV/2026E EBITDA — materially below the Life Science Tools peer valuation band of 20–30x. The stock has declined from a 52-week high of $28.00 to the current $14.74–15.41 range, driven by Engineering segment weakness, material weakness disclosure in internal controls, and broader life science sector de-rating. These headwinds are largely known, largely transitory, and fully reflected in current valuations. Analyst consensus price target ranges from $23.75 to $28.66 — implying 56–86% upside. The governance risk from the material weakness warrants close monitoring but does not, at this stage, invalidate the structural thesis.</w:t>
      </w:r>
    </w:p>
    <w:p w14:paraId="076039BC" w14:textId="77777777" w:rsidR="004E58A2" w:rsidRDefault="00000000">
      <w:r>
        <w:br w:type="page"/>
      </w:r>
    </w:p>
    <w:p w14:paraId="119386EA" w14:textId="77777777" w:rsidR="004E58A2" w:rsidRDefault="00000000">
      <w:pPr>
        <w:pStyle w:val="Heading1"/>
        <w:pBdr>
          <w:bottom w:val="single" w:sz="10" w:space="4" w:color="1F7EC2"/>
        </w:pBdr>
      </w:pPr>
      <w:r>
        <w:lastRenderedPageBreak/>
        <w:t>SECTION 3: STAGE 1 — ENABLER MOAT TAXONOMY (EMT)</w:t>
      </w:r>
    </w:p>
    <w:p w14:paraId="63AB7986" w14:textId="77777777" w:rsidR="004E58A2" w:rsidRDefault="00000000">
      <w:pPr>
        <w:spacing w:after="120"/>
      </w:pPr>
      <w:r>
        <w:rPr>
          <w:color w:val="111111"/>
        </w:rPr>
        <w:t>Each of the eight moats is scored 0–2. Sub-sector routing: Life Science Tools / Specialty Platform Enabler. Moats 4 (Scientific Platform) and 2 (Switching Costs) receive analytical priority per framework routing.</w:t>
      </w:r>
    </w:p>
    <w:p w14:paraId="44620490" w14:textId="77777777" w:rsidR="004E58A2" w:rsidRDefault="004E58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156"/>
        <w:gridCol w:w="796"/>
        <w:gridCol w:w="5701"/>
      </w:tblGrid>
      <w:tr w:rsidR="004E58A2" w14:paraId="0D2D58A9" w14:textId="77777777">
        <w:tblPrEx>
          <w:tblCellMar>
            <w:top w:w="0" w:type="dxa"/>
            <w:bottom w:w="0" w:type="dxa"/>
          </w:tblCellMar>
        </w:tblPrEx>
        <w:trPr>
          <w:tblHeader/>
        </w:trPr>
        <w:tc>
          <w:tcPr>
            <w:tcW w:w="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F55DDF4" w14:textId="77777777" w:rsidR="004E58A2" w:rsidRDefault="00000000">
            <w:pPr>
              <w:jc w:val="center"/>
            </w:pPr>
            <w:r>
              <w:rPr>
                <w:b/>
                <w:bCs/>
                <w:color w:val="FFFFFF"/>
                <w:sz w:val="20"/>
                <w:szCs w:val="20"/>
              </w:rPr>
              <w:t>Moat</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C30CB16" w14:textId="77777777" w:rsidR="004E58A2" w:rsidRDefault="00000000">
            <w:pPr>
              <w:jc w:val="center"/>
            </w:pPr>
            <w:r>
              <w:rPr>
                <w:b/>
                <w:bCs/>
                <w:color w:val="FFFFFF"/>
                <w:sz w:val="20"/>
                <w:szCs w:val="20"/>
              </w:rPr>
              <w:t>Category</w:t>
            </w:r>
          </w:p>
        </w:tc>
        <w:tc>
          <w:tcPr>
            <w:tcW w:w="6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6EBBEC5" w14:textId="77777777" w:rsidR="004E58A2" w:rsidRDefault="00000000">
            <w:pPr>
              <w:jc w:val="center"/>
            </w:pPr>
            <w:r>
              <w:rPr>
                <w:b/>
                <w:bCs/>
                <w:color w:val="FFFFFF"/>
                <w:sz w:val="20"/>
                <w:szCs w:val="20"/>
              </w:rPr>
              <w:t>Score</w:t>
            </w:r>
          </w:p>
        </w:tc>
        <w:tc>
          <w:tcPr>
            <w:tcW w:w="60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D0252BF" w14:textId="77777777" w:rsidR="004E58A2" w:rsidRDefault="00000000">
            <w:pPr>
              <w:jc w:val="center"/>
            </w:pPr>
            <w:r>
              <w:rPr>
                <w:b/>
                <w:bCs/>
                <w:color w:val="FFFFFF"/>
                <w:sz w:val="20"/>
                <w:szCs w:val="20"/>
              </w:rPr>
              <w:t>Assessment &amp; Evidence</w:t>
            </w:r>
          </w:p>
        </w:tc>
      </w:tr>
      <w:tr w:rsidR="004E58A2" w14:paraId="21ED6050"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1FAEF4D5" w14:textId="77777777" w:rsidR="004E58A2" w:rsidRDefault="00000000">
            <w:pPr>
              <w:jc w:val="center"/>
            </w:pPr>
            <w:r>
              <w:rPr>
                <w:b/>
                <w:bCs/>
                <w:color w:val="1B3A6B"/>
                <w:sz w:val="20"/>
                <w:szCs w:val="20"/>
              </w:rPr>
              <w:t>M1</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15F35404" w14:textId="77777777" w:rsidR="004E58A2" w:rsidRDefault="00000000">
            <w:r>
              <w:rPr>
                <w:b/>
                <w:bCs/>
                <w:color w:val="1B3A6B"/>
                <w:sz w:val="20"/>
                <w:szCs w:val="20"/>
              </w:rPr>
              <w:t>Regulatory Qualification &amp; Compliance</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32EADF9E" w14:textId="77777777" w:rsidR="004E58A2" w:rsidRDefault="00000000">
            <w:pPr>
              <w:jc w:val="center"/>
            </w:pPr>
            <w:r>
              <w:rPr>
                <w:b/>
                <w:bCs/>
                <w:color w:val="1A6B3A"/>
              </w:rPr>
              <w:t>2/2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79172C8" w14:textId="77777777" w:rsidR="004E58A2" w:rsidRDefault="00000000">
            <w:r>
              <w:rPr>
                <w:color w:val="111111"/>
                <w:sz w:val="20"/>
                <w:szCs w:val="20"/>
              </w:rPr>
              <w:t xml:space="preserve">37 international regulatory standards including FDA, EMA, and WHO; ISO 9001, ISO 15378 certified. 76+ years of continuous compliance. 7 manufacturing </w:t>
            </w:r>
            <w:proofErr w:type="gramStart"/>
            <w:r>
              <w:rPr>
                <w:color w:val="111111"/>
                <w:sz w:val="20"/>
                <w:szCs w:val="20"/>
              </w:rPr>
              <w:t>facilities</w:t>
            </w:r>
            <w:proofErr w:type="gramEnd"/>
            <w:r>
              <w:rPr>
                <w:color w:val="111111"/>
                <w:sz w:val="20"/>
                <w:szCs w:val="20"/>
              </w:rPr>
              <w:t xml:space="preserve"> all FDA/EMA qualified. &lt;1% defect rate across product lines. 328 dedicated quality management professionals; €5.6M annual quality software investment. No FDA warning letters or import alerts on record. Clean inspection history across sites. Score: 2.</w:t>
            </w:r>
          </w:p>
        </w:tc>
      </w:tr>
      <w:tr w:rsidR="004E58A2" w14:paraId="114DFF3B"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2A94A811" w14:textId="77777777" w:rsidR="004E58A2" w:rsidRDefault="00000000">
            <w:pPr>
              <w:jc w:val="center"/>
            </w:pPr>
            <w:r>
              <w:rPr>
                <w:b/>
                <w:bCs/>
                <w:color w:val="1B3A6B"/>
                <w:sz w:val="20"/>
                <w:szCs w:val="20"/>
              </w:rPr>
              <w:t>M2</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24006733" w14:textId="77777777" w:rsidR="004E58A2" w:rsidRDefault="00000000">
            <w:r>
              <w:rPr>
                <w:b/>
                <w:bCs/>
                <w:color w:val="1B3A6B"/>
                <w:sz w:val="20"/>
                <w:szCs w:val="20"/>
              </w:rPr>
              <w:t>Switching Costs &amp; Validation Transfer Barriers</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3E83CCE5" w14:textId="77777777" w:rsidR="004E58A2" w:rsidRDefault="00000000">
            <w:pPr>
              <w:jc w:val="center"/>
            </w:pPr>
            <w:r>
              <w:rPr>
                <w:b/>
                <w:bCs/>
                <w:color w:val="1A6B3A"/>
              </w:rPr>
              <w:t>2/2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1583DF6" w14:textId="77777777" w:rsidR="004E58A2" w:rsidRDefault="00000000">
            <w:proofErr w:type="spellStart"/>
            <w:r>
              <w:rPr>
                <w:color w:val="111111"/>
                <w:sz w:val="20"/>
                <w:szCs w:val="20"/>
              </w:rPr>
              <w:t>Stevanato's</w:t>
            </w:r>
            <w:proofErr w:type="spellEnd"/>
            <w:r>
              <w:rPr>
                <w:color w:val="111111"/>
                <w:sz w:val="20"/>
                <w:szCs w:val="20"/>
              </w:rPr>
              <w:t xml:space="preserve"> primary containers are embedded in each drug's regulatory filing. Changing suppliers requires analytical bridging, comparative studies, and regulatory amendments — a 12–</w:t>
            </w:r>
            <w:proofErr w:type="gramStart"/>
            <w:r>
              <w:rPr>
                <w:color w:val="111111"/>
                <w:sz w:val="20"/>
                <w:szCs w:val="20"/>
              </w:rPr>
              <w:t>24 month</w:t>
            </w:r>
            <w:proofErr w:type="gramEnd"/>
            <w:r>
              <w:rPr>
                <w:color w:val="111111"/>
                <w:sz w:val="20"/>
                <w:szCs w:val="20"/>
              </w:rPr>
              <w:t xml:space="preserve"> process costing $5–50M+. This is the primary lock-in mechanism. 90%+ client retention rate is the empirical proof. Mission-critical position (contaminated vial = failed drug launch) reinforces incumbency bias. Score: 2.</w:t>
            </w:r>
          </w:p>
        </w:tc>
      </w:tr>
      <w:tr w:rsidR="004E58A2" w14:paraId="6FC80F3A"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78452D62" w14:textId="77777777" w:rsidR="004E58A2" w:rsidRDefault="00000000">
            <w:pPr>
              <w:jc w:val="center"/>
            </w:pPr>
            <w:r>
              <w:rPr>
                <w:b/>
                <w:bCs/>
                <w:color w:val="1B3A6B"/>
                <w:sz w:val="20"/>
                <w:szCs w:val="20"/>
              </w:rPr>
              <w:t>M3</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10EAF63A" w14:textId="77777777" w:rsidR="004E58A2" w:rsidRDefault="00000000">
            <w:r>
              <w:rPr>
                <w:b/>
                <w:bCs/>
                <w:color w:val="1B3A6B"/>
                <w:sz w:val="20"/>
                <w:szCs w:val="20"/>
              </w:rPr>
              <w:t>Capacity Scarcity &amp; Specialized Infrastructure</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20F4B8A8" w14:textId="77777777" w:rsidR="004E58A2" w:rsidRDefault="00000000">
            <w:pPr>
              <w:jc w:val="center"/>
            </w:pPr>
            <w:r>
              <w:rPr>
                <w:b/>
                <w:bCs/>
                <w:color w:val="B8860B"/>
              </w:rPr>
              <w:t>1/2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75CD79A" w14:textId="77777777" w:rsidR="004E58A2" w:rsidRDefault="00000000">
            <w:r>
              <w:rPr>
                <w:color w:val="111111"/>
                <w:sz w:val="20"/>
                <w:szCs w:val="20"/>
              </w:rPr>
              <w:t xml:space="preserve">Biologics-grade glass container capacity is in structural scarcity relative to demand, driven by GLP-1 and biologic volume growth. </w:t>
            </w:r>
            <w:proofErr w:type="spellStart"/>
            <w:r>
              <w:rPr>
                <w:color w:val="111111"/>
                <w:sz w:val="20"/>
                <w:szCs w:val="20"/>
              </w:rPr>
              <w:t>Stevanato</w:t>
            </w:r>
            <w:proofErr w:type="spellEnd"/>
            <w:r>
              <w:rPr>
                <w:color w:val="111111"/>
                <w:sz w:val="20"/>
                <w:szCs w:val="20"/>
              </w:rPr>
              <w:t xml:space="preserve"> is investing €570M+ across Latina (Italy) and Fishers (Indiana) to expand specialized syringe and EZ-fill cartridge capacity. However, the buildout is mid-cycle (not 'waitlist' constrained) and capacity is actively increasing. Score 1 acknowledges real scarcity advantage but stops short of Score 2 pending fuller utilization of new sites.</w:t>
            </w:r>
          </w:p>
        </w:tc>
      </w:tr>
      <w:tr w:rsidR="004E58A2" w14:paraId="13F82D0B"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68FD0D91" w14:textId="77777777" w:rsidR="004E58A2" w:rsidRDefault="00000000">
            <w:pPr>
              <w:jc w:val="center"/>
            </w:pPr>
            <w:r>
              <w:rPr>
                <w:b/>
                <w:bCs/>
                <w:color w:val="1B3A6B"/>
                <w:sz w:val="20"/>
                <w:szCs w:val="20"/>
              </w:rPr>
              <w:t>M4</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EFE6A49" w14:textId="77777777" w:rsidR="004E58A2" w:rsidRDefault="00000000">
            <w:r>
              <w:rPr>
                <w:b/>
                <w:bCs/>
                <w:color w:val="1B3A6B"/>
                <w:sz w:val="20"/>
                <w:szCs w:val="20"/>
              </w:rPr>
              <w:t>Scientific &amp; Technical Platform Differentiation</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114060F8" w14:textId="77777777" w:rsidR="004E58A2" w:rsidRDefault="00000000">
            <w:pPr>
              <w:jc w:val="center"/>
            </w:pPr>
            <w:r>
              <w:rPr>
                <w:b/>
                <w:bCs/>
                <w:color w:val="1A6B3A"/>
              </w:rPr>
              <w:t>2/2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DD4B387" w14:textId="77777777" w:rsidR="004E58A2" w:rsidRDefault="00000000">
            <w:r>
              <w:rPr>
                <w:color w:val="111111"/>
                <w:sz w:val="20"/>
                <w:szCs w:val="20"/>
              </w:rPr>
              <w:t>Nexa® syringe platform is proprietary and embedded across 50+ biologics programs requiring automated injection delivery. EZ-fill® ready-to-use containers selected for the first FDA-approved GLP-1 biosimilar commercial launch — a significant competitive win. Company invests &gt;7% of annual revenue in R&amp;D; Infinity technology for high-speed glass vial assembly is proprietary. 9,000+ injectable assets in global pipeline create a large, captive addressable market. Score: 2.</w:t>
            </w:r>
          </w:p>
        </w:tc>
      </w:tr>
      <w:tr w:rsidR="004E58A2" w14:paraId="279D96CF"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32E4C129" w14:textId="77777777" w:rsidR="004E58A2" w:rsidRDefault="00000000">
            <w:pPr>
              <w:jc w:val="center"/>
            </w:pPr>
            <w:r>
              <w:rPr>
                <w:b/>
                <w:bCs/>
                <w:color w:val="1B3A6B"/>
                <w:sz w:val="20"/>
                <w:szCs w:val="20"/>
              </w:rPr>
              <w:t>M5</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0CD30449" w14:textId="77777777" w:rsidR="004E58A2" w:rsidRDefault="00000000">
            <w:r>
              <w:rPr>
                <w:b/>
                <w:bCs/>
                <w:color w:val="1B3A6B"/>
                <w:sz w:val="20"/>
                <w:szCs w:val="20"/>
              </w:rPr>
              <w:t>End-to-End Integration &amp; Cross-Selling</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16581573" w14:textId="77777777" w:rsidR="004E58A2" w:rsidRDefault="00000000">
            <w:pPr>
              <w:jc w:val="center"/>
            </w:pPr>
            <w:r>
              <w:rPr>
                <w:b/>
                <w:bCs/>
                <w:color w:val="1A6B3A"/>
              </w:rPr>
              <w:t>2/2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C3BA7B5" w14:textId="77777777" w:rsidR="004E58A2" w:rsidRDefault="00000000">
            <w:proofErr w:type="spellStart"/>
            <w:r>
              <w:rPr>
                <w:color w:val="111111"/>
                <w:sz w:val="20"/>
                <w:szCs w:val="20"/>
              </w:rPr>
              <w:t>Stevanato</w:t>
            </w:r>
            <w:proofErr w:type="spellEnd"/>
            <w:r>
              <w:rPr>
                <w:color w:val="111111"/>
                <w:sz w:val="20"/>
                <w:szCs w:val="20"/>
              </w:rPr>
              <w:t xml:space="preserve"> provides glass forming machines (via Engineering segment) → sterile primary containers → drug delivery systems (pen injectors, auto-injectors) → visual inspection equipment. This span from component manufacturing through finished delivery device covers development, clinical, and commercial stages. Cross-selling validated: </w:t>
            </w:r>
            <w:proofErr w:type="gramStart"/>
            <w:r>
              <w:rPr>
                <w:color w:val="111111"/>
                <w:sz w:val="20"/>
                <w:szCs w:val="20"/>
              </w:rPr>
              <w:t>same</w:t>
            </w:r>
            <w:proofErr w:type="gramEnd"/>
            <w:r>
              <w:rPr>
                <w:color w:val="111111"/>
                <w:sz w:val="20"/>
                <w:szCs w:val="20"/>
              </w:rPr>
              <w:t xml:space="preserve"> customers purchase BDS products and Engineering equipment. Framework definition for Score 2 (3+ service lines with demonstrated cross-selling) is met. Score: 2.</w:t>
            </w:r>
          </w:p>
        </w:tc>
      </w:tr>
      <w:tr w:rsidR="004E58A2" w14:paraId="3CFCDEF0"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63AF44AF" w14:textId="77777777" w:rsidR="004E58A2" w:rsidRDefault="00000000">
            <w:pPr>
              <w:jc w:val="center"/>
            </w:pPr>
            <w:r>
              <w:rPr>
                <w:b/>
                <w:bCs/>
                <w:color w:val="1B3A6B"/>
                <w:sz w:val="20"/>
                <w:szCs w:val="20"/>
              </w:rPr>
              <w:lastRenderedPageBreak/>
              <w:t>M6</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55EAE456" w14:textId="77777777" w:rsidR="004E58A2" w:rsidRDefault="00000000">
            <w:r>
              <w:rPr>
                <w:b/>
                <w:bCs/>
                <w:color w:val="1B3A6B"/>
                <w:sz w:val="20"/>
                <w:szCs w:val="20"/>
              </w:rPr>
              <w:t>Proprietary Data &amp; Institutional Knowledge</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2F468D43" w14:textId="77777777" w:rsidR="004E58A2" w:rsidRDefault="00000000">
            <w:pPr>
              <w:jc w:val="center"/>
            </w:pPr>
            <w:r>
              <w:rPr>
                <w:b/>
                <w:bCs/>
                <w:color w:val="B8860B"/>
              </w:rPr>
              <w:t>1/2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0A60AE6" w14:textId="77777777" w:rsidR="004E58A2" w:rsidRDefault="00000000">
            <w:r>
              <w:rPr>
                <w:color w:val="111111"/>
                <w:sz w:val="20"/>
                <w:szCs w:val="20"/>
              </w:rPr>
              <w:t>76 years of glass science expertise; deep institutional knowledge in pharmaceutical grade glass composition, sterility, and coating technology. 48,000+ annual employee training hours; specialized workforce. However, this knowledge is not systematized into predictive data products or proprietary databases that generate measurable external value (not a data analytics platform). Scores 1: strong process knowledge, not a data moat. Score: 1.</w:t>
            </w:r>
          </w:p>
        </w:tc>
      </w:tr>
      <w:tr w:rsidR="004E58A2" w14:paraId="74E2FBFE"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C017EAB" w14:textId="77777777" w:rsidR="004E58A2" w:rsidRDefault="00000000">
            <w:pPr>
              <w:jc w:val="center"/>
            </w:pPr>
            <w:r>
              <w:rPr>
                <w:b/>
                <w:bCs/>
                <w:color w:val="1B3A6B"/>
                <w:sz w:val="20"/>
                <w:szCs w:val="20"/>
              </w:rPr>
              <w:t>M7</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70654C05" w14:textId="77777777" w:rsidR="004E58A2" w:rsidRDefault="00000000">
            <w:r>
              <w:rPr>
                <w:b/>
                <w:bCs/>
                <w:color w:val="1B3A6B"/>
                <w:sz w:val="20"/>
                <w:szCs w:val="20"/>
              </w:rPr>
              <w:t>Customer Relationship Depth &amp; Preferred Provider Status</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79225D37" w14:textId="77777777" w:rsidR="004E58A2" w:rsidRDefault="00000000">
            <w:pPr>
              <w:jc w:val="center"/>
            </w:pPr>
            <w:r>
              <w:rPr>
                <w:b/>
                <w:bCs/>
                <w:color w:val="1A6B3A"/>
              </w:rPr>
              <w:t>2/2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65EFB7F" w14:textId="77777777" w:rsidR="004E58A2" w:rsidRDefault="00000000">
            <w:r>
              <w:rPr>
                <w:color w:val="111111"/>
                <w:sz w:val="20"/>
                <w:szCs w:val="20"/>
              </w:rPr>
              <w:t>90%+ client retention rate sustained over decades. Multi-decade partnerships with major global pharma companies (implied by GLP-1 exposure: Novo Nordisk, Eli Lilly relationships). EZ-fill cartridge selected for first FDA-approved GLP-1 biosimilar commercial launch = preferred provider validation at the highest-profile competitive moment in the sector. No single customer disclosed &gt;10% of revenue, suggesting diversified blue-chip base. Score: 2.</w:t>
            </w:r>
          </w:p>
        </w:tc>
      </w:tr>
      <w:tr w:rsidR="004E58A2" w14:paraId="2EB5B70E" w14:textId="77777777">
        <w:tblPrEx>
          <w:tblCellMar>
            <w:top w:w="0" w:type="dxa"/>
            <w:bottom w:w="0" w:type="dxa"/>
          </w:tblCellMar>
        </w:tblPrEx>
        <w:tc>
          <w:tcPr>
            <w:tcW w:w="4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2EA3CB4" w14:textId="77777777" w:rsidR="004E58A2" w:rsidRDefault="00000000">
            <w:pPr>
              <w:jc w:val="center"/>
            </w:pPr>
            <w:r>
              <w:rPr>
                <w:b/>
                <w:bCs/>
                <w:color w:val="1B3A6B"/>
                <w:sz w:val="20"/>
                <w:szCs w:val="20"/>
              </w:rPr>
              <w:t>M8</w:t>
            </w:r>
          </w:p>
        </w:tc>
        <w:tc>
          <w:tcPr>
            <w:tcW w:w="22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2F27A1EE" w14:textId="77777777" w:rsidR="004E58A2" w:rsidRDefault="00000000">
            <w:r>
              <w:rPr>
                <w:b/>
                <w:bCs/>
                <w:color w:val="1B3A6B"/>
                <w:sz w:val="20"/>
                <w:szCs w:val="20"/>
              </w:rPr>
              <w:t>Geographic Diversification &amp; Geopolitical Resilience</w:t>
            </w:r>
          </w:p>
        </w:tc>
        <w:tc>
          <w:tcPr>
            <w:tcW w:w="64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1E7BE774" w14:textId="77777777" w:rsidR="004E58A2" w:rsidRDefault="00000000">
            <w:pPr>
              <w:jc w:val="center"/>
            </w:pPr>
            <w:r>
              <w:rPr>
                <w:b/>
                <w:bCs/>
                <w:color w:val="B8860B"/>
              </w:rPr>
              <w:t>1/2</w:t>
            </w:r>
          </w:p>
        </w:tc>
        <w:tc>
          <w:tcPr>
            <w:tcW w:w="60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26B0544" w14:textId="77777777" w:rsidR="004E58A2" w:rsidRDefault="00000000">
            <w:r>
              <w:rPr>
                <w:color w:val="111111"/>
                <w:sz w:val="20"/>
                <w:szCs w:val="20"/>
              </w:rPr>
              <w:t>Manufacturing in Italy (Piombino Dese, Latina), USA (Fishers, Indiana), Denmark. Revenue: EMEA is dominant region (&gt;50%), creating geographic concentration. No BIOSECURE Act exposure (Italian domicile). However, Italian 'golden powers' regulation allows government to block/restrict M&amp;A transactions, limiting strategic optionality. EUR/USD creates recurring FX headwind (~2–3% annual impact). Building toward Score 2 as Fishers becomes a comprehensive North American hub, but not yet fully diversified. Score: 1.</w:t>
            </w:r>
          </w:p>
        </w:tc>
      </w:tr>
    </w:tbl>
    <w:p w14:paraId="0C3C5427" w14:textId="77777777" w:rsidR="004E58A2" w:rsidRDefault="004E58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58A2" w14:paraId="32CD2188" w14:textId="77777777">
        <w:tblPrEx>
          <w:tblCellMar>
            <w:top w:w="0" w:type="dxa"/>
            <w:bottom w:w="0" w:type="dxa"/>
          </w:tblCellMar>
        </w:tblPrEx>
        <w:tc>
          <w:tcPr>
            <w:tcW w:w="468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200" w:type="dxa"/>
              <w:bottom w:w="160" w:type="dxa"/>
              <w:right w:w="200" w:type="dxa"/>
            </w:tcMar>
          </w:tcPr>
          <w:p w14:paraId="01751B43" w14:textId="77777777" w:rsidR="004E58A2" w:rsidRDefault="00000000">
            <w:pPr>
              <w:spacing w:after="80"/>
            </w:pPr>
            <w:r>
              <w:rPr>
                <w:b/>
                <w:bCs/>
                <w:caps/>
                <w:color w:val="1B3A6B"/>
              </w:rPr>
              <w:t>EMT TOTAL SCORE</w:t>
            </w:r>
          </w:p>
          <w:p w14:paraId="04A38A92" w14:textId="77777777" w:rsidR="004E58A2" w:rsidRDefault="00000000">
            <w:pPr>
              <w:spacing w:after="80"/>
            </w:pPr>
            <w:r>
              <w:rPr>
                <w:b/>
                <w:bCs/>
                <w:color w:val="1F7EC2"/>
                <w:sz w:val="48"/>
                <w:szCs w:val="48"/>
              </w:rPr>
              <w:t>13 / 16</w:t>
            </w:r>
          </w:p>
          <w:p w14:paraId="1107C37B" w14:textId="77777777" w:rsidR="004E58A2" w:rsidRDefault="00000000">
            <w:r>
              <w:rPr>
                <w:b/>
                <w:bCs/>
                <w:color w:val="1A6B3A"/>
              </w:rPr>
              <w:t>TIER 1: STRUCTURAL MOAT LEADER</w:t>
            </w:r>
          </w:p>
        </w:tc>
        <w:tc>
          <w:tcPr>
            <w:tcW w:w="4680" w:type="dxa"/>
            <w:tcBorders>
              <w:top w:val="single" w:sz="4" w:space="0" w:color="1F7EC2"/>
              <w:left w:val="single" w:sz="4" w:space="0" w:color="1F7EC2"/>
              <w:bottom w:val="single" w:sz="4" w:space="0" w:color="1F7EC2"/>
              <w:right w:val="single" w:sz="4" w:space="0" w:color="1F7EC2"/>
            </w:tcBorders>
            <w:shd w:val="clear" w:color="auto" w:fill="F8FBFE"/>
            <w:tcMar>
              <w:top w:w="160" w:type="dxa"/>
              <w:left w:w="200" w:type="dxa"/>
              <w:bottom w:w="160" w:type="dxa"/>
              <w:right w:w="200" w:type="dxa"/>
            </w:tcMar>
          </w:tcPr>
          <w:p w14:paraId="71E30CBF" w14:textId="77777777" w:rsidR="004E58A2" w:rsidRDefault="00000000">
            <w:pPr>
              <w:spacing w:after="80"/>
            </w:pPr>
            <w:r>
              <w:rPr>
                <w:b/>
                <w:bCs/>
                <w:color w:val="1B3A6B"/>
                <w:sz w:val="20"/>
                <w:szCs w:val="20"/>
              </w:rPr>
              <w:t>Score Breakdown</w:t>
            </w:r>
          </w:p>
          <w:p w14:paraId="2E6CEBC3" w14:textId="77777777" w:rsidR="004E58A2" w:rsidRDefault="00000000">
            <w:pPr>
              <w:spacing w:after="60"/>
            </w:pPr>
            <w:r>
              <w:rPr>
                <w:color w:val="1A6B3A"/>
                <w:sz w:val="20"/>
                <w:szCs w:val="20"/>
              </w:rPr>
              <w:t>Score 2 (Max)</w:t>
            </w:r>
            <w:proofErr w:type="gramStart"/>
            <w:r>
              <w:rPr>
                <w:color w:val="1A6B3A"/>
                <w:sz w:val="20"/>
                <w:szCs w:val="20"/>
              </w:rPr>
              <w:t>:  M1</w:t>
            </w:r>
            <w:proofErr w:type="gramEnd"/>
            <w:r>
              <w:rPr>
                <w:color w:val="1A6B3A"/>
                <w:sz w:val="20"/>
                <w:szCs w:val="20"/>
              </w:rPr>
              <w:t>, M2, M4, M5, M</w:t>
            </w:r>
            <w:proofErr w:type="gramStart"/>
            <w:r>
              <w:rPr>
                <w:color w:val="1A6B3A"/>
                <w:sz w:val="20"/>
                <w:szCs w:val="20"/>
              </w:rPr>
              <w:t>7  (</w:t>
            </w:r>
            <w:proofErr w:type="gramEnd"/>
            <w:r>
              <w:rPr>
                <w:color w:val="1A6B3A"/>
                <w:sz w:val="20"/>
                <w:szCs w:val="20"/>
              </w:rPr>
              <w:t>5 moats)</w:t>
            </w:r>
          </w:p>
          <w:p w14:paraId="239D64F1" w14:textId="77777777" w:rsidR="004E58A2" w:rsidRDefault="00000000">
            <w:pPr>
              <w:spacing w:after="60"/>
            </w:pPr>
            <w:r>
              <w:rPr>
                <w:color w:val="B8860B"/>
                <w:sz w:val="20"/>
                <w:szCs w:val="20"/>
              </w:rPr>
              <w:t>Score 1:          M3, M6, M</w:t>
            </w:r>
            <w:proofErr w:type="gramStart"/>
            <w:r>
              <w:rPr>
                <w:color w:val="B8860B"/>
                <w:sz w:val="20"/>
                <w:szCs w:val="20"/>
              </w:rPr>
              <w:t>8  (</w:t>
            </w:r>
            <w:proofErr w:type="gramEnd"/>
            <w:r>
              <w:rPr>
                <w:color w:val="B8860B"/>
                <w:sz w:val="20"/>
                <w:szCs w:val="20"/>
              </w:rPr>
              <w:t>3 moats)</w:t>
            </w:r>
          </w:p>
          <w:p w14:paraId="683647DE" w14:textId="77777777" w:rsidR="004E58A2" w:rsidRDefault="00000000">
            <w:pPr>
              <w:spacing w:after="60"/>
            </w:pPr>
            <w:r>
              <w:rPr>
                <w:color w:val="555555"/>
                <w:sz w:val="20"/>
                <w:szCs w:val="20"/>
              </w:rPr>
              <w:t>Score 0:          None</w:t>
            </w:r>
          </w:p>
          <w:p w14:paraId="056FF315" w14:textId="77777777" w:rsidR="004E58A2" w:rsidRDefault="00000000">
            <w:r>
              <w:rPr>
                <w:i/>
                <w:iCs/>
                <w:color w:val="555555"/>
                <w:sz w:val="19"/>
                <w:szCs w:val="19"/>
              </w:rPr>
              <w:t>Strengths: Regulatory lock-in, switching costs, platform differentiation, end-to-end integration, customer loyalty</w:t>
            </w:r>
          </w:p>
        </w:tc>
      </w:tr>
    </w:tbl>
    <w:p w14:paraId="028C1B07" w14:textId="77777777" w:rsidR="004E58A2" w:rsidRDefault="00000000">
      <w:r>
        <w:br w:type="page"/>
      </w:r>
    </w:p>
    <w:p w14:paraId="53F58CFF" w14:textId="77777777" w:rsidR="004E58A2" w:rsidRDefault="00000000">
      <w:pPr>
        <w:pStyle w:val="Heading1"/>
        <w:pBdr>
          <w:bottom w:val="single" w:sz="10" w:space="4" w:color="1F7EC2"/>
        </w:pBdr>
      </w:pPr>
      <w:r>
        <w:lastRenderedPageBreak/>
        <w:t>SECTION 4: STAGE 2 — FIVE-DIMENSION ASSESSMENT</w:t>
      </w:r>
    </w:p>
    <w:p w14:paraId="0E2EE7FC" w14:textId="77777777" w:rsidR="004E58A2" w:rsidRDefault="00000000">
      <w:pPr>
        <w:spacing w:after="120"/>
      </w:pPr>
      <w:r>
        <w:rPr>
          <w:color w:val="111111"/>
        </w:rPr>
        <w:t>Each dimension scored 0–10, weighted to produce a composite score. STVN does not report a traditional backlog (unlike CROs). Visibility is assessed through multi-year validated supply agreements, drug pipeline composition, and GLP-1 guidance specificity. Sub-sector scoring calibration applied: Life Science Tools / Specialty Platform Enabler benchmarks used throughout.</w:t>
      </w:r>
    </w:p>
    <w:p w14:paraId="388674C1" w14:textId="77777777" w:rsidR="004E58A2" w:rsidRDefault="004E58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796"/>
        <w:gridCol w:w="907"/>
        <w:gridCol w:w="674"/>
        <w:gridCol w:w="4467"/>
      </w:tblGrid>
      <w:tr w:rsidR="004E58A2" w14:paraId="47F92172" w14:textId="77777777">
        <w:tblPrEx>
          <w:tblCellMar>
            <w:top w:w="0" w:type="dxa"/>
            <w:bottom w:w="0" w:type="dxa"/>
          </w:tblCellMar>
        </w:tblPrEx>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939F186" w14:textId="77777777" w:rsidR="004E58A2" w:rsidRDefault="00000000">
            <w:pPr>
              <w:jc w:val="center"/>
            </w:pPr>
            <w:r>
              <w:rPr>
                <w:b/>
                <w:bCs/>
                <w:color w:val="FFFFFF"/>
                <w:sz w:val="20"/>
                <w:szCs w:val="20"/>
              </w:rPr>
              <w:t>Dimension</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EF35A40" w14:textId="77777777" w:rsidR="004E58A2" w:rsidRDefault="00000000">
            <w:pPr>
              <w:jc w:val="center"/>
            </w:pPr>
            <w:r>
              <w:rPr>
                <w:b/>
                <w:bCs/>
                <w:color w:val="FFFFFF"/>
                <w:sz w:val="20"/>
                <w:szCs w:val="20"/>
              </w:rPr>
              <w:t>Score</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8DA2869" w14:textId="77777777" w:rsidR="004E58A2" w:rsidRDefault="00000000">
            <w:pPr>
              <w:jc w:val="center"/>
            </w:pPr>
            <w:r>
              <w:rPr>
                <w:b/>
                <w:bCs/>
                <w:color w:val="FFFFFF"/>
                <w:sz w:val="20"/>
                <w:szCs w:val="20"/>
              </w:rPr>
              <w:t>Weight</w:t>
            </w:r>
          </w:p>
        </w:tc>
        <w:tc>
          <w:tcPr>
            <w:tcW w:w="6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44D11D9" w14:textId="77777777" w:rsidR="004E58A2" w:rsidRDefault="00000000">
            <w:pPr>
              <w:jc w:val="center"/>
            </w:pPr>
            <w:proofErr w:type="spellStart"/>
            <w:r>
              <w:rPr>
                <w:b/>
                <w:bCs/>
                <w:color w:val="FFFFFF"/>
                <w:sz w:val="20"/>
                <w:szCs w:val="20"/>
              </w:rPr>
              <w:t>Wtd</w:t>
            </w:r>
            <w:proofErr w:type="spellEnd"/>
            <w:r>
              <w:rPr>
                <w:b/>
                <w:bCs/>
                <w:color w:val="FFFFFF"/>
                <w:sz w:val="20"/>
                <w:szCs w:val="20"/>
              </w:rPr>
              <w:t>.</w:t>
            </w:r>
          </w:p>
        </w:tc>
        <w:tc>
          <w:tcPr>
            <w:tcW w:w="47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BB2732C" w14:textId="77777777" w:rsidR="004E58A2" w:rsidRDefault="00000000">
            <w:pPr>
              <w:jc w:val="center"/>
            </w:pPr>
            <w:r>
              <w:rPr>
                <w:b/>
                <w:bCs/>
                <w:color w:val="FFFFFF"/>
                <w:sz w:val="20"/>
                <w:szCs w:val="20"/>
              </w:rPr>
              <w:t>Assessment</w:t>
            </w:r>
          </w:p>
        </w:tc>
      </w:tr>
      <w:tr w:rsidR="004E58A2" w14:paraId="59A9D4A9" w14:textId="77777777">
        <w:tblPrEx>
          <w:tblCellMar>
            <w:top w:w="0" w:type="dxa"/>
            <w:bottom w:w="0" w:type="dxa"/>
          </w:tblCellMar>
        </w:tblPrEx>
        <w:tc>
          <w:tcPr>
            <w:tcW w:w="26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3B84F0AD" w14:textId="77777777" w:rsidR="004E58A2" w:rsidRDefault="00000000">
            <w:r>
              <w:rPr>
                <w:b/>
                <w:bCs/>
                <w:color w:val="1B3A6B"/>
                <w:sz w:val="20"/>
                <w:szCs w:val="20"/>
              </w:rPr>
              <w:t>D1: Revenue Durability &amp; Backlog Quality</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7611E3A7" w14:textId="77777777" w:rsidR="004E58A2" w:rsidRDefault="00000000">
            <w:pPr>
              <w:jc w:val="center"/>
            </w:pPr>
            <w:r>
              <w:rPr>
                <w:b/>
                <w:bCs/>
                <w:color w:val="2E6096"/>
              </w:rPr>
              <w:t>6/10</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27577076" w14:textId="77777777" w:rsidR="004E58A2" w:rsidRDefault="00000000">
            <w:pPr>
              <w:jc w:val="center"/>
            </w:pPr>
            <w:r>
              <w:rPr>
                <w:color w:val="555555"/>
                <w:sz w:val="20"/>
                <w:szCs w:val="20"/>
              </w:rPr>
              <w:t>25%</w:t>
            </w:r>
          </w:p>
        </w:tc>
        <w:tc>
          <w:tcPr>
            <w:tcW w:w="6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vAlign w:val="center"/>
          </w:tcPr>
          <w:p w14:paraId="60821CD5" w14:textId="77777777" w:rsidR="004E58A2" w:rsidRDefault="00000000">
            <w:pPr>
              <w:jc w:val="center"/>
            </w:pPr>
            <w:r>
              <w:rPr>
                <w:b/>
                <w:bCs/>
                <w:color w:val="1F7EC2"/>
                <w:sz w:val="20"/>
                <w:szCs w:val="20"/>
              </w:rPr>
              <w:t>1.50</w:t>
            </w:r>
          </w:p>
        </w:tc>
        <w:tc>
          <w:tcPr>
            <w:tcW w:w="47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A98F988" w14:textId="77777777" w:rsidR="004E58A2" w:rsidRDefault="00000000">
            <w:r>
              <w:rPr>
                <w:color w:val="111111"/>
                <w:sz w:val="20"/>
                <w:szCs w:val="20"/>
              </w:rPr>
              <w:t xml:space="preserve">Revenue growing 7–9%; HVS +29% FY2025. No traditional </w:t>
            </w:r>
            <w:proofErr w:type="gramStart"/>
            <w:r>
              <w:rPr>
                <w:color w:val="111111"/>
                <w:sz w:val="20"/>
                <w:szCs w:val="20"/>
              </w:rPr>
              <w:t>backlog;</w:t>
            </w:r>
            <w:proofErr w:type="gramEnd"/>
            <w:r>
              <w:rPr>
                <w:color w:val="111111"/>
                <w:sz w:val="20"/>
                <w:szCs w:val="20"/>
              </w:rPr>
              <w:t xml:space="preserve"> visibility comes from 5–</w:t>
            </w:r>
            <w:proofErr w:type="gramStart"/>
            <w:r>
              <w:rPr>
                <w:color w:val="111111"/>
                <w:sz w:val="20"/>
                <w:szCs w:val="20"/>
              </w:rPr>
              <w:t>10 year</w:t>
            </w:r>
            <w:proofErr w:type="gramEnd"/>
            <w:r>
              <w:rPr>
                <w:color w:val="111111"/>
                <w:sz w:val="20"/>
                <w:szCs w:val="20"/>
              </w:rPr>
              <w:t xml:space="preserve"> validated supply agreements embedded in drug filings — estimated 1–</w:t>
            </w:r>
            <w:proofErr w:type="gramStart"/>
            <w:r>
              <w:rPr>
                <w:color w:val="111111"/>
                <w:sz w:val="20"/>
                <w:szCs w:val="20"/>
              </w:rPr>
              <w:t>2 year</w:t>
            </w:r>
            <w:proofErr w:type="gramEnd"/>
            <w:r>
              <w:rPr>
                <w:color w:val="111111"/>
                <w:sz w:val="20"/>
                <w:szCs w:val="20"/>
              </w:rPr>
              <w:t xml:space="preserve"> forward revenue visibility per the framework's 5–7 score band. BDS segment is highly visible; Engineering is volatile and declining. GLP-1 mid-teens 2026 guidance adds specificity. Score 6: strong recurring character but non-standard visibility disclosure.</w:t>
            </w:r>
          </w:p>
        </w:tc>
      </w:tr>
      <w:tr w:rsidR="004E58A2" w14:paraId="031E7C60" w14:textId="77777777">
        <w:tblPrEx>
          <w:tblCellMar>
            <w:top w:w="0" w:type="dxa"/>
            <w:bottom w:w="0" w:type="dxa"/>
          </w:tblCellMar>
        </w:tblPrEx>
        <w:tc>
          <w:tcPr>
            <w:tcW w:w="26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635033C7" w14:textId="77777777" w:rsidR="004E58A2" w:rsidRDefault="00000000">
            <w:r>
              <w:rPr>
                <w:b/>
                <w:bCs/>
                <w:color w:val="1B3A6B"/>
                <w:sz w:val="20"/>
                <w:szCs w:val="20"/>
              </w:rPr>
              <w:t>D2: Customer Concentration &amp; End-Market Exposure</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16DF5813" w14:textId="77777777" w:rsidR="004E58A2" w:rsidRDefault="00000000">
            <w:pPr>
              <w:jc w:val="center"/>
            </w:pPr>
            <w:r>
              <w:rPr>
                <w:b/>
                <w:bCs/>
                <w:color w:val="2E6096"/>
              </w:rPr>
              <w:t>6/10</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11429145" w14:textId="77777777" w:rsidR="004E58A2" w:rsidRDefault="00000000">
            <w:pPr>
              <w:jc w:val="center"/>
            </w:pPr>
            <w:r>
              <w:rPr>
                <w:color w:val="555555"/>
                <w:sz w:val="20"/>
                <w:szCs w:val="20"/>
              </w:rPr>
              <w:t>20%</w:t>
            </w:r>
          </w:p>
        </w:tc>
        <w:tc>
          <w:tcPr>
            <w:tcW w:w="6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vAlign w:val="center"/>
          </w:tcPr>
          <w:p w14:paraId="41CBB8AB" w14:textId="77777777" w:rsidR="004E58A2" w:rsidRDefault="00000000">
            <w:pPr>
              <w:jc w:val="center"/>
            </w:pPr>
            <w:r>
              <w:rPr>
                <w:b/>
                <w:bCs/>
                <w:color w:val="1F7EC2"/>
                <w:sz w:val="20"/>
                <w:szCs w:val="20"/>
              </w:rPr>
              <w:t>1.20</w:t>
            </w:r>
          </w:p>
        </w:tc>
        <w:tc>
          <w:tcPr>
            <w:tcW w:w="47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F783F3A" w14:textId="77777777" w:rsidR="004E58A2" w:rsidRDefault="00000000">
            <w:r>
              <w:rPr>
                <w:color w:val="111111"/>
                <w:sz w:val="20"/>
                <w:szCs w:val="20"/>
              </w:rPr>
              <w:t xml:space="preserve">No single customer disclosed as &gt;10% of revenue. GLP-1 = ~19–20% of total revenue (therapeutic concentration risk, not customer concentration). ~200+ customers implied across global pharma/biotech. Major pharma (Lilly, Novo Nordisk implied) </w:t>
            </w:r>
            <w:proofErr w:type="gramStart"/>
            <w:r>
              <w:rPr>
                <w:color w:val="111111"/>
                <w:sz w:val="20"/>
                <w:szCs w:val="20"/>
              </w:rPr>
              <w:t>dominate</w:t>
            </w:r>
            <w:proofErr w:type="gramEnd"/>
            <w:r>
              <w:rPr>
                <w:color w:val="111111"/>
                <w:sz w:val="20"/>
                <w:szCs w:val="20"/>
              </w:rPr>
              <w:t xml:space="preserve"> revenue mix — positive for durability. Biologics = 41% of BDS revenue and </w:t>
            </w:r>
            <w:proofErr w:type="gramStart"/>
            <w:r>
              <w:rPr>
                <w:color w:val="111111"/>
                <w:sz w:val="20"/>
                <w:szCs w:val="20"/>
              </w:rPr>
              <w:t>growing</w:t>
            </w:r>
            <w:proofErr w:type="gramEnd"/>
            <w:r>
              <w:rPr>
                <w:color w:val="111111"/>
                <w:sz w:val="20"/>
                <w:szCs w:val="20"/>
              </w:rPr>
              <w:t>. GLP-1 concentration is the primary watch item. Score 6: good customer diversification; therapeutic concentration is a known, manageable risk.</w:t>
            </w:r>
          </w:p>
        </w:tc>
      </w:tr>
      <w:tr w:rsidR="004E58A2" w14:paraId="384F2036" w14:textId="77777777">
        <w:tblPrEx>
          <w:tblCellMar>
            <w:top w:w="0" w:type="dxa"/>
            <w:bottom w:w="0" w:type="dxa"/>
          </w:tblCellMar>
        </w:tblPrEx>
        <w:tc>
          <w:tcPr>
            <w:tcW w:w="26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3961C5B" w14:textId="77777777" w:rsidR="004E58A2" w:rsidRDefault="00000000">
            <w:r>
              <w:rPr>
                <w:b/>
                <w:bCs/>
                <w:color w:val="1B3A6B"/>
                <w:sz w:val="20"/>
                <w:szCs w:val="20"/>
              </w:rPr>
              <w:t>D3: Capacity Utilization &amp; Operational Leverage</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70CAB2B7" w14:textId="77777777" w:rsidR="004E58A2" w:rsidRDefault="00000000">
            <w:pPr>
              <w:jc w:val="center"/>
            </w:pPr>
            <w:r>
              <w:rPr>
                <w:b/>
                <w:bCs/>
                <w:color w:val="2E6096"/>
              </w:rPr>
              <w:t>6/10</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2B36F74A" w14:textId="77777777" w:rsidR="004E58A2" w:rsidRDefault="00000000">
            <w:pPr>
              <w:jc w:val="center"/>
            </w:pPr>
            <w:r>
              <w:rPr>
                <w:color w:val="555555"/>
                <w:sz w:val="20"/>
                <w:szCs w:val="20"/>
              </w:rPr>
              <w:t>20%</w:t>
            </w:r>
          </w:p>
        </w:tc>
        <w:tc>
          <w:tcPr>
            <w:tcW w:w="6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vAlign w:val="center"/>
          </w:tcPr>
          <w:p w14:paraId="76B99F6E" w14:textId="77777777" w:rsidR="004E58A2" w:rsidRDefault="00000000">
            <w:pPr>
              <w:jc w:val="center"/>
            </w:pPr>
            <w:r>
              <w:rPr>
                <w:b/>
                <w:bCs/>
                <w:color w:val="1F7EC2"/>
                <w:sz w:val="20"/>
                <w:szCs w:val="20"/>
              </w:rPr>
              <w:t>1.20</w:t>
            </w:r>
          </w:p>
        </w:tc>
        <w:tc>
          <w:tcPr>
            <w:tcW w:w="47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A263F17" w14:textId="77777777" w:rsidR="004E58A2" w:rsidRDefault="00000000">
            <w:r>
              <w:rPr>
                <w:color w:val="111111"/>
                <w:sz w:val="20"/>
                <w:szCs w:val="20"/>
              </w:rPr>
              <w:t xml:space="preserve">Adj. EBITDA margin expanded from 22.4% (Q1) to 28.2% (Q4 </w:t>
            </w:r>
            <w:proofErr w:type="gramStart"/>
            <w:r>
              <w:rPr>
                <w:color w:val="111111"/>
                <w:sz w:val="20"/>
                <w:szCs w:val="20"/>
              </w:rPr>
              <w:t>2025) —</w:t>
            </w:r>
            <w:proofErr w:type="gramEnd"/>
            <w:r>
              <w:rPr>
                <w:color w:val="111111"/>
                <w:sz w:val="20"/>
                <w:szCs w:val="20"/>
              </w:rPr>
              <w:t xml:space="preserve"> strong sequential improvement. BDS operating margin exceeded 22% in Q3 2025. Engineering gross margin: 6.6% in Q2 (negative operating); recovering but remains a consolidated drag. Latina and Fishers are ramping (estimated 60–80% utilization at new sites). Score 6: BDS operating leverage clear and improving; Engineering weighing the composite. Trajectory toward Score 7–8 as new sites mature in 2026–2027.</w:t>
            </w:r>
          </w:p>
        </w:tc>
      </w:tr>
      <w:tr w:rsidR="004E58A2" w14:paraId="36AE052F" w14:textId="77777777">
        <w:tblPrEx>
          <w:tblCellMar>
            <w:top w:w="0" w:type="dxa"/>
            <w:bottom w:w="0" w:type="dxa"/>
          </w:tblCellMar>
        </w:tblPrEx>
        <w:tc>
          <w:tcPr>
            <w:tcW w:w="26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E937CB3" w14:textId="77777777" w:rsidR="004E58A2" w:rsidRDefault="00000000">
            <w:r>
              <w:rPr>
                <w:b/>
                <w:bCs/>
                <w:color w:val="1B3A6B"/>
                <w:sz w:val="20"/>
                <w:szCs w:val="20"/>
              </w:rPr>
              <w:t>D4: Competitive Position &amp; Pricing Power</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0B23CB01" w14:textId="77777777" w:rsidR="004E58A2" w:rsidRDefault="00000000">
            <w:pPr>
              <w:jc w:val="center"/>
            </w:pPr>
            <w:r>
              <w:rPr>
                <w:b/>
                <w:bCs/>
                <w:color w:val="2E6096"/>
              </w:rPr>
              <w:t>7/10</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772F8F05" w14:textId="77777777" w:rsidR="004E58A2" w:rsidRDefault="00000000">
            <w:pPr>
              <w:jc w:val="center"/>
            </w:pPr>
            <w:r>
              <w:rPr>
                <w:color w:val="555555"/>
                <w:sz w:val="20"/>
                <w:szCs w:val="20"/>
              </w:rPr>
              <w:t>20%</w:t>
            </w:r>
          </w:p>
        </w:tc>
        <w:tc>
          <w:tcPr>
            <w:tcW w:w="6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vAlign w:val="center"/>
          </w:tcPr>
          <w:p w14:paraId="768EB2B7" w14:textId="77777777" w:rsidR="004E58A2" w:rsidRDefault="00000000">
            <w:pPr>
              <w:jc w:val="center"/>
            </w:pPr>
            <w:r>
              <w:rPr>
                <w:b/>
                <w:bCs/>
                <w:color w:val="1F7EC2"/>
                <w:sz w:val="20"/>
                <w:szCs w:val="20"/>
              </w:rPr>
              <w:t>1.40</w:t>
            </w:r>
          </w:p>
        </w:tc>
        <w:tc>
          <w:tcPr>
            <w:tcW w:w="47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B6B1914" w14:textId="77777777" w:rsidR="004E58A2" w:rsidRDefault="00000000">
            <w:r>
              <w:rPr>
                <w:color w:val="111111"/>
                <w:sz w:val="20"/>
                <w:szCs w:val="20"/>
              </w:rPr>
              <w:t xml:space="preserve">HVS gross margins of 40–70% versus standard 15–35% is direct evidence of premium pricing. Nexa and EZ-fill are proprietary platforms commanding significant premium over commodity glass. Four credible competitors (West Pharma, Gerresheimer, SCHOTT Pharma, </w:t>
            </w:r>
            <w:proofErr w:type="spellStart"/>
            <w:r>
              <w:rPr>
                <w:color w:val="111111"/>
                <w:sz w:val="20"/>
                <w:szCs w:val="20"/>
              </w:rPr>
              <w:t>Nipro</w:t>
            </w:r>
            <w:proofErr w:type="spellEnd"/>
            <w:r>
              <w:rPr>
                <w:color w:val="111111"/>
                <w:sz w:val="20"/>
                <w:szCs w:val="20"/>
              </w:rPr>
              <w:t xml:space="preserve">), but </w:t>
            </w:r>
            <w:proofErr w:type="spellStart"/>
            <w:r>
              <w:rPr>
                <w:color w:val="111111"/>
                <w:sz w:val="20"/>
                <w:szCs w:val="20"/>
              </w:rPr>
              <w:t>Stevanato</w:t>
            </w:r>
            <w:proofErr w:type="spellEnd"/>
            <w:r>
              <w:rPr>
                <w:color w:val="111111"/>
                <w:sz w:val="20"/>
                <w:szCs w:val="20"/>
              </w:rPr>
              <w:t xml:space="preserve"> is differentiated through end-to-end integration and proprietary biologics platforms. Selection as primary packaging for the first FDA-approved GLP-1 biosimilar launch validates competitive win rates. Consistent margin expansion despite </w:t>
            </w:r>
            <w:r>
              <w:rPr>
                <w:color w:val="111111"/>
                <w:sz w:val="20"/>
                <w:szCs w:val="20"/>
              </w:rPr>
              <w:lastRenderedPageBreak/>
              <w:t>EUR/USD headwinds further confirms pricing power. Score 7.</w:t>
            </w:r>
          </w:p>
        </w:tc>
      </w:tr>
      <w:tr w:rsidR="004E58A2" w14:paraId="21436875" w14:textId="77777777">
        <w:tblPrEx>
          <w:tblCellMar>
            <w:top w:w="0" w:type="dxa"/>
            <w:bottom w:w="0" w:type="dxa"/>
          </w:tblCellMar>
        </w:tblPrEx>
        <w:tc>
          <w:tcPr>
            <w:tcW w:w="26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4D09ABA6" w14:textId="77777777" w:rsidR="004E58A2" w:rsidRDefault="00000000">
            <w:r>
              <w:rPr>
                <w:b/>
                <w:bCs/>
                <w:color w:val="1B3A6B"/>
                <w:sz w:val="20"/>
                <w:szCs w:val="20"/>
              </w:rPr>
              <w:lastRenderedPageBreak/>
              <w:t>D5: Balance Sheet &amp; Capital Allocation</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070AD567" w14:textId="77777777" w:rsidR="004E58A2" w:rsidRDefault="00000000">
            <w:pPr>
              <w:jc w:val="center"/>
            </w:pPr>
            <w:r>
              <w:rPr>
                <w:b/>
                <w:bCs/>
                <w:color w:val="B8860B"/>
              </w:rPr>
              <w:t>4/10</w:t>
            </w:r>
          </w:p>
        </w:tc>
        <w:tc>
          <w:tcPr>
            <w:tcW w:w="70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vAlign w:val="center"/>
          </w:tcPr>
          <w:p w14:paraId="45A97894" w14:textId="77777777" w:rsidR="004E58A2" w:rsidRDefault="00000000">
            <w:pPr>
              <w:jc w:val="center"/>
            </w:pPr>
            <w:r>
              <w:rPr>
                <w:color w:val="555555"/>
                <w:sz w:val="20"/>
                <w:szCs w:val="20"/>
              </w:rPr>
              <w:t>15%</w:t>
            </w:r>
          </w:p>
        </w:tc>
        <w:tc>
          <w:tcPr>
            <w:tcW w:w="6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vAlign w:val="center"/>
          </w:tcPr>
          <w:p w14:paraId="1183AD65" w14:textId="77777777" w:rsidR="004E58A2" w:rsidRDefault="00000000">
            <w:pPr>
              <w:jc w:val="center"/>
            </w:pPr>
            <w:r>
              <w:rPr>
                <w:b/>
                <w:bCs/>
                <w:color w:val="1F7EC2"/>
                <w:sz w:val="20"/>
                <w:szCs w:val="20"/>
              </w:rPr>
              <w:t>0.60</w:t>
            </w:r>
          </w:p>
        </w:tc>
        <w:tc>
          <w:tcPr>
            <w:tcW w:w="472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39FB730" w14:textId="77777777" w:rsidR="004E58A2" w:rsidRDefault="00000000">
            <w:r>
              <w:rPr>
                <w:color w:val="111111"/>
                <w:sz w:val="20"/>
                <w:szCs w:val="20"/>
              </w:rPr>
              <w:t>Net debt/EBITDA: €337.7M / €298.0M = 1.13x — low leverage and positive. However, ROIC of 6.96% is below estimated WACC of ~8–9%, meaning the company is economically destroying value at current returns. FCF just turned positive (+€18.4M) after three years of negative FCF during the capex cycle — trajectory positive but FCF conversion is &lt;10% (not 60–80%). Material weakness disclosed in internal controls for FY2025 is a governance flag. Score 4: low leverage is a strength; ROIC below WACC and material weakness constrain the score. Trajectory improvement expected in 2026–2027 as utilization ramps.</w:t>
            </w:r>
          </w:p>
        </w:tc>
      </w:tr>
    </w:tbl>
    <w:p w14:paraId="320B16F0" w14:textId="77777777" w:rsidR="004E58A2" w:rsidRDefault="004E58A2">
      <w:pPr>
        <w:spacing w:after="120"/>
      </w:pPr>
    </w:p>
    <w:p w14:paraId="6E7BC522" w14:textId="77777777" w:rsidR="004E58A2" w:rsidRDefault="00000000">
      <w:pPr>
        <w:pStyle w:val="Heading2"/>
        <w:spacing w:before="260"/>
      </w:pPr>
      <w:r>
        <w:t>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4E58A2" w14:paraId="21B1EB7D" w14:textId="77777777">
        <w:tblPrEx>
          <w:tblCellMar>
            <w:top w:w="0" w:type="dxa"/>
            <w:bottom w:w="0" w:type="dxa"/>
          </w:tblCellMar>
        </w:tblPrEx>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D46A24A" w14:textId="77777777" w:rsidR="004E58A2" w:rsidRDefault="00000000">
            <w:pPr>
              <w:jc w:val="center"/>
            </w:pPr>
            <w:r>
              <w:rPr>
                <w:b/>
                <w:bCs/>
                <w:color w:val="FFFFFF"/>
                <w:sz w:val="20"/>
                <w:szCs w:val="20"/>
              </w:rPr>
              <w:t>Modifier</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9CCAAF4" w14:textId="77777777" w:rsidR="004E58A2" w:rsidRDefault="00000000">
            <w:pPr>
              <w:jc w:val="center"/>
            </w:pPr>
            <w:r>
              <w:rPr>
                <w:b/>
                <w:bCs/>
                <w:color w:val="FFFFFF"/>
                <w:sz w:val="20"/>
                <w:szCs w:val="20"/>
              </w:rPr>
              <w:t>Score</w:t>
            </w:r>
          </w:p>
        </w:tc>
        <w:tc>
          <w:tcPr>
            <w:tcW w:w="5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BC723B6" w14:textId="77777777" w:rsidR="004E58A2" w:rsidRDefault="00000000">
            <w:pPr>
              <w:jc w:val="center"/>
            </w:pPr>
            <w:r>
              <w:rPr>
                <w:b/>
                <w:bCs/>
                <w:color w:val="FFFFFF"/>
                <w:sz w:val="20"/>
                <w:szCs w:val="20"/>
              </w:rPr>
              <w:t>Rationale</w:t>
            </w:r>
          </w:p>
        </w:tc>
      </w:tr>
      <w:tr w:rsidR="004E58A2" w14:paraId="1C943307"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1A3E351" w14:textId="77777777" w:rsidR="004E58A2" w:rsidRDefault="00000000">
            <w:r>
              <w:rPr>
                <w:b/>
                <w:bCs/>
                <w:color w:val="1B3A6B"/>
                <w:sz w:val="20"/>
                <w:szCs w:val="20"/>
              </w:rPr>
              <w:t>A: Biopharma Cycle Positioning</w:t>
            </w:r>
          </w:p>
        </w:tc>
        <w:tc>
          <w:tcPr>
            <w:tcW w:w="80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47546A26" w14:textId="77777777" w:rsidR="004E58A2" w:rsidRDefault="00000000">
            <w:pPr>
              <w:jc w:val="center"/>
            </w:pPr>
            <w:r>
              <w:rPr>
                <w:b/>
                <w:bCs/>
                <w:color w:val="1A6B3A"/>
              </w:rPr>
              <w:t>+1.0</w:t>
            </w:r>
          </w:p>
        </w:tc>
        <w:tc>
          <w:tcPr>
            <w:tcW w:w="57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C7917D6" w14:textId="77777777" w:rsidR="004E58A2" w:rsidRDefault="00000000">
            <w:r>
              <w:rPr>
                <w:color w:val="111111"/>
                <w:sz w:val="20"/>
                <w:szCs w:val="20"/>
              </w:rPr>
              <w:t xml:space="preserve">GLP-1 = ~20% of revenue (structural growth); biologics = 41% of BDS revenue; monoclonal antibodies and biosimilars also </w:t>
            </w:r>
            <w:proofErr w:type="gramStart"/>
            <w:r>
              <w:rPr>
                <w:color w:val="111111"/>
                <w:sz w:val="20"/>
                <w:szCs w:val="20"/>
              </w:rPr>
              <w:t>growing</w:t>
            </w:r>
            <w:proofErr w:type="gramEnd"/>
            <w:r>
              <w:rPr>
                <w:color w:val="111111"/>
                <w:sz w:val="20"/>
                <w:szCs w:val="20"/>
              </w:rPr>
              <w:t>. Estimated 60%+ large pharma exposure (Lilly, Novo, etc.). Clearly in structural growth segments — maximum modifier applies.</w:t>
            </w:r>
          </w:p>
        </w:tc>
      </w:tr>
      <w:tr w:rsidR="004E58A2" w14:paraId="70EC4E08" w14:textId="77777777">
        <w:tblPrEx>
          <w:tblCellMar>
            <w:top w:w="0" w:type="dxa"/>
            <w:bottom w:w="0" w:type="dxa"/>
          </w:tblCellMar>
        </w:tblPrEx>
        <w:tc>
          <w:tcPr>
            <w:tcW w:w="28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C76558D" w14:textId="77777777" w:rsidR="004E58A2" w:rsidRDefault="00000000">
            <w:r>
              <w:rPr>
                <w:b/>
                <w:bCs/>
                <w:color w:val="1B3A6B"/>
                <w:sz w:val="20"/>
                <w:szCs w:val="20"/>
              </w:rPr>
              <w:t>B: Platform Breadth Premium</w:t>
            </w:r>
          </w:p>
        </w:tc>
        <w:tc>
          <w:tcPr>
            <w:tcW w:w="80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62BD0366" w14:textId="77777777" w:rsidR="004E58A2" w:rsidRDefault="00000000">
            <w:pPr>
              <w:jc w:val="center"/>
            </w:pPr>
            <w:r>
              <w:rPr>
                <w:b/>
                <w:bCs/>
                <w:color w:val="B8860B"/>
              </w:rPr>
              <w:t>+0.5</w:t>
            </w:r>
          </w:p>
        </w:tc>
        <w:tc>
          <w:tcPr>
            <w:tcW w:w="57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8383F98" w14:textId="77777777" w:rsidR="004E58A2" w:rsidRDefault="00000000">
            <w:r>
              <w:rPr>
                <w:color w:val="111111"/>
                <w:sz w:val="20"/>
                <w:szCs w:val="20"/>
              </w:rPr>
              <w:t>Integration spans containment (BDS) + delivery systems + manufacturing equipment (Engineering). Cross-selling demonstrated across 2 service stages. Engineering troubled but structurally connected. Score stops at +0.5 (not +1.0) as Engineering is underperforming and seamless 3+ stage cross-selling is not yet fully demonstrated.</w:t>
            </w:r>
          </w:p>
        </w:tc>
      </w:tr>
    </w:tbl>
    <w:p w14:paraId="347A825E" w14:textId="77777777" w:rsidR="004E58A2" w:rsidRDefault="004E58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58A2" w14:paraId="1BE88ECB" w14:textId="77777777">
        <w:tblPrEx>
          <w:tblCellMar>
            <w:top w:w="0" w:type="dxa"/>
            <w:bottom w:w="0" w:type="dxa"/>
          </w:tblCellMar>
        </w:tblPrEx>
        <w:tc>
          <w:tcPr>
            <w:tcW w:w="4680" w:type="dxa"/>
            <w:tcBorders>
              <w:top w:val="single" w:sz="4" w:space="0" w:color="1F7EC2"/>
              <w:left w:val="single" w:sz="4" w:space="0" w:color="1F7EC2"/>
              <w:bottom w:val="single" w:sz="4" w:space="0" w:color="1F7EC2"/>
              <w:right w:val="single" w:sz="4" w:space="0" w:color="1F7EC2"/>
            </w:tcBorders>
            <w:shd w:val="clear" w:color="auto" w:fill="EAF2FB"/>
            <w:tcMar>
              <w:top w:w="160" w:type="dxa"/>
              <w:left w:w="200" w:type="dxa"/>
              <w:bottom w:w="160" w:type="dxa"/>
              <w:right w:w="200" w:type="dxa"/>
            </w:tcMar>
          </w:tcPr>
          <w:p w14:paraId="5AE8148F" w14:textId="77777777" w:rsidR="004E58A2" w:rsidRPr="00990991" w:rsidRDefault="00000000">
            <w:pPr>
              <w:spacing w:after="100"/>
              <w:rPr>
                <w:lang w:val="fr-FR"/>
              </w:rPr>
            </w:pPr>
            <w:r w:rsidRPr="00990991">
              <w:rPr>
                <w:b/>
                <w:bCs/>
                <w:caps/>
                <w:color w:val="1B3A6B"/>
                <w:sz w:val="20"/>
                <w:szCs w:val="20"/>
                <w:lang w:val="fr-FR"/>
              </w:rPr>
              <w:t>COMPOSITE SCORE CALCULATION</w:t>
            </w:r>
          </w:p>
          <w:p w14:paraId="14698592" w14:textId="77777777" w:rsidR="004E58A2" w:rsidRPr="00990991" w:rsidRDefault="00000000">
            <w:pPr>
              <w:spacing w:after="100"/>
              <w:rPr>
                <w:lang w:val="fr-FR"/>
              </w:rPr>
            </w:pPr>
            <w:r w:rsidRPr="00990991">
              <w:rPr>
                <w:i/>
                <w:iCs/>
                <w:color w:val="555555"/>
                <w:sz w:val="19"/>
                <w:szCs w:val="19"/>
                <w:lang w:val="fr-FR"/>
              </w:rPr>
              <w:t>(D1×0.25) + (D2×0.20) + (D3×0.20) + (D4×0.20) + (D5×0.15) + Modifiers</w:t>
            </w:r>
          </w:p>
          <w:p w14:paraId="2F3600CA" w14:textId="77777777" w:rsidR="004E58A2" w:rsidRDefault="00000000">
            <w:pPr>
              <w:spacing w:after="100"/>
            </w:pPr>
            <w:r>
              <w:rPr>
                <w:color w:val="111111"/>
                <w:sz w:val="20"/>
                <w:szCs w:val="20"/>
              </w:rPr>
              <w:t xml:space="preserve">1.50 + 1.20 + 1.20 + 1.40 + 0.60 = </w:t>
            </w:r>
            <w:proofErr w:type="gramStart"/>
            <w:r>
              <w:rPr>
                <w:color w:val="111111"/>
                <w:sz w:val="20"/>
                <w:szCs w:val="20"/>
              </w:rPr>
              <w:t>5.90  |</w:t>
            </w:r>
            <w:proofErr w:type="gramEnd"/>
            <w:r>
              <w:rPr>
                <w:color w:val="111111"/>
                <w:sz w:val="20"/>
                <w:szCs w:val="20"/>
              </w:rPr>
              <w:t xml:space="preserve">  Modifiers: +1.50</w:t>
            </w:r>
          </w:p>
          <w:p w14:paraId="45C91B8D" w14:textId="77777777" w:rsidR="004E58A2" w:rsidRDefault="00000000">
            <w:pPr>
              <w:spacing w:after="100"/>
            </w:pPr>
            <w:r>
              <w:rPr>
                <w:b/>
                <w:bCs/>
                <w:color w:val="1F7EC2"/>
                <w:sz w:val="36"/>
                <w:szCs w:val="36"/>
              </w:rPr>
              <w:t>COMPOSITE TOTAL: 7.40 / 10</w:t>
            </w:r>
          </w:p>
          <w:p w14:paraId="4F32C5B7" w14:textId="77777777" w:rsidR="004E58A2" w:rsidRDefault="00000000">
            <w:r>
              <w:rPr>
                <w:b/>
                <w:bCs/>
                <w:color w:val="1A6B3A"/>
              </w:rPr>
              <w:t xml:space="preserve">STRUCTURALLY </w:t>
            </w:r>
            <w:proofErr w:type="gramStart"/>
            <w:r>
              <w:rPr>
                <w:b/>
                <w:bCs/>
                <w:color w:val="1A6B3A"/>
              </w:rPr>
              <w:t>ADVANTAGED  (</w:t>
            </w:r>
            <w:proofErr w:type="gramEnd"/>
            <w:r>
              <w:rPr>
                <w:b/>
                <w:bCs/>
                <w:color w:val="1A6B3A"/>
              </w:rPr>
              <w:t>7.0–8.0 Band)</w:t>
            </w:r>
          </w:p>
        </w:tc>
        <w:tc>
          <w:tcPr>
            <w:tcW w:w="4680" w:type="dxa"/>
            <w:tcBorders>
              <w:top w:val="single" w:sz="4" w:space="0" w:color="1F7EC2"/>
              <w:left w:val="single" w:sz="4" w:space="0" w:color="1F7EC2"/>
              <w:bottom w:val="single" w:sz="4" w:space="0" w:color="1F7EC2"/>
              <w:right w:val="single" w:sz="4" w:space="0" w:color="1F7EC2"/>
            </w:tcBorders>
            <w:shd w:val="clear" w:color="auto" w:fill="F8FBFE"/>
            <w:tcMar>
              <w:top w:w="160" w:type="dxa"/>
              <w:left w:w="200" w:type="dxa"/>
              <w:bottom w:w="160" w:type="dxa"/>
              <w:right w:w="200" w:type="dxa"/>
            </w:tcMar>
          </w:tcPr>
          <w:p w14:paraId="69D7E0FC" w14:textId="77777777" w:rsidR="004E58A2" w:rsidRDefault="00000000">
            <w:pPr>
              <w:spacing w:after="100"/>
            </w:pPr>
            <w:r>
              <w:rPr>
                <w:b/>
                <w:bCs/>
                <w:color w:val="1B3A6B"/>
                <w:sz w:val="20"/>
                <w:szCs w:val="20"/>
              </w:rPr>
              <w:t>Classification Bands (Reference)</w:t>
            </w:r>
          </w:p>
          <w:p w14:paraId="19DF05C8" w14:textId="77777777" w:rsidR="004E58A2" w:rsidRDefault="00000000">
            <w:pPr>
              <w:spacing w:after="60"/>
            </w:pPr>
            <w:r>
              <w:rPr>
                <w:rFonts w:ascii="Courier New" w:eastAsia="Courier New" w:hAnsi="Courier New" w:cs="Courier New"/>
                <w:color w:val="1A6B3A"/>
                <w:sz w:val="19"/>
                <w:szCs w:val="19"/>
              </w:rPr>
              <w:t xml:space="preserve">8.0–10.0          </w:t>
            </w:r>
            <w:r>
              <w:rPr>
                <w:color w:val="111111"/>
                <w:sz w:val="19"/>
                <w:szCs w:val="19"/>
              </w:rPr>
              <w:t>Best-in-Class Enabler</w:t>
            </w:r>
          </w:p>
          <w:p w14:paraId="1BED8228" w14:textId="77777777" w:rsidR="004E58A2" w:rsidRDefault="00000000">
            <w:pPr>
              <w:spacing w:after="60"/>
            </w:pPr>
            <w:r>
              <w:rPr>
                <w:rFonts w:ascii="Courier New" w:eastAsia="Courier New" w:hAnsi="Courier New" w:cs="Courier New"/>
                <w:b/>
                <w:bCs/>
                <w:color w:val="2E6096"/>
                <w:sz w:val="19"/>
                <w:szCs w:val="19"/>
              </w:rPr>
              <w:t xml:space="preserve">7.0–8.0 ← STVN    </w:t>
            </w:r>
            <w:r>
              <w:rPr>
                <w:color w:val="111111"/>
                <w:sz w:val="19"/>
                <w:szCs w:val="19"/>
              </w:rPr>
              <w:t>Structurally Advantaged</w:t>
            </w:r>
          </w:p>
          <w:p w14:paraId="01A6EA5D" w14:textId="77777777" w:rsidR="004E58A2" w:rsidRDefault="00000000">
            <w:pPr>
              <w:spacing w:after="60"/>
            </w:pPr>
            <w:r>
              <w:rPr>
                <w:rFonts w:ascii="Courier New" w:eastAsia="Courier New" w:hAnsi="Courier New" w:cs="Courier New"/>
                <w:color w:val="B8860B"/>
                <w:sz w:val="19"/>
                <w:szCs w:val="19"/>
              </w:rPr>
              <w:t xml:space="preserve">5.0–7.0           </w:t>
            </w:r>
            <w:r>
              <w:rPr>
                <w:color w:val="111111"/>
                <w:sz w:val="19"/>
                <w:szCs w:val="19"/>
              </w:rPr>
              <w:t>Cyclical with Moats</w:t>
            </w:r>
          </w:p>
          <w:p w14:paraId="7B799D3E" w14:textId="77777777" w:rsidR="004E58A2" w:rsidRDefault="00000000">
            <w:pPr>
              <w:spacing w:after="60"/>
            </w:pPr>
            <w:r>
              <w:rPr>
                <w:rFonts w:ascii="Courier New" w:eastAsia="Courier New" w:hAnsi="Courier New" w:cs="Courier New"/>
                <w:color w:val="B8860B"/>
                <w:sz w:val="19"/>
                <w:szCs w:val="19"/>
              </w:rPr>
              <w:t xml:space="preserve">3.5–5.0           </w:t>
            </w:r>
            <w:r>
              <w:rPr>
                <w:color w:val="111111"/>
                <w:sz w:val="19"/>
                <w:szCs w:val="19"/>
              </w:rPr>
              <w:t>Commodity Enabler</w:t>
            </w:r>
          </w:p>
          <w:p w14:paraId="03923ADB" w14:textId="77777777" w:rsidR="004E58A2" w:rsidRDefault="00000000">
            <w:pPr>
              <w:spacing w:after="60"/>
            </w:pPr>
            <w:r>
              <w:rPr>
                <w:rFonts w:ascii="Courier New" w:eastAsia="Courier New" w:hAnsi="Courier New" w:cs="Courier New"/>
                <w:color w:val="8B1A1A"/>
                <w:sz w:val="19"/>
                <w:szCs w:val="19"/>
              </w:rPr>
              <w:t xml:space="preserve">&lt; 3.5             </w:t>
            </w:r>
            <w:r>
              <w:rPr>
                <w:color w:val="111111"/>
                <w:sz w:val="19"/>
                <w:szCs w:val="19"/>
              </w:rPr>
              <w:t>Avoid</w:t>
            </w:r>
          </w:p>
        </w:tc>
      </w:tr>
    </w:tbl>
    <w:p w14:paraId="43BAD42B" w14:textId="77777777" w:rsidR="004E58A2" w:rsidRDefault="00000000">
      <w:r>
        <w:br w:type="page"/>
      </w:r>
    </w:p>
    <w:p w14:paraId="716A47F7" w14:textId="77777777" w:rsidR="004E58A2" w:rsidRDefault="00000000">
      <w:pPr>
        <w:pStyle w:val="Heading1"/>
        <w:pBdr>
          <w:bottom w:val="single" w:sz="10" w:space="4" w:color="1F7EC2"/>
        </w:pBdr>
      </w:pPr>
      <w:r>
        <w:lastRenderedPageBreak/>
        <w:t>SECTION 5: VALUATION GATE</w:t>
      </w:r>
    </w:p>
    <w:p w14:paraId="1557C079" w14:textId="77777777" w:rsidR="004E58A2" w:rsidRDefault="00000000">
      <w:pPr>
        <w:spacing w:after="120"/>
      </w:pPr>
      <w:r>
        <w:rPr>
          <w:color w:val="111111"/>
        </w:rPr>
        <w:t>Sub-sector: Life Science Tools / Specialty Platform Enabler Hybrid. Applicable valuation band per framework: 20–30x EV/EBITDA. Rule: If valuation exceeds the top of the band by &gt;25% (i.e., &gt;37.5x EV/EBITDA), downgrade to WAIT.</w:t>
      </w:r>
    </w:p>
    <w:p w14:paraId="627FB19B" w14:textId="77777777" w:rsidR="004E58A2" w:rsidRDefault="004E58A2">
      <w:pPr>
        <w:spacing w:after="80"/>
      </w:pPr>
    </w:p>
    <w:p w14:paraId="57CD645E" w14:textId="77777777" w:rsidR="004E58A2" w:rsidRDefault="00000000">
      <w:pPr>
        <w:pStyle w:val="Heading2"/>
        <w:spacing w:before="260"/>
      </w:pPr>
      <w:r>
        <w:t>Current Valuation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E58A2" w14:paraId="69394A0F" w14:textId="77777777">
        <w:tblPrEx>
          <w:tblCellMar>
            <w:top w:w="0" w:type="dxa"/>
            <w:bottom w:w="0" w:type="dxa"/>
          </w:tblCellMar>
        </w:tblPrEx>
        <w:trPr>
          <w:tblHeader/>
        </w:trPr>
        <w:tc>
          <w:tcPr>
            <w:tcW w:w="4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D905AE9" w14:textId="77777777" w:rsidR="004E58A2" w:rsidRDefault="00000000">
            <w:pPr>
              <w:jc w:val="center"/>
            </w:pPr>
            <w:r>
              <w:rPr>
                <w:b/>
                <w:bCs/>
                <w:color w:val="FFFFFF"/>
                <w:sz w:val="20"/>
                <w:szCs w:val="20"/>
              </w:rPr>
              <w:t>Component</w:t>
            </w:r>
          </w:p>
        </w:tc>
        <w:tc>
          <w:tcPr>
            <w:tcW w:w="5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5FCAB03" w14:textId="77777777" w:rsidR="004E58A2" w:rsidRDefault="00000000">
            <w:pPr>
              <w:jc w:val="center"/>
            </w:pPr>
            <w:r>
              <w:rPr>
                <w:b/>
                <w:bCs/>
                <w:color w:val="FFFFFF"/>
                <w:sz w:val="20"/>
                <w:szCs w:val="20"/>
              </w:rPr>
              <w:t>Value</w:t>
            </w:r>
          </w:p>
        </w:tc>
      </w:tr>
      <w:tr w:rsidR="004E58A2" w14:paraId="0B0AAB9A"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5DB1596" w14:textId="77777777" w:rsidR="004E58A2" w:rsidRDefault="00000000">
            <w:r>
              <w:rPr>
                <w:b/>
                <w:bCs/>
                <w:color w:val="111111"/>
                <w:sz w:val="20"/>
                <w:szCs w:val="20"/>
              </w:rPr>
              <w:t>Stock Price (March 6–13, 2026)</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0D80A29" w14:textId="77777777" w:rsidR="004E58A2" w:rsidRDefault="00000000">
            <w:r>
              <w:rPr>
                <w:color w:val="111111"/>
                <w:sz w:val="20"/>
                <w:szCs w:val="20"/>
              </w:rPr>
              <w:t>~$15.41 USD (52-wk range: $14.74–$28.00)</w:t>
            </w:r>
          </w:p>
        </w:tc>
      </w:tr>
      <w:tr w:rsidR="004E58A2" w14:paraId="0422ACAD"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365EB38" w14:textId="77777777" w:rsidR="004E58A2" w:rsidRDefault="00000000">
            <w:r>
              <w:rPr>
                <w:b/>
                <w:bCs/>
                <w:color w:val="111111"/>
                <w:sz w:val="20"/>
                <w:szCs w:val="20"/>
              </w:rPr>
              <w:t>Shares Outstanding</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67FD86A1" w14:textId="77777777" w:rsidR="004E58A2" w:rsidRDefault="00000000">
            <w:r>
              <w:rPr>
                <w:color w:val="111111"/>
                <w:sz w:val="20"/>
                <w:szCs w:val="20"/>
              </w:rPr>
              <w:t>~273 million</w:t>
            </w:r>
          </w:p>
        </w:tc>
      </w:tr>
      <w:tr w:rsidR="004E58A2" w14:paraId="6AE25100"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14728B0" w14:textId="77777777" w:rsidR="004E58A2" w:rsidRDefault="00000000">
            <w:r>
              <w:rPr>
                <w:b/>
                <w:bCs/>
                <w:color w:val="111111"/>
                <w:sz w:val="20"/>
                <w:szCs w:val="20"/>
              </w:rPr>
              <w:t>Market Capitalization</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1F0B87C" w14:textId="77777777" w:rsidR="004E58A2" w:rsidRDefault="00000000">
            <w:r>
              <w:rPr>
                <w:color w:val="111111"/>
                <w:sz w:val="20"/>
                <w:szCs w:val="20"/>
              </w:rPr>
              <w:t>~$4.21 billion USD</w:t>
            </w:r>
          </w:p>
        </w:tc>
      </w:tr>
      <w:tr w:rsidR="004E58A2" w14:paraId="02542148"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74A52AE" w14:textId="77777777" w:rsidR="004E58A2" w:rsidRDefault="00000000">
            <w:r>
              <w:rPr>
                <w:b/>
                <w:bCs/>
                <w:color w:val="111111"/>
                <w:sz w:val="20"/>
                <w:szCs w:val="20"/>
              </w:rPr>
              <w:t>Net Debt (FY2025)</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952A36B" w14:textId="77777777" w:rsidR="004E58A2" w:rsidRDefault="00000000">
            <w:r>
              <w:rPr>
                <w:color w:val="111111"/>
                <w:sz w:val="20"/>
                <w:szCs w:val="20"/>
              </w:rPr>
              <w:t>€337.7M ≈ $365M USD</w:t>
            </w:r>
          </w:p>
        </w:tc>
      </w:tr>
      <w:tr w:rsidR="004E58A2" w14:paraId="1C05A7B7"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08D7FB9" w14:textId="77777777" w:rsidR="004E58A2" w:rsidRDefault="00000000">
            <w:r>
              <w:rPr>
                <w:b/>
                <w:bCs/>
                <w:color w:val="111111"/>
                <w:sz w:val="20"/>
                <w:szCs w:val="20"/>
              </w:rPr>
              <w:t>Enterprise Value (EV)</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F69E1BA" w14:textId="77777777" w:rsidR="004E58A2" w:rsidRDefault="00000000">
            <w:r>
              <w:rPr>
                <w:color w:val="111111"/>
                <w:sz w:val="20"/>
                <w:szCs w:val="20"/>
              </w:rPr>
              <w:t>~$4.57 billion USD</w:t>
            </w:r>
          </w:p>
        </w:tc>
      </w:tr>
      <w:tr w:rsidR="004E58A2" w14:paraId="13C222F7"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FFFD6CC" w14:textId="77777777" w:rsidR="004E58A2" w:rsidRDefault="00000000">
            <w:r>
              <w:rPr>
                <w:b/>
                <w:bCs/>
                <w:color w:val="111111"/>
                <w:sz w:val="20"/>
                <w:szCs w:val="20"/>
              </w:rPr>
              <w:t>FY2025 Adj. EBITDA</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4E0163E" w14:textId="77777777" w:rsidR="004E58A2" w:rsidRDefault="00000000">
            <w:r>
              <w:rPr>
                <w:color w:val="111111"/>
                <w:sz w:val="20"/>
                <w:szCs w:val="20"/>
              </w:rPr>
              <w:t>€298.0M ≈ $322M USD</w:t>
            </w:r>
          </w:p>
        </w:tc>
      </w:tr>
      <w:tr w:rsidR="004E58A2" w14:paraId="2CDA110A"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9C41A6D" w14:textId="77777777" w:rsidR="004E58A2" w:rsidRDefault="00000000">
            <w:r>
              <w:rPr>
                <w:b/>
                <w:bCs/>
                <w:color w:val="111111"/>
                <w:sz w:val="20"/>
                <w:szCs w:val="20"/>
              </w:rPr>
              <w:t>FY2026E Adj. EBITDA (midpoint)</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3368006" w14:textId="77777777" w:rsidR="004E58A2" w:rsidRDefault="00000000">
            <w:r>
              <w:rPr>
                <w:color w:val="111111"/>
                <w:sz w:val="20"/>
                <w:szCs w:val="20"/>
              </w:rPr>
              <w:t>€339.4M ≈ $367M USD</w:t>
            </w:r>
          </w:p>
        </w:tc>
      </w:tr>
      <w:tr w:rsidR="004E58A2" w14:paraId="24AAF491"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4CC8293" w14:textId="77777777" w:rsidR="004E58A2" w:rsidRDefault="00000000">
            <w:r>
              <w:rPr>
                <w:b/>
                <w:bCs/>
                <w:color w:val="111111"/>
                <w:sz w:val="20"/>
                <w:szCs w:val="20"/>
              </w:rPr>
              <w:t>Trailing EV / 2025A EBITDA</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4BA285A" w14:textId="77777777" w:rsidR="004E58A2" w:rsidRDefault="00000000">
            <w:r>
              <w:rPr>
                <w:color w:val="111111"/>
                <w:sz w:val="20"/>
                <w:szCs w:val="20"/>
              </w:rPr>
              <w:t>~14.2x</w:t>
            </w:r>
          </w:p>
        </w:tc>
      </w:tr>
      <w:tr w:rsidR="004E58A2" w14:paraId="1A3421C8"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D75197E" w14:textId="77777777" w:rsidR="004E58A2" w:rsidRDefault="00000000">
            <w:r>
              <w:rPr>
                <w:b/>
                <w:bCs/>
                <w:color w:val="111111"/>
                <w:sz w:val="20"/>
                <w:szCs w:val="20"/>
              </w:rPr>
              <w:t>Forward EV / 2026E EBITDA</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05FE72B" w14:textId="77777777" w:rsidR="004E58A2" w:rsidRDefault="00000000">
            <w:r>
              <w:rPr>
                <w:color w:val="1A6B3A"/>
                <w:sz w:val="20"/>
                <w:szCs w:val="20"/>
              </w:rPr>
              <w:t>~12.5</w:t>
            </w:r>
            <w:proofErr w:type="gramStart"/>
            <w:r>
              <w:rPr>
                <w:color w:val="1A6B3A"/>
                <w:sz w:val="20"/>
                <w:szCs w:val="20"/>
              </w:rPr>
              <w:t>x  ◀</w:t>
            </w:r>
            <w:proofErr w:type="gramEnd"/>
            <w:r>
              <w:rPr>
                <w:color w:val="1A6B3A"/>
                <w:sz w:val="20"/>
                <w:szCs w:val="20"/>
              </w:rPr>
              <w:t xml:space="preserve">  PRIMARY METRIC</w:t>
            </w:r>
          </w:p>
        </w:tc>
      </w:tr>
      <w:tr w:rsidR="004E58A2" w14:paraId="00BA03F2"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D00C23B" w14:textId="77777777" w:rsidR="004E58A2" w:rsidRDefault="00000000">
            <w:r>
              <w:rPr>
                <w:b/>
                <w:bCs/>
                <w:color w:val="111111"/>
                <w:sz w:val="20"/>
                <w:szCs w:val="20"/>
              </w:rPr>
              <w:t>Life Science Tools Band (Framework)</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12843B4" w14:textId="77777777" w:rsidR="004E58A2" w:rsidRDefault="00000000">
            <w:r>
              <w:rPr>
                <w:color w:val="111111"/>
                <w:sz w:val="20"/>
                <w:szCs w:val="20"/>
              </w:rPr>
              <w:t>20–30x EV/EBITDA</w:t>
            </w:r>
          </w:p>
        </w:tc>
      </w:tr>
      <w:tr w:rsidR="004E58A2" w14:paraId="49D43465"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B360D30" w14:textId="77777777" w:rsidR="004E58A2" w:rsidRDefault="00000000">
            <w:r>
              <w:rPr>
                <w:b/>
                <w:bCs/>
                <w:color w:val="111111"/>
                <w:sz w:val="20"/>
                <w:szCs w:val="20"/>
              </w:rPr>
              <w:t>WAIT Trigger Threshold</w:t>
            </w:r>
          </w:p>
        </w:tc>
        <w:tc>
          <w:tcPr>
            <w:tcW w:w="53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3A4F191" w14:textId="77777777" w:rsidR="004E58A2" w:rsidRDefault="00000000">
            <w:r>
              <w:rPr>
                <w:color w:val="111111"/>
                <w:sz w:val="20"/>
                <w:szCs w:val="20"/>
              </w:rPr>
              <w:t>&gt;37.5x EV/EBITDA (&gt;25% above band top)</w:t>
            </w:r>
          </w:p>
        </w:tc>
      </w:tr>
      <w:tr w:rsidR="004E58A2" w14:paraId="106BF65B" w14:textId="77777777">
        <w:tblPrEx>
          <w:tblCellMar>
            <w:top w:w="0" w:type="dxa"/>
            <w:bottom w:w="0" w:type="dxa"/>
          </w:tblCellMar>
        </w:tblPrEx>
        <w:tc>
          <w:tcPr>
            <w:tcW w:w="40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6CEAF608" w14:textId="77777777" w:rsidR="004E58A2" w:rsidRDefault="00000000">
            <w:r>
              <w:rPr>
                <w:b/>
                <w:bCs/>
                <w:color w:val="111111"/>
                <w:sz w:val="20"/>
                <w:szCs w:val="20"/>
              </w:rPr>
              <w:t>Valuation Gate Status</w:t>
            </w:r>
          </w:p>
        </w:tc>
        <w:tc>
          <w:tcPr>
            <w:tcW w:w="53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CED8DF7" w14:textId="77777777" w:rsidR="004E58A2" w:rsidRDefault="00000000">
            <w:r>
              <w:rPr>
                <w:b/>
                <w:bCs/>
                <w:color w:val="1A6B3A"/>
                <w:sz w:val="20"/>
                <w:szCs w:val="20"/>
              </w:rPr>
              <w:t>NOT TRIGGERED — Stock is BELOW the peer band</w:t>
            </w:r>
          </w:p>
        </w:tc>
      </w:tr>
    </w:tbl>
    <w:p w14:paraId="18D6A853" w14:textId="77777777" w:rsidR="004E58A2" w:rsidRDefault="004E58A2">
      <w:pPr>
        <w:spacing w:after="100"/>
      </w:pPr>
    </w:p>
    <w:p w14:paraId="7E043285" w14:textId="77777777" w:rsidR="004E58A2" w:rsidRDefault="00000000">
      <w:pPr>
        <w:pStyle w:val="Heading2"/>
        <w:spacing w:before="260"/>
      </w:pPr>
      <w:r>
        <w:t>Implied Fair Value Analysis</w:t>
      </w:r>
    </w:p>
    <w:p w14:paraId="02130544" w14:textId="77777777" w:rsidR="004E58A2" w:rsidRDefault="00000000">
      <w:pPr>
        <w:spacing w:after="120"/>
      </w:pPr>
      <w:r>
        <w:rPr>
          <w:color w:val="111111"/>
        </w:rPr>
        <w:t>At the current stock price of ~$15.41, STVN is trading at approximately 12.5x 2026E EV/EBITDA — well below the floor of the Life Science Tools peer band. This represents a significant dislocation from intrinsic value, driven by the Engineering segment headwind, material weakness disclosure, and broader life science sector de-rating. The following sensitivity table shows implied equity value per share at various EV/EBITDA multiples applied to 2026E EBITDA of €339.4M (~$367M):</w:t>
      </w:r>
    </w:p>
    <w:p w14:paraId="2EBDB960" w14:textId="77777777" w:rsidR="004E58A2" w:rsidRDefault="004E58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58A2" w14:paraId="1231499B" w14:textId="77777777">
        <w:tblPrEx>
          <w:tblCellMar>
            <w:top w:w="0" w:type="dxa"/>
            <w:bottom w:w="0" w:type="dxa"/>
          </w:tblCellMar>
        </w:tblPrEx>
        <w:trPr>
          <w:tblHeader/>
        </w:trPr>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F7D7025" w14:textId="77777777" w:rsidR="004E58A2" w:rsidRDefault="00000000">
            <w:pPr>
              <w:jc w:val="center"/>
            </w:pPr>
            <w:r>
              <w:rPr>
                <w:b/>
                <w:bCs/>
                <w:color w:val="FFFFFF"/>
                <w:sz w:val="20"/>
                <w:szCs w:val="20"/>
              </w:rPr>
              <w:t>EV/2026E EBITDA</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A4404DF" w14:textId="77777777" w:rsidR="004E58A2" w:rsidRDefault="00000000">
            <w:pPr>
              <w:jc w:val="center"/>
            </w:pPr>
            <w:r>
              <w:rPr>
                <w:b/>
                <w:bCs/>
                <w:color w:val="FFFFFF"/>
                <w:sz w:val="20"/>
                <w:szCs w:val="20"/>
              </w:rPr>
              <w:t>Implied EV</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E7BB927" w14:textId="77777777" w:rsidR="004E58A2" w:rsidRDefault="00000000">
            <w:pPr>
              <w:jc w:val="center"/>
            </w:pPr>
            <w:r>
              <w:rPr>
                <w:b/>
                <w:bCs/>
                <w:color w:val="FFFFFF"/>
                <w:sz w:val="20"/>
                <w:szCs w:val="20"/>
              </w:rPr>
              <w:t>Implied Equity Value</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B7AD459" w14:textId="77777777" w:rsidR="004E58A2" w:rsidRDefault="00000000">
            <w:pPr>
              <w:jc w:val="center"/>
            </w:pPr>
            <w:r>
              <w:rPr>
                <w:b/>
                <w:bCs/>
                <w:color w:val="FFFFFF"/>
                <w:sz w:val="20"/>
                <w:szCs w:val="20"/>
              </w:rPr>
              <w:t>Implied Price / Share</w:t>
            </w:r>
          </w:p>
        </w:tc>
      </w:tr>
      <w:tr w:rsidR="004E58A2" w14:paraId="5B6610B9" w14:textId="77777777">
        <w:tblPrEx>
          <w:tblCellMar>
            <w:top w:w="0" w:type="dxa"/>
            <w:bottom w:w="0" w:type="dxa"/>
          </w:tblCellMar>
        </w:tblPrEx>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7E168AC" w14:textId="77777777" w:rsidR="004E58A2" w:rsidRDefault="00000000">
            <w:pPr>
              <w:jc w:val="center"/>
            </w:pPr>
            <w:r>
              <w:rPr>
                <w:color w:val="111111"/>
                <w:sz w:val="20"/>
                <w:szCs w:val="20"/>
              </w:rPr>
              <w:t>12.5x (current)</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D794C26" w14:textId="77777777" w:rsidR="004E58A2" w:rsidRDefault="00000000">
            <w:pPr>
              <w:jc w:val="center"/>
            </w:pPr>
            <w:r>
              <w:rPr>
                <w:color w:val="111111"/>
                <w:sz w:val="20"/>
                <w:szCs w:val="20"/>
              </w:rPr>
              <w:t>~$4.59B</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16B3A73" w14:textId="77777777" w:rsidR="004E58A2" w:rsidRDefault="00000000">
            <w:pPr>
              <w:jc w:val="center"/>
            </w:pPr>
            <w:r>
              <w:rPr>
                <w:color w:val="111111"/>
                <w:sz w:val="20"/>
                <w:szCs w:val="20"/>
              </w:rPr>
              <w:t>~$4.22B</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9AE364D" w14:textId="77777777" w:rsidR="004E58A2" w:rsidRDefault="00000000">
            <w:pPr>
              <w:jc w:val="center"/>
            </w:pPr>
            <w:r>
              <w:rPr>
                <w:color w:val="111111"/>
                <w:sz w:val="20"/>
                <w:szCs w:val="20"/>
              </w:rPr>
              <w:t>~$15.46 (current)</w:t>
            </w:r>
          </w:p>
        </w:tc>
      </w:tr>
      <w:tr w:rsidR="004E58A2" w14:paraId="36FE64F3" w14:textId="77777777">
        <w:tblPrEx>
          <w:tblCellMar>
            <w:top w:w="0" w:type="dxa"/>
            <w:bottom w:w="0" w:type="dxa"/>
          </w:tblCellMar>
        </w:tblPrEx>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59C607F" w14:textId="77777777" w:rsidR="004E58A2" w:rsidRDefault="00000000">
            <w:pPr>
              <w:jc w:val="center"/>
            </w:pPr>
            <w:r>
              <w:rPr>
                <w:color w:val="111111"/>
                <w:sz w:val="20"/>
                <w:szCs w:val="20"/>
              </w:rPr>
              <w:t>15x (bear case)</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B2ED96F" w14:textId="77777777" w:rsidR="004E58A2" w:rsidRDefault="00000000">
            <w:pPr>
              <w:jc w:val="center"/>
            </w:pPr>
            <w:r>
              <w:rPr>
                <w:color w:val="111111"/>
                <w:sz w:val="20"/>
                <w:szCs w:val="20"/>
              </w:rPr>
              <w:t>~$5.51B</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F581D04" w14:textId="77777777" w:rsidR="004E58A2" w:rsidRDefault="00000000">
            <w:pPr>
              <w:jc w:val="center"/>
            </w:pPr>
            <w:r>
              <w:rPr>
                <w:color w:val="111111"/>
                <w:sz w:val="20"/>
                <w:szCs w:val="20"/>
              </w:rPr>
              <w:t>~$5.14B</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25DE3F2" w14:textId="77777777" w:rsidR="004E58A2" w:rsidRDefault="00000000">
            <w:pPr>
              <w:jc w:val="center"/>
            </w:pPr>
            <w:r>
              <w:rPr>
                <w:color w:val="111111"/>
                <w:sz w:val="20"/>
                <w:szCs w:val="20"/>
              </w:rPr>
              <w:t>~$18.83</w:t>
            </w:r>
          </w:p>
        </w:tc>
      </w:tr>
      <w:tr w:rsidR="004E58A2" w14:paraId="699CA95E" w14:textId="77777777">
        <w:tblPrEx>
          <w:tblCellMar>
            <w:top w:w="0" w:type="dxa"/>
            <w:bottom w:w="0" w:type="dxa"/>
          </w:tblCellMar>
        </w:tblPrEx>
        <w:tc>
          <w:tcPr>
            <w:tcW w:w="23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5873944B" w14:textId="77777777" w:rsidR="004E58A2" w:rsidRDefault="00000000">
            <w:pPr>
              <w:jc w:val="center"/>
            </w:pPr>
            <w:r>
              <w:rPr>
                <w:b/>
                <w:bCs/>
                <w:color w:val="1F7EC2"/>
                <w:sz w:val="20"/>
                <w:szCs w:val="20"/>
              </w:rPr>
              <w:t>20x (band floor)</w:t>
            </w:r>
          </w:p>
        </w:tc>
        <w:tc>
          <w:tcPr>
            <w:tcW w:w="23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650CEF2A" w14:textId="77777777" w:rsidR="004E58A2" w:rsidRDefault="00000000">
            <w:pPr>
              <w:jc w:val="center"/>
            </w:pPr>
            <w:r>
              <w:rPr>
                <w:b/>
                <w:bCs/>
                <w:color w:val="1F7EC2"/>
                <w:sz w:val="20"/>
                <w:szCs w:val="20"/>
              </w:rPr>
              <w:t>~$7.34B</w:t>
            </w:r>
          </w:p>
        </w:tc>
        <w:tc>
          <w:tcPr>
            <w:tcW w:w="23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3C400A01" w14:textId="77777777" w:rsidR="004E58A2" w:rsidRDefault="00000000">
            <w:pPr>
              <w:jc w:val="center"/>
            </w:pPr>
            <w:r>
              <w:rPr>
                <w:b/>
                <w:bCs/>
                <w:color w:val="1F7EC2"/>
                <w:sz w:val="20"/>
                <w:szCs w:val="20"/>
              </w:rPr>
              <w:t>~$6.97B</w:t>
            </w:r>
          </w:p>
        </w:tc>
        <w:tc>
          <w:tcPr>
            <w:tcW w:w="234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7FCCA9D7" w14:textId="77777777" w:rsidR="004E58A2" w:rsidRDefault="00000000">
            <w:pPr>
              <w:jc w:val="center"/>
            </w:pPr>
            <w:r>
              <w:rPr>
                <w:b/>
                <w:bCs/>
                <w:color w:val="1F7EC2"/>
                <w:sz w:val="20"/>
                <w:szCs w:val="20"/>
              </w:rPr>
              <w:t>~$25.53</w:t>
            </w:r>
          </w:p>
        </w:tc>
      </w:tr>
      <w:tr w:rsidR="004E58A2" w14:paraId="29E1AF14" w14:textId="77777777">
        <w:tblPrEx>
          <w:tblCellMar>
            <w:top w:w="0" w:type="dxa"/>
            <w:bottom w:w="0" w:type="dxa"/>
          </w:tblCellMar>
        </w:tblPrEx>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A1A7C8D" w14:textId="77777777" w:rsidR="004E58A2" w:rsidRDefault="00000000">
            <w:pPr>
              <w:jc w:val="center"/>
            </w:pPr>
            <w:r>
              <w:rPr>
                <w:color w:val="111111"/>
                <w:sz w:val="20"/>
                <w:szCs w:val="20"/>
              </w:rPr>
              <w:t>25x (band midpoint)</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2528FB4D" w14:textId="77777777" w:rsidR="004E58A2" w:rsidRDefault="00000000">
            <w:pPr>
              <w:jc w:val="center"/>
            </w:pPr>
            <w:r>
              <w:rPr>
                <w:color w:val="111111"/>
                <w:sz w:val="20"/>
                <w:szCs w:val="20"/>
              </w:rPr>
              <w:t>~$9.18B</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03D76CA" w14:textId="77777777" w:rsidR="004E58A2" w:rsidRDefault="00000000">
            <w:pPr>
              <w:jc w:val="center"/>
            </w:pPr>
            <w:r>
              <w:rPr>
                <w:color w:val="111111"/>
                <w:sz w:val="20"/>
                <w:szCs w:val="20"/>
              </w:rPr>
              <w:t>~$8.81B</w:t>
            </w:r>
          </w:p>
        </w:tc>
        <w:tc>
          <w:tcPr>
            <w:tcW w:w="234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102F79A" w14:textId="77777777" w:rsidR="004E58A2" w:rsidRDefault="00000000">
            <w:pPr>
              <w:jc w:val="center"/>
            </w:pPr>
            <w:r>
              <w:rPr>
                <w:color w:val="111111"/>
                <w:sz w:val="20"/>
                <w:szCs w:val="20"/>
              </w:rPr>
              <w:t>~$32.27</w:t>
            </w:r>
          </w:p>
        </w:tc>
      </w:tr>
      <w:tr w:rsidR="004E58A2" w14:paraId="5E64C73A" w14:textId="77777777">
        <w:tblPrEx>
          <w:tblCellMar>
            <w:top w:w="0" w:type="dxa"/>
            <w:bottom w:w="0" w:type="dxa"/>
          </w:tblCellMar>
        </w:tblPrEx>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2066DD4" w14:textId="77777777" w:rsidR="004E58A2" w:rsidRDefault="00000000">
            <w:pPr>
              <w:jc w:val="center"/>
            </w:pPr>
            <w:r>
              <w:rPr>
                <w:color w:val="111111"/>
                <w:sz w:val="20"/>
                <w:szCs w:val="20"/>
              </w:rPr>
              <w:t>30x (band ceiling)</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BB03681" w14:textId="77777777" w:rsidR="004E58A2" w:rsidRDefault="00000000">
            <w:pPr>
              <w:jc w:val="center"/>
            </w:pPr>
            <w:r>
              <w:rPr>
                <w:color w:val="111111"/>
                <w:sz w:val="20"/>
                <w:szCs w:val="20"/>
              </w:rPr>
              <w:t>~$11.01B</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227E090" w14:textId="77777777" w:rsidR="004E58A2" w:rsidRDefault="00000000">
            <w:pPr>
              <w:jc w:val="center"/>
            </w:pPr>
            <w:r>
              <w:rPr>
                <w:color w:val="111111"/>
                <w:sz w:val="20"/>
                <w:szCs w:val="20"/>
              </w:rPr>
              <w:t>~$10.64B</w:t>
            </w:r>
          </w:p>
        </w:tc>
        <w:tc>
          <w:tcPr>
            <w:tcW w:w="234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EDEA4CB" w14:textId="77777777" w:rsidR="004E58A2" w:rsidRDefault="00000000">
            <w:pPr>
              <w:jc w:val="center"/>
            </w:pPr>
            <w:r>
              <w:rPr>
                <w:color w:val="111111"/>
                <w:sz w:val="20"/>
                <w:szCs w:val="20"/>
              </w:rPr>
              <w:t>~$38.97</w:t>
            </w:r>
          </w:p>
        </w:tc>
      </w:tr>
    </w:tbl>
    <w:p w14:paraId="5B3BE0D9" w14:textId="77777777" w:rsidR="004E58A2" w:rsidRDefault="004E58A2">
      <w:pPr>
        <w:spacing w:after="100"/>
      </w:pPr>
    </w:p>
    <w:p w14:paraId="232DCA70" w14:textId="77777777" w:rsidR="004E58A2" w:rsidRDefault="00000000">
      <w:pPr>
        <w:spacing w:after="120"/>
      </w:pPr>
      <w:r>
        <w:rPr>
          <w:color w:val="111111"/>
        </w:rPr>
        <w:t xml:space="preserve">Analyst consensus: Average price target of $25.38–$28.66 implying 65–86% upside from current levels. This aligns with the 20–25x EV/EBITDA range — the middle portion of the Life Science Tools </w:t>
      </w:r>
      <w:r>
        <w:rPr>
          <w:color w:val="111111"/>
        </w:rPr>
        <w:lastRenderedPageBreak/>
        <w:t xml:space="preserve">peer band. </w:t>
      </w:r>
      <w:proofErr w:type="gramStart"/>
      <w:r>
        <w:rPr>
          <w:color w:val="111111"/>
        </w:rPr>
        <w:t>At</w:t>
      </w:r>
      <w:proofErr w:type="gramEnd"/>
      <w:r>
        <w:rPr>
          <w:color w:val="111111"/>
        </w:rPr>
        <w:t xml:space="preserve"> the band floor (20x), price target is ~$25.53. The current price requires only a re-rating to 15x — half the peer floor — to generate 22% upside. The margin </w:t>
      </w:r>
      <w:proofErr w:type="gramStart"/>
      <w:r>
        <w:rPr>
          <w:color w:val="111111"/>
        </w:rPr>
        <w:t>of</w:t>
      </w:r>
      <w:proofErr w:type="gramEnd"/>
      <w:r>
        <w:rPr>
          <w:color w:val="111111"/>
        </w:rPr>
        <w:t xml:space="preserve"> safety at current prices is substantial.</w:t>
      </w:r>
    </w:p>
    <w:p w14:paraId="2EBBE9DA" w14:textId="77777777" w:rsidR="004E58A2" w:rsidRDefault="00000000">
      <w:pPr>
        <w:spacing w:after="120"/>
      </w:pPr>
      <w:r>
        <w:rPr>
          <w:color w:val="111111"/>
        </w:rPr>
        <w:t>Note: All USD/EUR conversions use approximate rate of 1.08 USD/EUR. Actual EV/EBITDA multiples will vary with EUR/USD exchange rate movements.</w:t>
      </w:r>
    </w:p>
    <w:p w14:paraId="7A072EC0" w14:textId="77777777" w:rsidR="004E58A2" w:rsidRDefault="00000000">
      <w:r>
        <w:br w:type="page"/>
      </w:r>
    </w:p>
    <w:p w14:paraId="009984CC" w14:textId="77777777" w:rsidR="004E58A2" w:rsidRDefault="00000000">
      <w:pPr>
        <w:pStyle w:val="Heading1"/>
        <w:pBdr>
          <w:bottom w:val="single" w:sz="10" w:space="4" w:color="1F7EC2"/>
        </w:pBdr>
      </w:pPr>
      <w:r>
        <w:lastRenderedPageBreak/>
        <w:t>SECTION 6: BEAR CASE STEELMAN</w:t>
      </w:r>
    </w:p>
    <w:p w14:paraId="1C884221" w14:textId="77777777" w:rsidR="004E58A2" w:rsidRDefault="00000000">
      <w:pPr>
        <w:spacing w:after="120"/>
      </w:pPr>
      <w:r>
        <w:rPr>
          <w:color w:val="111111"/>
        </w:rPr>
        <w:t>The following seven arguments represent the strongest coherent case against STVN at current levels. These are not theoretical risks but material scenarios that, if they materialized, would justify a fundamental reassessment of the investment thesis.</w:t>
      </w:r>
    </w:p>
    <w:p w14:paraId="325DB26C" w14:textId="77777777" w:rsidR="004E58A2" w:rsidRDefault="004E58A2">
      <w:pPr>
        <w:spacing w:after="80"/>
      </w:pPr>
    </w:p>
    <w:p w14:paraId="4F92B4AF" w14:textId="77777777" w:rsidR="004E58A2" w:rsidRDefault="00000000">
      <w:pPr>
        <w:spacing w:before="180" w:after="80"/>
      </w:pPr>
      <w:r>
        <w:rPr>
          <w:b/>
          <w:bCs/>
          <w:color w:val="1F7EC2"/>
          <w:sz w:val="24"/>
          <w:szCs w:val="24"/>
        </w:rPr>
        <w:t>Bear 1: Oral GLP-1 Cannibalization of Injectable Volume</w:t>
      </w:r>
    </w:p>
    <w:p w14:paraId="4A2A7ECB" w14:textId="77777777" w:rsidR="004E58A2" w:rsidRDefault="00000000">
      <w:pPr>
        <w:spacing w:after="120"/>
      </w:pPr>
      <w:r>
        <w:rPr>
          <w:color w:val="111111"/>
        </w:rPr>
        <w:t>The most important single risk to the STVN thesis. Oral semaglutide (</w:t>
      </w:r>
      <w:proofErr w:type="spellStart"/>
      <w:r>
        <w:rPr>
          <w:color w:val="111111"/>
        </w:rPr>
        <w:t>Rybelsus</w:t>
      </w:r>
      <w:proofErr w:type="spellEnd"/>
      <w:r>
        <w:rPr>
          <w:color w:val="111111"/>
        </w:rPr>
        <w:t xml:space="preserve">, Novo Nordisk) and pipeline oral GLP-1 candidates (Eli Lilly </w:t>
      </w:r>
      <w:proofErr w:type="spellStart"/>
      <w:r>
        <w:rPr>
          <w:color w:val="111111"/>
        </w:rPr>
        <w:t>orforglipron</w:t>
      </w:r>
      <w:proofErr w:type="spellEnd"/>
      <w:r>
        <w:rPr>
          <w:color w:val="111111"/>
        </w:rPr>
        <w:t xml:space="preserve">, </w:t>
      </w:r>
      <w:proofErr w:type="spellStart"/>
      <w:r>
        <w:rPr>
          <w:color w:val="111111"/>
        </w:rPr>
        <w:t>Novo's</w:t>
      </w:r>
      <w:proofErr w:type="spellEnd"/>
      <w:r>
        <w:rPr>
          <w:color w:val="111111"/>
        </w:rPr>
        <w:t xml:space="preserve"> OW oral semaglutide) could shift meaningful volumes from weekly injectable to daily oral formats. While management and most analysts believe oral will expand the TAM rather than cannibalize injectables, if a once-daily oral with equivalent efficacy to weekly injectable GLP-1s achieves widespread formulary access, </w:t>
      </w:r>
      <w:proofErr w:type="spellStart"/>
      <w:r>
        <w:rPr>
          <w:color w:val="111111"/>
        </w:rPr>
        <w:t>Stevanato's</w:t>
      </w:r>
      <w:proofErr w:type="spellEnd"/>
      <w:r>
        <w:rPr>
          <w:color w:val="111111"/>
        </w:rPr>
        <w:t xml:space="preserve"> Nexa syringe and cartridge demand growth could slow materially from the mid-</w:t>
      </w:r>
      <w:proofErr w:type="gramStart"/>
      <w:r>
        <w:rPr>
          <w:color w:val="111111"/>
        </w:rPr>
        <w:t>teens</w:t>
      </w:r>
      <w:proofErr w:type="gramEnd"/>
      <w:r>
        <w:rPr>
          <w:color w:val="111111"/>
        </w:rPr>
        <w:t xml:space="preserve"> trajectory assumed. Even a 30% reduction in injectable GLP-1 growth would have a ~3–5% consolidated revenue impact.</w:t>
      </w:r>
    </w:p>
    <w:p w14:paraId="5B4F1267" w14:textId="77777777" w:rsidR="004E58A2" w:rsidRDefault="004E58A2">
      <w:pPr>
        <w:spacing w:after="60"/>
      </w:pPr>
    </w:p>
    <w:p w14:paraId="0381DF66" w14:textId="77777777" w:rsidR="004E58A2" w:rsidRDefault="00000000">
      <w:pPr>
        <w:spacing w:before="180" w:after="80"/>
      </w:pPr>
      <w:r>
        <w:rPr>
          <w:b/>
          <w:bCs/>
          <w:color w:val="1F7EC2"/>
          <w:sz w:val="24"/>
          <w:szCs w:val="24"/>
        </w:rPr>
        <w:t>Bear 2: Capacity Overbuild Creates Utilization Trough</w:t>
      </w:r>
    </w:p>
    <w:p w14:paraId="286407B3" w14:textId="77777777" w:rsidR="004E58A2" w:rsidRDefault="00000000">
      <w:pPr>
        <w:spacing w:after="120"/>
      </w:pPr>
      <w:proofErr w:type="spellStart"/>
      <w:r>
        <w:rPr>
          <w:color w:val="111111"/>
        </w:rPr>
        <w:t>Stevanato</w:t>
      </w:r>
      <w:proofErr w:type="spellEnd"/>
      <w:r>
        <w:rPr>
          <w:color w:val="111111"/>
        </w:rPr>
        <w:t xml:space="preserve"> has invested approximately €580M+ in cumulative capex over 2024–2025 in anticipation of continued GLP-1 and biologics demand growth. If pharmaceutical companies reduce capacity reservations (driven by GLP-1 pricing pressure under the IRA, budget constraints, or competitive program cancellations), STVN could be left with underutilized new facilities and return to the negative FCF position that characterized 2022–2024. The Engineering segment's –17% FY2025 decline — partly driven by a similar overbuild dynamic in pharma equipment — is a cautionary precedent.</w:t>
      </w:r>
    </w:p>
    <w:p w14:paraId="208827FC" w14:textId="77777777" w:rsidR="004E58A2" w:rsidRDefault="004E58A2">
      <w:pPr>
        <w:spacing w:after="60"/>
      </w:pPr>
    </w:p>
    <w:p w14:paraId="2272ACBD" w14:textId="77777777" w:rsidR="004E58A2" w:rsidRDefault="00000000">
      <w:pPr>
        <w:spacing w:before="180" w:after="80"/>
      </w:pPr>
      <w:r>
        <w:rPr>
          <w:b/>
          <w:bCs/>
          <w:color w:val="1F7EC2"/>
          <w:sz w:val="24"/>
          <w:szCs w:val="24"/>
        </w:rPr>
        <w:t>Bear 3: Material Weakness Indicates Deeper Governance Issues</w:t>
      </w:r>
    </w:p>
    <w:p w14:paraId="24599F5C" w14:textId="77777777" w:rsidR="004E58A2" w:rsidRDefault="00000000">
      <w:pPr>
        <w:spacing w:after="120"/>
      </w:pPr>
      <w:proofErr w:type="spellStart"/>
      <w:r>
        <w:rPr>
          <w:color w:val="111111"/>
        </w:rPr>
        <w:t>Stevanato</w:t>
      </w:r>
      <w:proofErr w:type="spellEnd"/>
      <w:r>
        <w:rPr>
          <w:color w:val="111111"/>
        </w:rPr>
        <w:t xml:space="preserve"> disclosed that internal controls over financial reporting were not effective for the year ended December 31, 2025. This is a material weakness under SEC/PCAOB standards. The company has not publicly disclosed the specific control deficiencies. Until the remediation plan is disclosed and independently audited, there is a non-trivial risk of financial restatement, delayed filings, or identification of additional weaknesses. A restatement could materially alter the earnings trajectory that underpins the current valuation thesis.</w:t>
      </w:r>
    </w:p>
    <w:p w14:paraId="1D4357F4" w14:textId="77777777" w:rsidR="004E58A2" w:rsidRDefault="004E58A2">
      <w:pPr>
        <w:spacing w:after="60"/>
      </w:pPr>
    </w:p>
    <w:p w14:paraId="3B91E2B7" w14:textId="77777777" w:rsidR="004E58A2" w:rsidRDefault="00000000">
      <w:pPr>
        <w:spacing w:before="180" w:after="80"/>
      </w:pPr>
      <w:r>
        <w:rPr>
          <w:b/>
          <w:bCs/>
          <w:color w:val="1F7EC2"/>
          <w:sz w:val="24"/>
          <w:szCs w:val="24"/>
        </w:rPr>
        <w:t>Bear 4: Engineering Segment Structural Impairment</w:t>
      </w:r>
    </w:p>
    <w:p w14:paraId="66B34D5C" w14:textId="77777777" w:rsidR="004E58A2" w:rsidRDefault="00000000">
      <w:pPr>
        <w:spacing w:after="120"/>
      </w:pPr>
      <w:r>
        <w:rPr>
          <w:color w:val="111111"/>
        </w:rPr>
        <w:t xml:space="preserve">The Engineering segment is in secular decline: –17% FY2025, –23% in Q4 2025, with further decrease expected in FY2026. Management is executing an 'optimization plan' and </w:t>
      </w:r>
      <w:proofErr w:type="gramStart"/>
      <w:r>
        <w:rPr>
          <w:color w:val="111111"/>
        </w:rPr>
        <w:t>pivoting to</w:t>
      </w:r>
      <w:proofErr w:type="gramEnd"/>
      <w:r>
        <w:rPr>
          <w:color w:val="111111"/>
        </w:rPr>
        <w:t xml:space="preserve"> higher-value visual inspection systems, but the segment contributed negative or near-zero operating margins throughout 2025. If the optimization fails to restore profitability (as pharma equipment spending cycles remain weak), Engineering could require restructuring charges, write-downs, or further workforce reductions that weigh on reported earnings and management attention. At 13% of revenue, Engineering's drag is meaningful.</w:t>
      </w:r>
    </w:p>
    <w:p w14:paraId="07ABBC2F" w14:textId="77777777" w:rsidR="004E58A2" w:rsidRDefault="004E58A2">
      <w:pPr>
        <w:spacing w:after="60"/>
      </w:pPr>
    </w:p>
    <w:p w14:paraId="625F10EB" w14:textId="77777777" w:rsidR="004E58A2" w:rsidRDefault="00000000">
      <w:pPr>
        <w:spacing w:before="180" w:after="80"/>
      </w:pPr>
      <w:r>
        <w:rPr>
          <w:b/>
          <w:bCs/>
          <w:color w:val="1F7EC2"/>
          <w:sz w:val="24"/>
          <w:szCs w:val="24"/>
        </w:rPr>
        <w:t>Bear 5: ROIC Failure to Recover Above WACC</w:t>
      </w:r>
    </w:p>
    <w:p w14:paraId="7418E9E6" w14:textId="77777777" w:rsidR="004E58A2" w:rsidRDefault="00000000">
      <w:pPr>
        <w:spacing w:after="120"/>
      </w:pPr>
      <w:r>
        <w:rPr>
          <w:color w:val="111111"/>
        </w:rPr>
        <w:t xml:space="preserve">At 6.96% TTM ROIC against an estimated WACC of 8–9%, </w:t>
      </w:r>
      <w:proofErr w:type="spellStart"/>
      <w:r>
        <w:rPr>
          <w:color w:val="111111"/>
        </w:rPr>
        <w:t>Stevanato</w:t>
      </w:r>
      <w:proofErr w:type="spellEnd"/>
      <w:r>
        <w:rPr>
          <w:color w:val="111111"/>
        </w:rPr>
        <w:t xml:space="preserve"> is technically destroying economic value. The bull case assumes that utilization of new Latina and Fishers capacity in 2026–2027 will drive ROIC above WACC as revenue grows into the fixed asset base. If capacity ramp takes longer than expected — or if pricing pressure from the IRA/competitive dynamics erodes HVS margins </w:t>
      </w:r>
      <w:r>
        <w:rPr>
          <w:color w:val="111111"/>
        </w:rPr>
        <w:lastRenderedPageBreak/>
        <w:t>— ROIC may remain sub-WACC through 2027. A sustained period of value destruction would pressure the multiple further even if nominal earnings grow.</w:t>
      </w:r>
    </w:p>
    <w:p w14:paraId="7AD21749" w14:textId="77777777" w:rsidR="004E58A2" w:rsidRDefault="004E58A2">
      <w:pPr>
        <w:spacing w:after="60"/>
      </w:pPr>
    </w:p>
    <w:p w14:paraId="68D439BD" w14:textId="77777777" w:rsidR="004E58A2" w:rsidRDefault="00000000">
      <w:pPr>
        <w:spacing w:before="180" w:after="80"/>
      </w:pPr>
      <w:r>
        <w:rPr>
          <w:b/>
          <w:bCs/>
          <w:color w:val="1F7EC2"/>
          <w:sz w:val="24"/>
          <w:szCs w:val="24"/>
        </w:rPr>
        <w:t>Bear 6: Italian Geopolitical and FX Risk</w:t>
      </w:r>
    </w:p>
    <w:p w14:paraId="30B7E8FE" w14:textId="77777777" w:rsidR="004E58A2" w:rsidRDefault="00000000">
      <w:pPr>
        <w:spacing w:after="120"/>
      </w:pPr>
      <w:r>
        <w:rPr>
          <w:color w:val="111111"/>
        </w:rPr>
        <w:t xml:space="preserve">Italy's 'golden powers' legislation allows the government to review, block, or impose conditions on M&amp;A transactions involving strategically important Italian companies. </w:t>
      </w:r>
      <w:proofErr w:type="spellStart"/>
      <w:r>
        <w:rPr>
          <w:color w:val="111111"/>
        </w:rPr>
        <w:t>Stevanato</w:t>
      </w:r>
      <w:proofErr w:type="spellEnd"/>
      <w:r>
        <w:rPr>
          <w:color w:val="111111"/>
        </w:rPr>
        <w:t xml:space="preserve"> is explicitly listed as subject to this regime. This limits M&amp;A optionality (both as a buyer and as an acquisition target) and introduces regulatory uncertainty for strategic decisions. Additionally, EUR/USD FX created a headwind of approximately 2% on reported revenue in FY2025. A sustained strong dollar would weigh on USD-denominated returns for US investors without FX hedging. EMEA representing &gt;50% of revenue amplifies this structural exposure.</w:t>
      </w:r>
    </w:p>
    <w:p w14:paraId="1A72303E" w14:textId="77777777" w:rsidR="004E58A2" w:rsidRDefault="004E58A2">
      <w:pPr>
        <w:spacing w:after="60"/>
      </w:pPr>
    </w:p>
    <w:p w14:paraId="29B17771" w14:textId="77777777" w:rsidR="004E58A2" w:rsidRDefault="00000000">
      <w:pPr>
        <w:spacing w:before="180" w:after="80"/>
      </w:pPr>
      <w:r>
        <w:rPr>
          <w:b/>
          <w:bCs/>
          <w:color w:val="1F7EC2"/>
          <w:sz w:val="24"/>
          <w:szCs w:val="24"/>
        </w:rPr>
        <w:t>Bear 7: Competitive Intensification from West Pharma and SCHOTT</w:t>
      </w:r>
    </w:p>
    <w:p w14:paraId="183FF761" w14:textId="77777777" w:rsidR="004E58A2" w:rsidRDefault="00000000">
      <w:pPr>
        <w:spacing w:after="120"/>
      </w:pPr>
      <w:r>
        <w:rPr>
          <w:color w:val="111111"/>
        </w:rPr>
        <w:t xml:space="preserve">West Pharmaceutical Services (WST) and SCHOTT Pharma are both investing aggressively in biologics-grade injectable components. If SCHOTT's recent NYSE IPO capital is deployed into competing Nexa-like syringe platforms, or if West Pharma captures preferred provider status with any of STVN's </w:t>
      </w:r>
      <w:proofErr w:type="gramStart"/>
      <w:r>
        <w:rPr>
          <w:color w:val="111111"/>
        </w:rPr>
        <w:t>top-10</w:t>
      </w:r>
      <w:proofErr w:type="gramEnd"/>
      <w:r>
        <w:rPr>
          <w:color w:val="111111"/>
        </w:rPr>
        <w:t xml:space="preserve"> pharma customers, the pricing premium on HVS could compress. Commodity vial pricing is already under pressure from post-COVID destocking normalization. If competitive dynamics prevent </w:t>
      </w:r>
      <w:proofErr w:type="spellStart"/>
      <w:r>
        <w:rPr>
          <w:color w:val="111111"/>
        </w:rPr>
        <w:t>Stevanato</w:t>
      </w:r>
      <w:proofErr w:type="spellEnd"/>
      <w:r>
        <w:rPr>
          <w:color w:val="111111"/>
        </w:rPr>
        <w:t xml:space="preserve"> from sustaining 40–70% gross margins on HVS as competitors scale similar platforms, the entire mix-shift margin expansion thesis is at risk.</w:t>
      </w:r>
    </w:p>
    <w:p w14:paraId="69020918" w14:textId="77777777" w:rsidR="004E58A2" w:rsidRDefault="00000000">
      <w:r>
        <w:br w:type="page"/>
      </w:r>
    </w:p>
    <w:p w14:paraId="0E23DB27" w14:textId="77777777" w:rsidR="004E58A2" w:rsidRDefault="00000000">
      <w:pPr>
        <w:pStyle w:val="Heading1"/>
        <w:pBdr>
          <w:bottom w:val="single" w:sz="10" w:space="4" w:color="1F7EC2"/>
        </w:pBdr>
      </w:pPr>
      <w:r>
        <w:lastRenderedPageBreak/>
        <w:t>SECTION 7: MONITORING TRIPWIRES</w:t>
      </w:r>
    </w:p>
    <w:p w14:paraId="109B1D32" w14:textId="77777777" w:rsidR="004E58A2" w:rsidRDefault="00000000">
      <w:pPr>
        <w:spacing w:after="120"/>
      </w:pPr>
      <w:r>
        <w:rPr>
          <w:color w:val="111111"/>
        </w:rPr>
        <w:t>These are quantitative tripwires that trigger a mandatory thesis review and potential downgrade. Monitor quarterly (marked Q) and annually (marked A).</w:t>
      </w:r>
    </w:p>
    <w:p w14:paraId="29BBB938" w14:textId="77777777" w:rsidR="004E58A2" w:rsidRDefault="004E58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4200"/>
        <w:gridCol w:w="2200"/>
        <w:gridCol w:w="2280"/>
      </w:tblGrid>
      <w:tr w:rsidR="004E58A2" w14:paraId="7D1C177A" w14:textId="77777777">
        <w:tblPrEx>
          <w:tblCellMar>
            <w:top w:w="0" w:type="dxa"/>
            <w:bottom w:w="0" w:type="dxa"/>
          </w:tblCellMar>
        </w:tblPrEx>
        <w:trPr>
          <w:tblHeader/>
        </w:trPr>
        <w:tc>
          <w:tcPr>
            <w:tcW w:w="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1BD59B6" w14:textId="77777777" w:rsidR="004E58A2" w:rsidRDefault="00000000">
            <w:pPr>
              <w:jc w:val="center"/>
            </w:pPr>
            <w:r>
              <w:rPr>
                <w:b/>
                <w:bCs/>
                <w:color w:val="FFFFFF"/>
                <w:sz w:val="20"/>
                <w:szCs w:val="20"/>
              </w:rPr>
              <w:t>#</w:t>
            </w:r>
          </w:p>
        </w:tc>
        <w:tc>
          <w:tcPr>
            <w:tcW w:w="4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8274FB7" w14:textId="77777777" w:rsidR="004E58A2" w:rsidRDefault="00000000">
            <w:pPr>
              <w:jc w:val="center"/>
            </w:pPr>
            <w:r>
              <w:rPr>
                <w:b/>
                <w:bCs/>
                <w:color w:val="FFFFFF"/>
                <w:sz w:val="20"/>
                <w:szCs w:val="20"/>
              </w:rPr>
              <w:t>Tripwire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72A0CF4" w14:textId="77777777" w:rsidR="004E58A2" w:rsidRDefault="00000000">
            <w:pPr>
              <w:jc w:val="center"/>
            </w:pPr>
            <w:r>
              <w:rPr>
                <w:b/>
                <w:bCs/>
                <w:color w:val="FFFFFF"/>
                <w:sz w:val="20"/>
                <w:szCs w:val="20"/>
              </w:rPr>
              <w:t>Frequency</w:t>
            </w:r>
          </w:p>
        </w:tc>
        <w:tc>
          <w:tcPr>
            <w:tcW w:w="22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33FAEA7" w14:textId="77777777" w:rsidR="004E58A2" w:rsidRDefault="00000000">
            <w:pPr>
              <w:jc w:val="center"/>
            </w:pPr>
            <w:r>
              <w:rPr>
                <w:b/>
                <w:bCs/>
                <w:color w:val="FFFFFF"/>
                <w:sz w:val="20"/>
                <w:szCs w:val="20"/>
              </w:rPr>
              <w:t xml:space="preserve">Action if </w:t>
            </w:r>
            <w:proofErr w:type="gramStart"/>
            <w:r>
              <w:rPr>
                <w:b/>
                <w:bCs/>
                <w:color w:val="FFFFFF"/>
                <w:sz w:val="20"/>
                <w:szCs w:val="20"/>
              </w:rPr>
              <w:t>Triggered</w:t>
            </w:r>
            <w:proofErr w:type="gramEnd"/>
          </w:p>
        </w:tc>
      </w:tr>
      <w:tr w:rsidR="004E58A2" w14:paraId="4FBDF958"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9BDA938" w14:textId="77777777" w:rsidR="004E58A2" w:rsidRDefault="00000000">
            <w:pPr>
              <w:jc w:val="center"/>
            </w:pPr>
            <w:r>
              <w:rPr>
                <w:b/>
                <w:bCs/>
                <w:color w:val="1B3A6B"/>
                <w:sz w:val="20"/>
                <w:szCs w:val="20"/>
              </w:rPr>
              <w:t>1</w:t>
            </w:r>
          </w:p>
        </w:tc>
        <w:tc>
          <w:tcPr>
            <w:tcW w:w="4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C119399" w14:textId="77777777" w:rsidR="004E58A2" w:rsidRDefault="00000000">
            <w:r>
              <w:rPr>
                <w:color w:val="111111"/>
                <w:sz w:val="20"/>
                <w:szCs w:val="20"/>
              </w:rPr>
              <w:t>HVS as % of BDS revenue falls below 45% for two consecutive quarters</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9582EA6" w14:textId="77777777" w:rsidR="004E58A2" w:rsidRDefault="00000000">
            <w:pPr>
              <w:jc w:val="center"/>
            </w:pPr>
            <w:r>
              <w:rPr>
                <w:i/>
                <w:iCs/>
                <w:color w:val="555555"/>
                <w:sz w:val="20"/>
                <w:szCs w:val="20"/>
              </w:rPr>
              <w:t>Quarterly</w:t>
            </w:r>
          </w:p>
        </w:tc>
        <w:tc>
          <w:tcPr>
            <w:tcW w:w="22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17025685" w14:textId="77777777" w:rsidR="004E58A2" w:rsidRDefault="00000000">
            <w:r>
              <w:rPr>
                <w:color w:val="1B3A6B"/>
                <w:sz w:val="19"/>
                <w:szCs w:val="19"/>
              </w:rPr>
              <w:t>Downgrade to HOLD; review mix-shift thesis</w:t>
            </w:r>
          </w:p>
        </w:tc>
      </w:tr>
      <w:tr w:rsidR="004E58A2" w14:paraId="37B136E8"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6137451" w14:textId="77777777" w:rsidR="004E58A2" w:rsidRDefault="00000000">
            <w:pPr>
              <w:jc w:val="center"/>
            </w:pPr>
            <w:r>
              <w:rPr>
                <w:b/>
                <w:bCs/>
                <w:color w:val="1B3A6B"/>
                <w:sz w:val="20"/>
                <w:szCs w:val="20"/>
              </w:rPr>
              <w:t>2</w:t>
            </w:r>
          </w:p>
        </w:tc>
        <w:tc>
          <w:tcPr>
            <w:tcW w:w="4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3622EF9" w14:textId="77777777" w:rsidR="004E58A2" w:rsidRDefault="00000000">
            <w:r>
              <w:rPr>
                <w:color w:val="111111"/>
                <w:sz w:val="20"/>
                <w:szCs w:val="20"/>
              </w:rPr>
              <w:t xml:space="preserve">GLP-1 revenue </w:t>
            </w:r>
            <w:proofErr w:type="gramStart"/>
            <w:r>
              <w:rPr>
                <w:color w:val="111111"/>
                <w:sz w:val="20"/>
                <w:szCs w:val="20"/>
              </w:rPr>
              <w:t>YoY growth</w:t>
            </w:r>
            <w:proofErr w:type="gramEnd"/>
            <w:r>
              <w:rPr>
                <w:color w:val="111111"/>
                <w:sz w:val="20"/>
                <w:szCs w:val="20"/>
              </w:rPr>
              <w:t xml:space="preserve"> falls below 10% in any fiscal year</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8B107B6" w14:textId="77777777" w:rsidR="004E58A2" w:rsidRDefault="00000000">
            <w:pPr>
              <w:jc w:val="center"/>
            </w:pPr>
            <w:r>
              <w:rPr>
                <w:i/>
                <w:iCs/>
                <w:color w:val="555555"/>
                <w:sz w:val="20"/>
                <w:szCs w:val="20"/>
              </w:rPr>
              <w:t>Annual</w:t>
            </w:r>
          </w:p>
        </w:tc>
        <w:tc>
          <w:tcPr>
            <w:tcW w:w="228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5A819154" w14:textId="77777777" w:rsidR="004E58A2" w:rsidRDefault="00000000">
            <w:r>
              <w:rPr>
                <w:color w:val="1B3A6B"/>
                <w:sz w:val="19"/>
                <w:szCs w:val="19"/>
              </w:rPr>
              <w:t>Downgrade to HOLD; oral GLP-1 cannibalization risk elevated</w:t>
            </w:r>
          </w:p>
        </w:tc>
      </w:tr>
      <w:tr w:rsidR="004E58A2" w14:paraId="7CF41558"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49431A2" w14:textId="77777777" w:rsidR="004E58A2" w:rsidRDefault="00000000">
            <w:pPr>
              <w:jc w:val="center"/>
            </w:pPr>
            <w:r>
              <w:rPr>
                <w:b/>
                <w:bCs/>
                <w:color w:val="1B3A6B"/>
                <w:sz w:val="20"/>
                <w:szCs w:val="20"/>
              </w:rPr>
              <w:t>3</w:t>
            </w:r>
          </w:p>
        </w:tc>
        <w:tc>
          <w:tcPr>
            <w:tcW w:w="4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440D50A" w14:textId="77777777" w:rsidR="004E58A2" w:rsidRDefault="00000000">
            <w:r>
              <w:rPr>
                <w:color w:val="111111"/>
                <w:sz w:val="20"/>
                <w:szCs w:val="20"/>
              </w:rPr>
              <w:t>Adj. EBITDA margin contracts more than 200 bps year-over-year</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639BB86" w14:textId="77777777" w:rsidR="004E58A2" w:rsidRDefault="00000000">
            <w:pPr>
              <w:jc w:val="center"/>
            </w:pPr>
            <w:r>
              <w:rPr>
                <w:i/>
                <w:iCs/>
                <w:color w:val="555555"/>
                <w:sz w:val="20"/>
                <w:szCs w:val="20"/>
              </w:rPr>
              <w:t>Annual</w:t>
            </w:r>
          </w:p>
        </w:tc>
        <w:tc>
          <w:tcPr>
            <w:tcW w:w="22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0FDBC3D2" w14:textId="77777777" w:rsidR="004E58A2" w:rsidRDefault="00000000">
            <w:r>
              <w:rPr>
                <w:color w:val="1B3A6B"/>
                <w:sz w:val="19"/>
                <w:szCs w:val="19"/>
              </w:rPr>
              <w:t xml:space="preserve">Mandatory review; </w:t>
            </w:r>
            <w:proofErr w:type="gramStart"/>
            <w:r>
              <w:rPr>
                <w:color w:val="1B3A6B"/>
                <w:sz w:val="19"/>
                <w:szCs w:val="19"/>
              </w:rPr>
              <w:t>assess</w:t>
            </w:r>
            <w:proofErr w:type="gramEnd"/>
            <w:r>
              <w:rPr>
                <w:color w:val="1B3A6B"/>
                <w:sz w:val="19"/>
                <w:szCs w:val="19"/>
              </w:rPr>
              <w:t xml:space="preserve"> pricing or utilization impairment</w:t>
            </w:r>
          </w:p>
        </w:tc>
      </w:tr>
      <w:tr w:rsidR="004E58A2" w14:paraId="0C2BE5AA"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AE3CACE" w14:textId="77777777" w:rsidR="004E58A2" w:rsidRDefault="00000000">
            <w:pPr>
              <w:jc w:val="center"/>
            </w:pPr>
            <w:r>
              <w:rPr>
                <w:b/>
                <w:bCs/>
                <w:color w:val="1B3A6B"/>
                <w:sz w:val="20"/>
                <w:szCs w:val="20"/>
              </w:rPr>
              <w:t>4</w:t>
            </w:r>
          </w:p>
        </w:tc>
        <w:tc>
          <w:tcPr>
            <w:tcW w:w="4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FE801CC" w14:textId="77777777" w:rsidR="004E58A2" w:rsidRDefault="00000000">
            <w:r>
              <w:rPr>
                <w:color w:val="111111"/>
                <w:sz w:val="20"/>
                <w:szCs w:val="20"/>
              </w:rPr>
              <w:t>Net debt/EBITDA rises above 2.5x for two consecutive quarters</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299DB75" w14:textId="77777777" w:rsidR="004E58A2" w:rsidRDefault="00000000">
            <w:pPr>
              <w:jc w:val="center"/>
            </w:pPr>
            <w:r>
              <w:rPr>
                <w:i/>
                <w:iCs/>
                <w:color w:val="555555"/>
                <w:sz w:val="20"/>
                <w:szCs w:val="20"/>
              </w:rPr>
              <w:t>Quarterly</w:t>
            </w:r>
          </w:p>
        </w:tc>
        <w:tc>
          <w:tcPr>
            <w:tcW w:w="228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3384E402" w14:textId="77777777" w:rsidR="004E58A2" w:rsidRDefault="00000000">
            <w:r>
              <w:rPr>
                <w:color w:val="1B3A6B"/>
                <w:sz w:val="19"/>
                <w:szCs w:val="19"/>
              </w:rPr>
              <w:t>Downgrade to HOLD; capital allocation risk elevated</w:t>
            </w:r>
          </w:p>
        </w:tc>
      </w:tr>
      <w:tr w:rsidR="004E58A2" w14:paraId="26335E38"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B16626F" w14:textId="77777777" w:rsidR="004E58A2" w:rsidRDefault="00000000">
            <w:pPr>
              <w:jc w:val="center"/>
            </w:pPr>
            <w:r>
              <w:rPr>
                <w:b/>
                <w:bCs/>
                <w:color w:val="1B3A6B"/>
                <w:sz w:val="20"/>
                <w:szCs w:val="20"/>
              </w:rPr>
              <w:t>5</w:t>
            </w:r>
          </w:p>
        </w:tc>
        <w:tc>
          <w:tcPr>
            <w:tcW w:w="4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4CAEE39" w14:textId="77777777" w:rsidR="004E58A2" w:rsidRDefault="00000000">
            <w:r>
              <w:rPr>
                <w:color w:val="111111"/>
                <w:sz w:val="20"/>
                <w:szCs w:val="20"/>
              </w:rPr>
              <w:t>ROIC fails to reach 8.0% (est. WACC) by FY2027 fiscal year-end</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821FFDD" w14:textId="77777777" w:rsidR="004E58A2" w:rsidRDefault="00000000">
            <w:pPr>
              <w:jc w:val="center"/>
            </w:pPr>
            <w:r>
              <w:rPr>
                <w:i/>
                <w:iCs/>
                <w:color w:val="555555"/>
                <w:sz w:val="20"/>
                <w:szCs w:val="20"/>
              </w:rPr>
              <w:t>Annual</w:t>
            </w:r>
          </w:p>
        </w:tc>
        <w:tc>
          <w:tcPr>
            <w:tcW w:w="22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3B617E34" w14:textId="77777777" w:rsidR="004E58A2" w:rsidRDefault="00000000">
            <w:r>
              <w:rPr>
                <w:color w:val="1B3A6B"/>
                <w:sz w:val="19"/>
                <w:szCs w:val="19"/>
              </w:rPr>
              <w:t>Downgrade to SELL; economic value destruction sustained</w:t>
            </w:r>
          </w:p>
        </w:tc>
      </w:tr>
      <w:tr w:rsidR="004E58A2" w14:paraId="48BB72C0"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BB24F35" w14:textId="77777777" w:rsidR="004E58A2" w:rsidRDefault="00000000">
            <w:pPr>
              <w:jc w:val="center"/>
            </w:pPr>
            <w:r>
              <w:rPr>
                <w:b/>
                <w:bCs/>
                <w:color w:val="1B3A6B"/>
                <w:sz w:val="20"/>
                <w:szCs w:val="20"/>
              </w:rPr>
              <w:t>6</w:t>
            </w:r>
          </w:p>
        </w:tc>
        <w:tc>
          <w:tcPr>
            <w:tcW w:w="4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229554F6" w14:textId="77777777" w:rsidR="004E58A2" w:rsidRDefault="00000000">
            <w:r>
              <w:rPr>
                <w:color w:val="111111"/>
                <w:sz w:val="20"/>
                <w:szCs w:val="20"/>
              </w:rPr>
              <w:t>FDA or EMA issues warning letter or import alert on any STVN manufacturing site</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5E91764" w14:textId="77777777" w:rsidR="004E58A2" w:rsidRDefault="00000000">
            <w:pPr>
              <w:jc w:val="center"/>
            </w:pPr>
            <w:r>
              <w:rPr>
                <w:i/>
                <w:iCs/>
                <w:color w:val="555555"/>
                <w:sz w:val="20"/>
                <w:szCs w:val="20"/>
              </w:rPr>
              <w:t>As announced</w:t>
            </w:r>
          </w:p>
        </w:tc>
        <w:tc>
          <w:tcPr>
            <w:tcW w:w="228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6A332FBE" w14:textId="77777777" w:rsidR="004E58A2" w:rsidRDefault="00000000">
            <w:r>
              <w:rPr>
                <w:color w:val="1B3A6B"/>
                <w:sz w:val="19"/>
                <w:szCs w:val="19"/>
              </w:rPr>
              <w:t>Immediate HOLD; potential Sell if remediation &gt;6 months</w:t>
            </w:r>
          </w:p>
        </w:tc>
      </w:tr>
      <w:tr w:rsidR="004E58A2" w14:paraId="4F928282"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A2E0AB6" w14:textId="77777777" w:rsidR="004E58A2" w:rsidRDefault="00000000">
            <w:pPr>
              <w:jc w:val="center"/>
            </w:pPr>
            <w:r>
              <w:rPr>
                <w:b/>
                <w:bCs/>
                <w:color w:val="1B3A6B"/>
                <w:sz w:val="20"/>
                <w:szCs w:val="20"/>
              </w:rPr>
              <w:t>7</w:t>
            </w:r>
          </w:p>
        </w:tc>
        <w:tc>
          <w:tcPr>
            <w:tcW w:w="4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35DD597" w14:textId="77777777" w:rsidR="004E58A2" w:rsidRDefault="00000000">
            <w:r>
              <w:rPr>
                <w:color w:val="111111"/>
                <w:sz w:val="20"/>
                <w:szCs w:val="20"/>
              </w:rPr>
              <w:t>Material weakness not remediated and disclosed by Q2 2026 earnings</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1D7C3CB" w14:textId="77777777" w:rsidR="004E58A2" w:rsidRDefault="00000000">
            <w:pPr>
              <w:jc w:val="center"/>
            </w:pPr>
            <w:r>
              <w:rPr>
                <w:i/>
                <w:iCs/>
                <w:color w:val="555555"/>
                <w:sz w:val="20"/>
                <w:szCs w:val="20"/>
              </w:rPr>
              <w:t>Quarterly</w:t>
            </w:r>
          </w:p>
        </w:tc>
        <w:tc>
          <w:tcPr>
            <w:tcW w:w="22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3D7F1697" w14:textId="77777777" w:rsidR="004E58A2" w:rsidRDefault="00000000">
            <w:r>
              <w:rPr>
                <w:color w:val="1B3A6B"/>
                <w:sz w:val="19"/>
                <w:szCs w:val="19"/>
              </w:rPr>
              <w:t>Downgrade to HOLD; governance risk elevated</w:t>
            </w:r>
          </w:p>
        </w:tc>
      </w:tr>
      <w:tr w:rsidR="004E58A2" w14:paraId="5FE8A689"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2A5A565" w14:textId="77777777" w:rsidR="004E58A2" w:rsidRDefault="00000000">
            <w:pPr>
              <w:jc w:val="center"/>
            </w:pPr>
            <w:r>
              <w:rPr>
                <w:b/>
                <w:bCs/>
                <w:color w:val="1B3A6B"/>
                <w:sz w:val="20"/>
                <w:szCs w:val="20"/>
              </w:rPr>
              <w:t>8</w:t>
            </w:r>
          </w:p>
        </w:tc>
        <w:tc>
          <w:tcPr>
            <w:tcW w:w="4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67C6EA4E" w14:textId="77777777" w:rsidR="004E58A2" w:rsidRDefault="00000000">
            <w:r>
              <w:rPr>
                <w:color w:val="111111"/>
                <w:sz w:val="20"/>
                <w:szCs w:val="20"/>
              </w:rPr>
              <w:t>Engineering segment gross margin fails to recover above 15% by Q4 2026</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517B1A3" w14:textId="77777777" w:rsidR="004E58A2" w:rsidRDefault="00000000">
            <w:pPr>
              <w:jc w:val="center"/>
            </w:pPr>
            <w:r>
              <w:rPr>
                <w:i/>
                <w:iCs/>
                <w:color w:val="555555"/>
                <w:sz w:val="20"/>
                <w:szCs w:val="20"/>
              </w:rPr>
              <w:t>Quarterly</w:t>
            </w:r>
          </w:p>
        </w:tc>
        <w:tc>
          <w:tcPr>
            <w:tcW w:w="228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0906AB5C" w14:textId="77777777" w:rsidR="004E58A2" w:rsidRDefault="00000000">
            <w:r>
              <w:rPr>
                <w:color w:val="1B3A6B"/>
                <w:sz w:val="19"/>
                <w:szCs w:val="19"/>
              </w:rPr>
              <w:t>Review Engineering optimization plan; potential restructuring flag</w:t>
            </w:r>
          </w:p>
        </w:tc>
      </w:tr>
      <w:tr w:rsidR="004E58A2" w14:paraId="6D84B78A" w14:textId="77777777">
        <w:tblPrEx>
          <w:tblCellMar>
            <w:top w:w="0" w:type="dxa"/>
            <w:bottom w:w="0" w:type="dxa"/>
          </w:tblCellMar>
        </w:tblPrEx>
        <w:tc>
          <w:tcPr>
            <w:tcW w:w="68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B49C5DC" w14:textId="77777777" w:rsidR="004E58A2" w:rsidRDefault="00000000">
            <w:pPr>
              <w:jc w:val="center"/>
            </w:pPr>
            <w:r>
              <w:rPr>
                <w:b/>
                <w:bCs/>
                <w:color w:val="1B3A6B"/>
                <w:sz w:val="20"/>
                <w:szCs w:val="20"/>
              </w:rPr>
              <w:t>9</w:t>
            </w:r>
          </w:p>
        </w:tc>
        <w:tc>
          <w:tcPr>
            <w:tcW w:w="4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8387EEF" w14:textId="77777777" w:rsidR="004E58A2" w:rsidRDefault="00000000">
            <w:r>
              <w:rPr>
                <w:color w:val="111111"/>
                <w:sz w:val="20"/>
                <w:szCs w:val="20"/>
              </w:rPr>
              <w:t>Any single customer publicly disclosed as &gt;15% of total revenue</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A6A73F7" w14:textId="77777777" w:rsidR="004E58A2" w:rsidRDefault="00000000">
            <w:pPr>
              <w:jc w:val="center"/>
            </w:pPr>
            <w:r>
              <w:rPr>
                <w:i/>
                <w:iCs/>
                <w:color w:val="555555"/>
                <w:sz w:val="20"/>
                <w:szCs w:val="20"/>
              </w:rPr>
              <w:t>Quarterly</w:t>
            </w:r>
          </w:p>
        </w:tc>
        <w:tc>
          <w:tcPr>
            <w:tcW w:w="2280" w:type="dxa"/>
            <w:tcBorders>
              <w:top w:val="single" w:sz="4" w:space="0" w:color="C5D8ED"/>
              <w:left w:val="single" w:sz="4" w:space="0" w:color="C5D8ED"/>
              <w:bottom w:val="single" w:sz="4" w:space="0" w:color="C5D8ED"/>
              <w:right w:val="single" w:sz="4" w:space="0" w:color="C5D8ED"/>
            </w:tcBorders>
            <w:shd w:val="clear" w:color="auto" w:fill="F8FBFE"/>
            <w:tcMar>
              <w:top w:w="80" w:type="dxa"/>
              <w:left w:w="120" w:type="dxa"/>
              <w:bottom w:w="80" w:type="dxa"/>
              <w:right w:w="120" w:type="dxa"/>
            </w:tcMar>
          </w:tcPr>
          <w:p w14:paraId="30EF75BE" w14:textId="77777777" w:rsidR="004E58A2" w:rsidRDefault="00000000">
            <w:r>
              <w:rPr>
                <w:color w:val="1B3A6B"/>
                <w:sz w:val="19"/>
                <w:szCs w:val="19"/>
              </w:rPr>
              <w:t>Immediate concentration risk review; apply specialty enabler discount</w:t>
            </w:r>
          </w:p>
        </w:tc>
      </w:tr>
    </w:tbl>
    <w:p w14:paraId="178207D8" w14:textId="77777777" w:rsidR="004E58A2" w:rsidRDefault="00000000">
      <w:r>
        <w:br w:type="page"/>
      </w:r>
    </w:p>
    <w:p w14:paraId="7273B3B8" w14:textId="77777777" w:rsidR="004E58A2" w:rsidRDefault="00000000">
      <w:pPr>
        <w:pStyle w:val="Heading1"/>
        <w:pBdr>
          <w:bottom w:val="single" w:sz="10" w:space="4" w:color="1F7EC2"/>
        </w:pBdr>
      </w:pPr>
      <w:r>
        <w:lastRenderedPageBreak/>
        <w:t>SECTION 8: EXECUTIVE SUMMARY &amp; RECOMMENDATION</w:t>
      </w:r>
    </w:p>
    <w:p w14:paraId="5BC29A45" w14:textId="77777777" w:rsidR="004E58A2" w:rsidRDefault="004E58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8A2" w14:paraId="6041F093" w14:textId="77777777">
        <w:tblPrEx>
          <w:tblCellMar>
            <w:top w:w="0" w:type="dxa"/>
            <w:bottom w:w="0" w:type="dxa"/>
          </w:tblCellMar>
        </w:tblPrEx>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200" w:type="dxa"/>
              <w:left w:w="240" w:type="dxa"/>
              <w:bottom w:w="200" w:type="dxa"/>
              <w:right w:w="240" w:type="dxa"/>
            </w:tcMar>
          </w:tcPr>
          <w:p w14:paraId="53A52FCB" w14:textId="77777777" w:rsidR="004E58A2" w:rsidRDefault="00000000">
            <w:pPr>
              <w:spacing w:after="80"/>
              <w:jc w:val="center"/>
            </w:pPr>
            <w:r>
              <w:rPr>
                <w:b/>
                <w:bCs/>
                <w:caps/>
                <w:color w:val="FFFFFF"/>
                <w:sz w:val="24"/>
                <w:szCs w:val="24"/>
              </w:rPr>
              <w:t>RECOMMENDATION</w:t>
            </w:r>
          </w:p>
          <w:p w14:paraId="032759B7" w14:textId="77777777" w:rsidR="004E58A2" w:rsidRDefault="00000000">
            <w:pPr>
              <w:spacing w:after="80"/>
              <w:jc w:val="center"/>
            </w:pPr>
            <w:r>
              <w:rPr>
                <w:b/>
                <w:bCs/>
                <w:color w:val="7EC8F0"/>
                <w:sz w:val="72"/>
                <w:szCs w:val="72"/>
              </w:rPr>
              <w:t>BUY</w:t>
            </w:r>
          </w:p>
          <w:p w14:paraId="17A9623A" w14:textId="77777777" w:rsidR="004E58A2" w:rsidRDefault="00000000">
            <w:pPr>
              <w:spacing w:after="80"/>
              <w:jc w:val="center"/>
            </w:pPr>
            <w:r>
              <w:rPr>
                <w:color w:val="FFFFFF"/>
                <w:sz w:val="24"/>
                <w:szCs w:val="24"/>
              </w:rPr>
              <w:t xml:space="preserve">High </w:t>
            </w:r>
            <w:proofErr w:type="gramStart"/>
            <w:r>
              <w:rPr>
                <w:color w:val="FFFFFF"/>
                <w:sz w:val="24"/>
                <w:szCs w:val="24"/>
              </w:rPr>
              <w:t>Conviction  |</w:t>
            </w:r>
            <w:proofErr w:type="gramEnd"/>
            <w:r>
              <w:rPr>
                <w:color w:val="FFFFFF"/>
                <w:sz w:val="24"/>
                <w:szCs w:val="24"/>
              </w:rPr>
              <w:t xml:space="preserve">  3–4% Position </w:t>
            </w:r>
            <w:proofErr w:type="gramStart"/>
            <w:r>
              <w:rPr>
                <w:color w:val="FFFFFF"/>
                <w:sz w:val="24"/>
                <w:szCs w:val="24"/>
              </w:rPr>
              <w:t>Size  |</w:t>
            </w:r>
            <w:proofErr w:type="gramEnd"/>
            <w:r>
              <w:rPr>
                <w:color w:val="FFFFFF"/>
                <w:sz w:val="24"/>
                <w:szCs w:val="24"/>
              </w:rPr>
              <w:t xml:space="preserve">  12–24 Month Horizon</w:t>
            </w:r>
          </w:p>
          <w:p w14:paraId="582A0D02" w14:textId="77777777" w:rsidR="004E58A2" w:rsidRDefault="00000000">
            <w:pPr>
              <w:jc w:val="center"/>
            </w:pPr>
            <w:r>
              <w:rPr>
                <w:i/>
                <w:iCs/>
                <w:color w:val="A8D4F0"/>
                <w:sz w:val="20"/>
                <w:szCs w:val="20"/>
              </w:rPr>
              <w:t>Primary Catalyst: Capacity utilization ramp + ROIC inflection + material weakness remediation</w:t>
            </w:r>
          </w:p>
        </w:tc>
      </w:tr>
    </w:tbl>
    <w:p w14:paraId="5CB711FD" w14:textId="77777777" w:rsidR="004E58A2" w:rsidRDefault="004E58A2">
      <w:pPr>
        <w:spacing w:after="120"/>
      </w:pPr>
    </w:p>
    <w:p w14:paraId="763A07E6" w14:textId="77777777" w:rsidR="004E58A2" w:rsidRDefault="00000000">
      <w:pPr>
        <w:pStyle w:val="Heading2"/>
        <w:spacing w:before="260"/>
      </w:pPr>
      <w:r>
        <w:t>Recommendation Rationale</w:t>
      </w:r>
    </w:p>
    <w:p w14:paraId="2B4DFF76" w14:textId="77777777" w:rsidR="004E58A2" w:rsidRDefault="00000000">
      <w:pPr>
        <w:spacing w:after="120"/>
      </w:pPr>
      <w:proofErr w:type="spellStart"/>
      <w:r>
        <w:rPr>
          <w:color w:val="111111"/>
        </w:rPr>
        <w:t>Stevanato</w:t>
      </w:r>
      <w:proofErr w:type="spellEnd"/>
      <w:r>
        <w:rPr>
          <w:color w:val="111111"/>
        </w:rPr>
        <w:t xml:space="preserve"> Group is a rare combination: a genuine Tier 1 moat business (EMT score 13/16) priced at the valuation of a challenged cyclical. At 12.5x 2026E EV/EBITDA, the market is pricing STVN as if its Engineering segment headwinds and material weakness are permanent impairments, when both are transitory and well-understood. The BDS segment — 87% of revenue and generating 22–28% operating margins — is structurally excellent and accelerating. The GLP-1 tailwind, biologics pipeline depth (9,000+ assets), and regulatory switching cost moat create a durable, compounding revenue base.</w:t>
      </w:r>
    </w:p>
    <w:p w14:paraId="6A4E23E9" w14:textId="77777777" w:rsidR="004E58A2" w:rsidRDefault="004E58A2">
      <w:pPr>
        <w:spacing w:after="80"/>
      </w:pPr>
    </w:p>
    <w:p w14:paraId="52C49DE0" w14:textId="77777777" w:rsidR="004E58A2" w:rsidRDefault="00000000">
      <w:pPr>
        <w:spacing w:after="120"/>
      </w:pPr>
      <w:r>
        <w:rPr>
          <w:color w:val="111111"/>
        </w:rPr>
        <w:t>The 3–4% position size recommendation (rather than full conviction 5%+) reflects two specific risk factors: (1) the material weakness disclosure, which creates non-zero risk of restatement, and (2) ROIC currently below WACC, which requires execution confidence over 12–24 months. These risks are manageable and the probability of sustained impairment is low, but they warrant a modest haircut to position sizing until remediated.</w:t>
      </w:r>
    </w:p>
    <w:p w14:paraId="5BE97A5B" w14:textId="77777777" w:rsidR="004E58A2" w:rsidRDefault="004E58A2">
      <w:pPr>
        <w:spacing w:after="80"/>
      </w:pPr>
    </w:p>
    <w:p w14:paraId="2707E90D" w14:textId="77777777" w:rsidR="004E58A2" w:rsidRDefault="00000000">
      <w:pPr>
        <w:pStyle w:val="Heading2"/>
        <w:spacing w:before="260"/>
      </w:pPr>
      <w:r>
        <w:t>Consolidated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4E58A2" w14:paraId="0AFE1E12" w14:textId="77777777">
        <w:tblPrEx>
          <w:tblCellMar>
            <w:top w:w="0" w:type="dxa"/>
            <w:bottom w:w="0" w:type="dxa"/>
          </w:tblCellMar>
        </w:tblPrEx>
        <w:trPr>
          <w:tblHeader/>
        </w:trPr>
        <w:tc>
          <w:tcPr>
            <w:tcW w:w="3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5845217" w14:textId="77777777" w:rsidR="004E58A2" w:rsidRDefault="00000000">
            <w:pPr>
              <w:jc w:val="center"/>
            </w:pPr>
            <w:r>
              <w:rPr>
                <w:b/>
                <w:bCs/>
                <w:color w:val="FFFFFF"/>
                <w:sz w:val="20"/>
                <w:szCs w:val="20"/>
              </w:rPr>
              <w:t>Framework Component</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04E294C" w14:textId="77777777" w:rsidR="004E58A2" w:rsidRDefault="00000000">
            <w:pPr>
              <w:jc w:val="center"/>
            </w:pPr>
            <w:r>
              <w:rPr>
                <w:b/>
                <w:bCs/>
                <w:color w:val="FFFFFF"/>
                <w:sz w:val="20"/>
                <w:szCs w:val="20"/>
              </w:rPr>
              <w:t>Score</w:t>
            </w:r>
          </w:p>
        </w:tc>
        <w:tc>
          <w:tcPr>
            <w:tcW w:w="36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1934D03" w14:textId="77777777" w:rsidR="004E58A2" w:rsidRDefault="00000000">
            <w:pPr>
              <w:jc w:val="center"/>
            </w:pPr>
            <w:r>
              <w:rPr>
                <w:b/>
                <w:bCs/>
                <w:color w:val="FFFFFF"/>
                <w:sz w:val="20"/>
                <w:szCs w:val="20"/>
              </w:rPr>
              <w:t>Classification</w:t>
            </w:r>
          </w:p>
        </w:tc>
      </w:tr>
      <w:tr w:rsidR="004E58A2" w14:paraId="45C885D9"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1D451EF" w14:textId="77777777" w:rsidR="004E58A2" w:rsidRDefault="00000000">
            <w:r>
              <w:rPr>
                <w:color w:val="111111"/>
                <w:sz w:val="20"/>
                <w:szCs w:val="20"/>
              </w:rPr>
              <w:t>Stage 1: EMT — Moat Score</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9582869" w14:textId="77777777" w:rsidR="004E58A2" w:rsidRDefault="00000000">
            <w:pPr>
              <w:jc w:val="center"/>
            </w:pPr>
            <w:r>
              <w:rPr>
                <w:color w:val="111111"/>
                <w:sz w:val="20"/>
                <w:szCs w:val="20"/>
              </w:rPr>
              <w:t>13 / 16</w:t>
            </w:r>
          </w:p>
        </w:tc>
        <w:tc>
          <w:tcPr>
            <w:tcW w:w="36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6131991" w14:textId="77777777" w:rsidR="004E58A2" w:rsidRDefault="00000000">
            <w:pPr>
              <w:jc w:val="center"/>
            </w:pPr>
            <w:r>
              <w:rPr>
                <w:color w:val="111111"/>
                <w:sz w:val="20"/>
                <w:szCs w:val="20"/>
              </w:rPr>
              <w:t>Tier 1: Structural Moat Leader</w:t>
            </w:r>
          </w:p>
        </w:tc>
      </w:tr>
      <w:tr w:rsidR="004E58A2" w14:paraId="54CA5BD2"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8C3BC2F" w14:textId="77777777" w:rsidR="004E58A2" w:rsidRDefault="00000000">
            <w:r>
              <w:rPr>
                <w:color w:val="111111"/>
                <w:sz w:val="20"/>
                <w:szCs w:val="20"/>
              </w:rPr>
              <w:t>D1: Revenue Durability</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817358F" w14:textId="77777777" w:rsidR="004E58A2" w:rsidRDefault="00000000">
            <w:pPr>
              <w:jc w:val="center"/>
            </w:pPr>
            <w:r>
              <w:rPr>
                <w:color w:val="111111"/>
                <w:sz w:val="20"/>
                <w:szCs w:val="20"/>
              </w:rPr>
              <w:t>6 / 10</w:t>
            </w:r>
          </w:p>
        </w:tc>
        <w:tc>
          <w:tcPr>
            <w:tcW w:w="36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3D6E8AA9" w14:textId="77777777" w:rsidR="004E58A2" w:rsidRDefault="00000000">
            <w:pPr>
              <w:jc w:val="center"/>
            </w:pPr>
            <w:r>
              <w:rPr>
                <w:color w:val="111111"/>
                <w:sz w:val="20"/>
                <w:szCs w:val="20"/>
              </w:rPr>
              <w:t>Moderate-High Visibility</w:t>
            </w:r>
          </w:p>
        </w:tc>
      </w:tr>
      <w:tr w:rsidR="004E58A2" w14:paraId="3E70589F"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2316CBD" w14:textId="77777777" w:rsidR="004E58A2" w:rsidRDefault="00000000">
            <w:r>
              <w:rPr>
                <w:color w:val="111111"/>
                <w:sz w:val="20"/>
                <w:szCs w:val="20"/>
              </w:rPr>
              <w:t>D2: Customer Concentration</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6D258C9D" w14:textId="77777777" w:rsidR="004E58A2" w:rsidRDefault="00000000">
            <w:pPr>
              <w:jc w:val="center"/>
            </w:pPr>
            <w:r>
              <w:rPr>
                <w:color w:val="111111"/>
                <w:sz w:val="20"/>
                <w:szCs w:val="20"/>
              </w:rPr>
              <w:t>6 / 10</w:t>
            </w:r>
          </w:p>
        </w:tc>
        <w:tc>
          <w:tcPr>
            <w:tcW w:w="36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49049E9" w14:textId="77777777" w:rsidR="004E58A2" w:rsidRDefault="00000000">
            <w:pPr>
              <w:jc w:val="center"/>
            </w:pPr>
            <w:r>
              <w:rPr>
                <w:color w:val="111111"/>
                <w:sz w:val="20"/>
                <w:szCs w:val="20"/>
              </w:rPr>
              <w:t>Well-Diversified</w:t>
            </w:r>
          </w:p>
        </w:tc>
      </w:tr>
      <w:tr w:rsidR="004E58A2" w14:paraId="0FFE0158"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7049198" w14:textId="77777777" w:rsidR="004E58A2" w:rsidRDefault="00000000">
            <w:r>
              <w:rPr>
                <w:color w:val="111111"/>
                <w:sz w:val="20"/>
                <w:szCs w:val="20"/>
              </w:rPr>
              <w:t>D3: Capacity / Operating Leverage</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5525927" w14:textId="77777777" w:rsidR="004E58A2" w:rsidRDefault="00000000">
            <w:pPr>
              <w:jc w:val="center"/>
            </w:pPr>
            <w:r>
              <w:rPr>
                <w:color w:val="111111"/>
                <w:sz w:val="20"/>
                <w:szCs w:val="20"/>
              </w:rPr>
              <w:t>6 / 10</w:t>
            </w:r>
          </w:p>
        </w:tc>
        <w:tc>
          <w:tcPr>
            <w:tcW w:w="36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4332D40E" w14:textId="77777777" w:rsidR="004E58A2" w:rsidRDefault="00000000">
            <w:pPr>
              <w:jc w:val="center"/>
            </w:pPr>
            <w:r>
              <w:rPr>
                <w:color w:val="111111"/>
                <w:sz w:val="20"/>
                <w:szCs w:val="20"/>
              </w:rPr>
              <w:t>Expanding; Engineering Drag</w:t>
            </w:r>
          </w:p>
        </w:tc>
      </w:tr>
      <w:tr w:rsidR="004E58A2" w14:paraId="0279317B"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E8641CC" w14:textId="77777777" w:rsidR="004E58A2" w:rsidRDefault="00000000">
            <w:r>
              <w:rPr>
                <w:color w:val="111111"/>
                <w:sz w:val="20"/>
                <w:szCs w:val="20"/>
              </w:rPr>
              <w:t>D4: Competitive Position &amp; Pricing</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F96E4C3" w14:textId="77777777" w:rsidR="004E58A2" w:rsidRDefault="00000000">
            <w:pPr>
              <w:jc w:val="center"/>
            </w:pPr>
            <w:r>
              <w:rPr>
                <w:color w:val="111111"/>
                <w:sz w:val="20"/>
                <w:szCs w:val="20"/>
              </w:rPr>
              <w:t>7 / 10</w:t>
            </w:r>
          </w:p>
        </w:tc>
        <w:tc>
          <w:tcPr>
            <w:tcW w:w="36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7AD2C269" w14:textId="77777777" w:rsidR="004E58A2" w:rsidRDefault="00000000">
            <w:pPr>
              <w:jc w:val="center"/>
            </w:pPr>
            <w:r>
              <w:rPr>
                <w:color w:val="111111"/>
                <w:sz w:val="20"/>
                <w:szCs w:val="20"/>
              </w:rPr>
              <w:t>Differentiated; Premium Justified</w:t>
            </w:r>
          </w:p>
        </w:tc>
      </w:tr>
      <w:tr w:rsidR="004E58A2" w14:paraId="14FEC5F3"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E6BEE8E" w14:textId="77777777" w:rsidR="004E58A2" w:rsidRDefault="00000000">
            <w:r>
              <w:rPr>
                <w:color w:val="111111"/>
                <w:sz w:val="20"/>
                <w:szCs w:val="20"/>
              </w:rPr>
              <w:t>D5: Balance Sheet &amp; Capital Allocation</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0DABCA9B" w14:textId="77777777" w:rsidR="004E58A2" w:rsidRDefault="00000000">
            <w:pPr>
              <w:jc w:val="center"/>
            </w:pPr>
            <w:r>
              <w:rPr>
                <w:color w:val="111111"/>
                <w:sz w:val="20"/>
                <w:szCs w:val="20"/>
              </w:rPr>
              <w:t>4 / 10</w:t>
            </w:r>
          </w:p>
        </w:tc>
        <w:tc>
          <w:tcPr>
            <w:tcW w:w="36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2886105" w14:textId="77777777" w:rsidR="004E58A2" w:rsidRDefault="00000000">
            <w:pPr>
              <w:jc w:val="center"/>
            </w:pPr>
            <w:r>
              <w:rPr>
                <w:color w:val="111111"/>
                <w:sz w:val="20"/>
                <w:szCs w:val="20"/>
              </w:rPr>
              <w:t>ROIC Below WACC; FCF Inflecting</w:t>
            </w:r>
          </w:p>
        </w:tc>
      </w:tr>
      <w:tr w:rsidR="004E58A2" w14:paraId="6FA38A91"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0CFCB98C" w14:textId="77777777" w:rsidR="004E58A2" w:rsidRDefault="00000000">
            <w:r>
              <w:rPr>
                <w:b/>
                <w:bCs/>
                <w:color w:val="111111"/>
                <w:sz w:val="20"/>
                <w:szCs w:val="20"/>
              </w:rPr>
              <w:t>Stage 2 Subtotal (pre-modifiers)</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5666E129" w14:textId="77777777" w:rsidR="004E58A2" w:rsidRDefault="00000000">
            <w:pPr>
              <w:jc w:val="center"/>
            </w:pPr>
            <w:r>
              <w:rPr>
                <w:b/>
                <w:bCs/>
                <w:color w:val="111111"/>
                <w:sz w:val="20"/>
                <w:szCs w:val="20"/>
              </w:rPr>
              <w:t>5.90</w:t>
            </w:r>
          </w:p>
        </w:tc>
        <w:tc>
          <w:tcPr>
            <w:tcW w:w="36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43D8CFAA" w14:textId="77777777" w:rsidR="004E58A2" w:rsidRDefault="004E58A2">
            <w:pPr>
              <w:jc w:val="center"/>
            </w:pPr>
          </w:p>
        </w:tc>
      </w:tr>
      <w:tr w:rsidR="004E58A2" w14:paraId="5532A100"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007C666" w14:textId="77777777" w:rsidR="004E58A2" w:rsidRDefault="00000000">
            <w:r>
              <w:rPr>
                <w:color w:val="111111"/>
                <w:sz w:val="20"/>
                <w:szCs w:val="20"/>
              </w:rPr>
              <w:t>Modifier A: Biopharma Cycle</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75531C48" w14:textId="77777777" w:rsidR="004E58A2" w:rsidRDefault="00000000">
            <w:pPr>
              <w:jc w:val="center"/>
            </w:pPr>
            <w:r>
              <w:rPr>
                <w:color w:val="111111"/>
                <w:sz w:val="20"/>
                <w:szCs w:val="20"/>
              </w:rPr>
              <w:t>+1.0</w:t>
            </w:r>
          </w:p>
        </w:tc>
        <w:tc>
          <w:tcPr>
            <w:tcW w:w="36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070DF49" w14:textId="77777777" w:rsidR="004E58A2" w:rsidRDefault="00000000">
            <w:pPr>
              <w:jc w:val="center"/>
            </w:pPr>
            <w:r>
              <w:rPr>
                <w:color w:val="111111"/>
                <w:sz w:val="20"/>
                <w:szCs w:val="20"/>
              </w:rPr>
              <w:t>GLP-1 + Biologics: Structural Growth</w:t>
            </w:r>
          </w:p>
        </w:tc>
      </w:tr>
      <w:tr w:rsidR="004E58A2" w14:paraId="44FBF05D"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125760A8" w14:textId="77777777" w:rsidR="004E58A2" w:rsidRDefault="00000000">
            <w:r>
              <w:rPr>
                <w:color w:val="111111"/>
                <w:sz w:val="20"/>
                <w:szCs w:val="20"/>
              </w:rPr>
              <w:lastRenderedPageBreak/>
              <w:t>Modifier B: Platform Breadth</w:t>
            </w:r>
          </w:p>
        </w:tc>
        <w:tc>
          <w:tcPr>
            <w:tcW w:w="220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3D23D6D6" w14:textId="77777777" w:rsidR="004E58A2" w:rsidRDefault="00000000">
            <w:pPr>
              <w:jc w:val="center"/>
            </w:pPr>
            <w:r>
              <w:rPr>
                <w:color w:val="111111"/>
                <w:sz w:val="20"/>
                <w:szCs w:val="20"/>
              </w:rPr>
              <w:t>+0.5</w:t>
            </w:r>
          </w:p>
        </w:tc>
        <w:tc>
          <w:tcPr>
            <w:tcW w:w="3660" w:type="dxa"/>
            <w:tcBorders>
              <w:top w:val="single" w:sz="4" w:space="0" w:color="C5D8ED"/>
              <w:left w:val="single" w:sz="4" w:space="0" w:color="C5D8ED"/>
              <w:bottom w:val="single" w:sz="4" w:space="0" w:color="C5D8ED"/>
              <w:right w:val="single" w:sz="4" w:space="0" w:color="C5D8ED"/>
            </w:tcBorders>
            <w:shd w:val="clear" w:color="auto" w:fill="FFFFFF"/>
            <w:tcMar>
              <w:top w:w="80" w:type="dxa"/>
              <w:left w:w="120" w:type="dxa"/>
              <w:bottom w:w="80" w:type="dxa"/>
              <w:right w:w="120" w:type="dxa"/>
            </w:tcMar>
          </w:tcPr>
          <w:p w14:paraId="22F5A65D" w14:textId="77777777" w:rsidR="004E58A2" w:rsidRDefault="00000000">
            <w:pPr>
              <w:jc w:val="center"/>
            </w:pPr>
            <w:r>
              <w:rPr>
                <w:color w:val="111111"/>
                <w:sz w:val="20"/>
                <w:szCs w:val="20"/>
              </w:rPr>
              <w:t>2-Stage Integration; Emerging Cross-Sell</w:t>
            </w:r>
          </w:p>
        </w:tc>
      </w:tr>
      <w:tr w:rsidR="004E58A2" w14:paraId="126C22F9"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1040EA91" w14:textId="77777777" w:rsidR="004E58A2" w:rsidRDefault="00000000">
            <w:r>
              <w:rPr>
                <w:color w:val="111111"/>
                <w:sz w:val="20"/>
                <w:szCs w:val="20"/>
              </w:rPr>
              <w:t>COMPOSITE SCORE</w:t>
            </w:r>
          </w:p>
        </w:tc>
        <w:tc>
          <w:tcPr>
            <w:tcW w:w="220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25737ACB" w14:textId="77777777" w:rsidR="004E58A2" w:rsidRDefault="00000000">
            <w:pPr>
              <w:jc w:val="center"/>
            </w:pPr>
            <w:r>
              <w:rPr>
                <w:color w:val="111111"/>
                <w:sz w:val="20"/>
                <w:szCs w:val="20"/>
              </w:rPr>
              <w:t>7.40 / 10</w:t>
            </w:r>
          </w:p>
        </w:tc>
        <w:tc>
          <w:tcPr>
            <w:tcW w:w="3660" w:type="dxa"/>
            <w:tcBorders>
              <w:top w:val="single" w:sz="4" w:space="0" w:color="C5D8ED"/>
              <w:left w:val="single" w:sz="4" w:space="0" w:color="C5D8ED"/>
              <w:bottom w:val="single" w:sz="4" w:space="0" w:color="C5D8ED"/>
              <w:right w:val="single" w:sz="4" w:space="0" w:color="C5D8ED"/>
            </w:tcBorders>
            <w:shd w:val="clear" w:color="auto" w:fill="F2F7FC"/>
            <w:tcMar>
              <w:top w:w="80" w:type="dxa"/>
              <w:left w:w="120" w:type="dxa"/>
              <w:bottom w:w="80" w:type="dxa"/>
              <w:right w:w="120" w:type="dxa"/>
            </w:tcMar>
          </w:tcPr>
          <w:p w14:paraId="5A3A8779" w14:textId="77777777" w:rsidR="004E58A2" w:rsidRDefault="00000000">
            <w:pPr>
              <w:jc w:val="center"/>
            </w:pPr>
            <w:r>
              <w:rPr>
                <w:color w:val="111111"/>
                <w:sz w:val="20"/>
                <w:szCs w:val="20"/>
              </w:rPr>
              <w:t>STRUCTURALLY ADVANTAGED</w:t>
            </w:r>
          </w:p>
        </w:tc>
      </w:tr>
      <w:tr w:rsidR="004E58A2" w14:paraId="3CFE41FD"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59866127" w14:textId="77777777" w:rsidR="004E58A2" w:rsidRDefault="00000000">
            <w:r>
              <w:rPr>
                <w:b/>
                <w:bCs/>
                <w:color w:val="1F7EC2"/>
                <w:sz w:val="20"/>
                <w:szCs w:val="20"/>
              </w:rPr>
              <w:t>Valuation Gate</w:t>
            </w:r>
          </w:p>
        </w:tc>
        <w:tc>
          <w:tcPr>
            <w:tcW w:w="220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134A05F0" w14:textId="77777777" w:rsidR="004E58A2" w:rsidRDefault="00000000">
            <w:pPr>
              <w:jc w:val="center"/>
            </w:pPr>
            <w:r>
              <w:rPr>
                <w:b/>
                <w:bCs/>
                <w:color w:val="1F7EC2"/>
                <w:sz w:val="20"/>
                <w:szCs w:val="20"/>
              </w:rPr>
              <w:t>~12.5x 2026E EV/EBITDA</w:t>
            </w:r>
          </w:p>
        </w:tc>
        <w:tc>
          <w:tcPr>
            <w:tcW w:w="3660" w:type="dxa"/>
            <w:tcBorders>
              <w:top w:val="single" w:sz="4" w:space="0" w:color="C5D8ED"/>
              <w:left w:val="single" w:sz="4" w:space="0" w:color="C5D8ED"/>
              <w:bottom w:val="single" w:sz="4" w:space="0" w:color="C5D8ED"/>
              <w:right w:val="single" w:sz="4" w:space="0" w:color="C5D8ED"/>
            </w:tcBorders>
            <w:shd w:val="clear" w:color="auto" w:fill="EAF2FB"/>
            <w:tcMar>
              <w:top w:w="80" w:type="dxa"/>
              <w:left w:w="120" w:type="dxa"/>
              <w:bottom w:w="80" w:type="dxa"/>
              <w:right w:w="120" w:type="dxa"/>
            </w:tcMar>
          </w:tcPr>
          <w:p w14:paraId="19D289D4" w14:textId="77777777" w:rsidR="004E58A2" w:rsidRDefault="00000000">
            <w:pPr>
              <w:jc w:val="center"/>
            </w:pPr>
            <w:r>
              <w:rPr>
                <w:b/>
                <w:bCs/>
                <w:color w:val="1F7EC2"/>
                <w:sz w:val="20"/>
                <w:szCs w:val="20"/>
              </w:rPr>
              <w:t>BELOW Band Floor (20</w:t>
            </w:r>
            <w:proofErr w:type="gramStart"/>
            <w:r>
              <w:rPr>
                <w:b/>
                <w:bCs/>
                <w:color w:val="1F7EC2"/>
                <w:sz w:val="20"/>
                <w:szCs w:val="20"/>
              </w:rPr>
              <w:t>x) —</w:t>
            </w:r>
            <w:proofErr w:type="gramEnd"/>
            <w:r>
              <w:rPr>
                <w:b/>
                <w:bCs/>
                <w:color w:val="1F7EC2"/>
                <w:sz w:val="20"/>
                <w:szCs w:val="20"/>
              </w:rPr>
              <w:t xml:space="preserve"> BUY Signal</w:t>
            </w:r>
          </w:p>
        </w:tc>
      </w:tr>
      <w:tr w:rsidR="004E58A2" w14:paraId="0314BA36" w14:textId="77777777">
        <w:tblPrEx>
          <w:tblCellMar>
            <w:top w:w="0" w:type="dxa"/>
            <w:bottom w:w="0" w:type="dxa"/>
          </w:tblCellMar>
        </w:tblPrEx>
        <w:tc>
          <w:tcPr>
            <w:tcW w:w="3500" w:type="dxa"/>
            <w:tcBorders>
              <w:top w:val="single" w:sz="4" w:space="0" w:color="C5D8ED"/>
              <w:left w:val="single" w:sz="4" w:space="0" w:color="C5D8ED"/>
              <w:bottom w:val="single" w:sz="4" w:space="0" w:color="C5D8ED"/>
              <w:right w:val="single" w:sz="4" w:space="0" w:color="C5D8ED"/>
            </w:tcBorders>
            <w:shd w:val="clear" w:color="auto" w:fill="1B3A6B"/>
            <w:tcMar>
              <w:top w:w="80" w:type="dxa"/>
              <w:left w:w="120" w:type="dxa"/>
              <w:bottom w:w="80" w:type="dxa"/>
              <w:right w:w="120" w:type="dxa"/>
            </w:tcMar>
          </w:tcPr>
          <w:p w14:paraId="013654B1" w14:textId="77777777" w:rsidR="004E58A2" w:rsidRDefault="00000000">
            <w:r>
              <w:rPr>
                <w:b/>
                <w:bCs/>
                <w:color w:val="FFFFFF"/>
              </w:rPr>
              <w:t>FINAL RECOMMENDATION</w:t>
            </w:r>
          </w:p>
        </w:tc>
        <w:tc>
          <w:tcPr>
            <w:tcW w:w="2200" w:type="dxa"/>
            <w:tcBorders>
              <w:top w:val="single" w:sz="4" w:space="0" w:color="C5D8ED"/>
              <w:left w:val="single" w:sz="4" w:space="0" w:color="C5D8ED"/>
              <w:bottom w:val="single" w:sz="4" w:space="0" w:color="C5D8ED"/>
              <w:right w:val="single" w:sz="4" w:space="0" w:color="C5D8ED"/>
            </w:tcBorders>
            <w:shd w:val="clear" w:color="auto" w:fill="1B3A6B"/>
            <w:tcMar>
              <w:top w:w="80" w:type="dxa"/>
              <w:left w:w="120" w:type="dxa"/>
              <w:bottom w:w="80" w:type="dxa"/>
              <w:right w:w="120" w:type="dxa"/>
            </w:tcMar>
          </w:tcPr>
          <w:p w14:paraId="1C5BAC3F" w14:textId="77777777" w:rsidR="004E58A2" w:rsidRDefault="00000000">
            <w:pPr>
              <w:jc w:val="center"/>
            </w:pPr>
            <w:r>
              <w:rPr>
                <w:b/>
                <w:bCs/>
                <w:color w:val="FFFFFF"/>
              </w:rPr>
              <w:t>BUY</w:t>
            </w:r>
          </w:p>
        </w:tc>
        <w:tc>
          <w:tcPr>
            <w:tcW w:w="3660" w:type="dxa"/>
            <w:tcBorders>
              <w:top w:val="single" w:sz="4" w:space="0" w:color="C5D8ED"/>
              <w:left w:val="single" w:sz="4" w:space="0" w:color="C5D8ED"/>
              <w:bottom w:val="single" w:sz="4" w:space="0" w:color="C5D8ED"/>
              <w:right w:val="single" w:sz="4" w:space="0" w:color="C5D8ED"/>
            </w:tcBorders>
            <w:shd w:val="clear" w:color="auto" w:fill="1B3A6B"/>
            <w:tcMar>
              <w:top w:w="80" w:type="dxa"/>
              <w:left w:w="120" w:type="dxa"/>
              <w:bottom w:w="80" w:type="dxa"/>
              <w:right w:w="120" w:type="dxa"/>
            </w:tcMar>
          </w:tcPr>
          <w:p w14:paraId="03EBAB3B" w14:textId="77777777" w:rsidR="004E58A2" w:rsidRDefault="00000000">
            <w:pPr>
              <w:jc w:val="center"/>
            </w:pPr>
            <w:r>
              <w:rPr>
                <w:b/>
                <w:bCs/>
                <w:color w:val="FFFFFF"/>
              </w:rPr>
              <w:t>3–4% Position | 12–24 Months</w:t>
            </w:r>
          </w:p>
        </w:tc>
      </w:tr>
    </w:tbl>
    <w:p w14:paraId="4D385530" w14:textId="77777777" w:rsidR="004E58A2" w:rsidRDefault="004E58A2">
      <w:pPr>
        <w:spacing w:after="120"/>
      </w:pPr>
    </w:p>
    <w:p w14:paraId="0528F10A" w14:textId="77777777" w:rsidR="004E58A2" w:rsidRDefault="00000000">
      <w:pPr>
        <w:pStyle w:val="Heading2"/>
        <w:spacing w:before="260"/>
      </w:pPr>
      <w:r>
        <w:t>Catalysts to Watch (12–24 Months)</w:t>
      </w:r>
    </w:p>
    <w:p w14:paraId="0EB3D039" w14:textId="77777777" w:rsidR="004E58A2" w:rsidRDefault="00000000">
      <w:pPr>
        <w:pStyle w:val="ListParagraph"/>
        <w:numPr>
          <w:ilvl w:val="0"/>
          <w:numId w:val="2"/>
        </w:numPr>
        <w:spacing w:after="80"/>
      </w:pPr>
      <w:r>
        <w:rPr>
          <w:color w:val="111111"/>
        </w:rPr>
        <w:t>Q1 2026 Earnings (May 2026): First full quarter of guidance execution; material weakness remediation update; HVS mix trajectory and Engineering margin recovery</w:t>
      </w:r>
    </w:p>
    <w:p w14:paraId="2347C80A" w14:textId="77777777" w:rsidR="004E58A2" w:rsidRDefault="00000000">
      <w:pPr>
        <w:pStyle w:val="ListParagraph"/>
        <w:numPr>
          <w:ilvl w:val="0"/>
          <w:numId w:val="2"/>
        </w:numPr>
        <w:spacing w:after="80"/>
      </w:pPr>
      <w:r>
        <w:rPr>
          <w:color w:val="111111"/>
        </w:rPr>
        <w:t>Fishers + Latina Ramp: Capacity utilization milestones signaling ROIC inflection — target &gt;8% ROIC by FY2027</w:t>
      </w:r>
    </w:p>
    <w:p w14:paraId="13D1FD5B" w14:textId="77777777" w:rsidR="004E58A2" w:rsidRDefault="00000000">
      <w:pPr>
        <w:pStyle w:val="ListParagraph"/>
        <w:numPr>
          <w:ilvl w:val="0"/>
          <w:numId w:val="2"/>
        </w:numPr>
        <w:spacing w:after="80"/>
      </w:pPr>
      <w:r>
        <w:rPr>
          <w:color w:val="111111"/>
        </w:rPr>
        <w:t>GLP-1 Biosimilar Commercial Launch: Full commercial ramp of EZ-fill cartridge for first FDA-approved GLP-1 biosimilar — validates preferred provider positioning and quantifies the revenue opportunity</w:t>
      </w:r>
    </w:p>
    <w:p w14:paraId="79F137BD" w14:textId="77777777" w:rsidR="004E58A2" w:rsidRDefault="00000000">
      <w:pPr>
        <w:pStyle w:val="ListParagraph"/>
        <w:numPr>
          <w:ilvl w:val="0"/>
          <w:numId w:val="2"/>
        </w:numPr>
        <w:spacing w:after="80"/>
      </w:pPr>
      <w:r>
        <w:rPr>
          <w:color w:val="111111"/>
        </w:rPr>
        <w:t>Engineering Optimization Completion: Recovery of Engineering gross margin to 15%+ would eliminate consolidated drag and signal successful strategic pivot to visual inspection systems</w:t>
      </w:r>
    </w:p>
    <w:p w14:paraId="35F449E4" w14:textId="77777777" w:rsidR="004E58A2" w:rsidRDefault="00000000">
      <w:pPr>
        <w:pStyle w:val="ListParagraph"/>
        <w:numPr>
          <w:ilvl w:val="0"/>
          <w:numId w:val="2"/>
        </w:numPr>
        <w:spacing w:after="80"/>
      </w:pPr>
      <w:r>
        <w:rPr>
          <w:color w:val="111111"/>
        </w:rPr>
        <w:t>Material Weakness Remediation: Formal remediation disclosure (expected H1 2026) removes the key governance overhang and could re-rate the stock toward analyst price targets</w:t>
      </w:r>
    </w:p>
    <w:p w14:paraId="77C38FF5" w14:textId="77777777" w:rsidR="004E58A2" w:rsidRDefault="004E58A2">
      <w:pPr>
        <w:spacing w:after="80"/>
      </w:pPr>
    </w:p>
    <w:p w14:paraId="2476ABEE" w14:textId="77777777" w:rsidR="004E58A2" w:rsidRDefault="00000000">
      <w:pPr>
        <w:spacing w:after="120"/>
      </w:pPr>
      <w:r>
        <w:rPr>
          <w:color w:val="111111"/>
        </w:rPr>
        <w:t xml:space="preserve">One-sentence conviction: BUY </w:t>
      </w:r>
      <w:proofErr w:type="spellStart"/>
      <w:r>
        <w:rPr>
          <w:color w:val="111111"/>
        </w:rPr>
        <w:t>Stevanato</w:t>
      </w:r>
      <w:proofErr w:type="spellEnd"/>
      <w:r>
        <w:rPr>
          <w:color w:val="111111"/>
        </w:rPr>
        <w:t xml:space="preserve"> Group (STVN) with high conviction at ~$15.41 — a Structural Moat Leader (EMT 13/16) trading at 12.5x 2026E EV/EBITDA versus a 20–30x peer band, with a 12–24 month path to 65%+ upside as capacity utilization, ROIC recovery, and material weakness remediation remove the three key overhangs that have driven the stock from $28.00 to $14.74.</w:t>
      </w:r>
    </w:p>
    <w:p w14:paraId="77AEA219" w14:textId="77777777" w:rsidR="004E58A2" w:rsidRDefault="004E58A2">
      <w:pPr>
        <w:spacing w:after="200"/>
      </w:pPr>
    </w:p>
    <w:p w14:paraId="018D94B8" w14:textId="77777777" w:rsidR="004E58A2" w:rsidRDefault="00000000">
      <w:pPr>
        <w:spacing w:after="80"/>
        <w:jc w:val="center"/>
      </w:pPr>
      <w:r>
        <w:rPr>
          <w:color w:val="C5D8ED"/>
          <w:sz w:val="20"/>
          <w:szCs w:val="20"/>
        </w:rPr>
        <w:t>─────────────────────────────────────────────────────</w:t>
      </w:r>
    </w:p>
    <w:p w14:paraId="2F8EFF3B" w14:textId="77777777" w:rsidR="004E58A2" w:rsidRDefault="00000000">
      <w:pPr>
        <w:jc w:val="center"/>
      </w:pPr>
      <w:r>
        <w:rPr>
          <w:i/>
          <w:iCs/>
          <w:color w:val="555555"/>
          <w:sz w:val="18"/>
          <w:szCs w:val="18"/>
        </w:rPr>
        <w:t xml:space="preserve">Prepared March 13, </w:t>
      </w:r>
      <w:proofErr w:type="gramStart"/>
      <w:r>
        <w:rPr>
          <w:i/>
          <w:iCs/>
          <w:color w:val="555555"/>
          <w:sz w:val="18"/>
          <w:szCs w:val="18"/>
        </w:rPr>
        <w:t>2026</w:t>
      </w:r>
      <w:proofErr w:type="gramEnd"/>
      <w:r>
        <w:rPr>
          <w:i/>
          <w:iCs/>
          <w:color w:val="555555"/>
          <w:sz w:val="18"/>
          <w:szCs w:val="18"/>
        </w:rPr>
        <w:t xml:space="preserve"> | Framework: Bustamante-Stoffel Biopharma Enabler Picks-and-Shovels v1.0 | Pre-fact-check draft — Verification pass required</w:t>
      </w:r>
    </w:p>
    <w:sectPr w:rsidR="004E58A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D23A0"/>
    <w:multiLevelType w:val="hybridMultilevel"/>
    <w:tmpl w:val="B9FC72E4"/>
    <w:lvl w:ilvl="0" w:tplc="1AEE8BA4">
      <w:start w:val="1"/>
      <w:numFmt w:val="bullet"/>
      <w:lvlText w:val="●"/>
      <w:lvlJc w:val="left"/>
      <w:pPr>
        <w:ind w:left="720" w:hanging="360"/>
      </w:pPr>
    </w:lvl>
    <w:lvl w:ilvl="1" w:tplc="A9780EA8">
      <w:start w:val="1"/>
      <w:numFmt w:val="bullet"/>
      <w:lvlText w:val="○"/>
      <w:lvlJc w:val="left"/>
      <w:pPr>
        <w:ind w:left="1440" w:hanging="360"/>
      </w:pPr>
    </w:lvl>
    <w:lvl w:ilvl="2" w:tplc="9A5E9ADA">
      <w:start w:val="1"/>
      <w:numFmt w:val="bullet"/>
      <w:lvlText w:val="■"/>
      <w:lvlJc w:val="left"/>
      <w:pPr>
        <w:ind w:left="2160" w:hanging="360"/>
      </w:pPr>
    </w:lvl>
    <w:lvl w:ilvl="3" w:tplc="0E6A6CC8">
      <w:start w:val="1"/>
      <w:numFmt w:val="bullet"/>
      <w:lvlText w:val="●"/>
      <w:lvlJc w:val="left"/>
      <w:pPr>
        <w:ind w:left="2880" w:hanging="360"/>
      </w:pPr>
    </w:lvl>
    <w:lvl w:ilvl="4" w:tplc="B62401C6">
      <w:start w:val="1"/>
      <w:numFmt w:val="bullet"/>
      <w:lvlText w:val="○"/>
      <w:lvlJc w:val="left"/>
      <w:pPr>
        <w:ind w:left="3600" w:hanging="360"/>
      </w:pPr>
    </w:lvl>
    <w:lvl w:ilvl="5" w:tplc="89E6D106">
      <w:start w:val="1"/>
      <w:numFmt w:val="bullet"/>
      <w:lvlText w:val="■"/>
      <w:lvlJc w:val="left"/>
      <w:pPr>
        <w:ind w:left="4320" w:hanging="360"/>
      </w:pPr>
    </w:lvl>
    <w:lvl w:ilvl="6" w:tplc="61A46FF8">
      <w:start w:val="1"/>
      <w:numFmt w:val="bullet"/>
      <w:lvlText w:val="●"/>
      <w:lvlJc w:val="left"/>
      <w:pPr>
        <w:ind w:left="5040" w:hanging="360"/>
      </w:pPr>
    </w:lvl>
    <w:lvl w:ilvl="7" w:tplc="EBC0B8F4">
      <w:start w:val="1"/>
      <w:numFmt w:val="bullet"/>
      <w:lvlText w:val="●"/>
      <w:lvlJc w:val="left"/>
      <w:pPr>
        <w:ind w:left="5760" w:hanging="360"/>
      </w:pPr>
    </w:lvl>
    <w:lvl w:ilvl="8" w:tplc="FFD8B934">
      <w:start w:val="1"/>
      <w:numFmt w:val="bullet"/>
      <w:lvlText w:val="●"/>
      <w:lvlJc w:val="left"/>
      <w:pPr>
        <w:ind w:left="6480" w:hanging="360"/>
      </w:pPr>
    </w:lvl>
  </w:abstractNum>
  <w:abstractNum w:abstractNumId="1" w15:restartNumberingAfterBreak="0">
    <w:nsid w:val="5E315725"/>
    <w:multiLevelType w:val="hybridMultilevel"/>
    <w:tmpl w:val="C33ED1FA"/>
    <w:lvl w:ilvl="0" w:tplc="10C0058C">
      <w:start w:val="1"/>
      <w:numFmt w:val="bullet"/>
      <w:lvlText w:val="•"/>
      <w:lvlJc w:val="left"/>
      <w:pPr>
        <w:ind w:left="720" w:hanging="360"/>
      </w:pPr>
    </w:lvl>
    <w:lvl w:ilvl="1" w:tplc="35D6A358">
      <w:numFmt w:val="decimal"/>
      <w:lvlText w:val=""/>
      <w:lvlJc w:val="left"/>
    </w:lvl>
    <w:lvl w:ilvl="2" w:tplc="E2B4CAC2">
      <w:numFmt w:val="decimal"/>
      <w:lvlText w:val=""/>
      <w:lvlJc w:val="left"/>
    </w:lvl>
    <w:lvl w:ilvl="3" w:tplc="336AB036">
      <w:numFmt w:val="decimal"/>
      <w:lvlText w:val=""/>
      <w:lvlJc w:val="left"/>
    </w:lvl>
    <w:lvl w:ilvl="4" w:tplc="852A3D08">
      <w:numFmt w:val="decimal"/>
      <w:lvlText w:val=""/>
      <w:lvlJc w:val="left"/>
    </w:lvl>
    <w:lvl w:ilvl="5" w:tplc="F0D25A46">
      <w:numFmt w:val="decimal"/>
      <w:lvlText w:val=""/>
      <w:lvlJc w:val="left"/>
    </w:lvl>
    <w:lvl w:ilvl="6" w:tplc="BD82B2AA">
      <w:numFmt w:val="decimal"/>
      <w:lvlText w:val=""/>
      <w:lvlJc w:val="left"/>
    </w:lvl>
    <w:lvl w:ilvl="7" w:tplc="DBB070DA">
      <w:numFmt w:val="decimal"/>
      <w:lvlText w:val=""/>
      <w:lvlJc w:val="left"/>
    </w:lvl>
    <w:lvl w:ilvl="8" w:tplc="BCCED036">
      <w:numFmt w:val="decimal"/>
      <w:lvlText w:val=""/>
      <w:lvlJc w:val="left"/>
    </w:lvl>
  </w:abstractNum>
  <w:abstractNum w:abstractNumId="2" w15:restartNumberingAfterBreak="0">
    <w:nsid w:val="62B91B03"/>
    <w:multiLevelType w:val="hybridMultilevel"/>
    <w:tmpl w:val="09C4EB4A"/>
    <w:lvl w:ilvl="0" w:tplc="0862D506">
      <w:start w:val="1"/>
      <w:numFmt w:val="bullet"/>
      <w:lvlText w:val="–"/>
      <w:lvlJc w:val="left"/>
      <w:pPr>
        <w:ind w:left="1080" w:hanging="360"/>
      </w:pPr>
    </w:lvl>
    <w:lvl w:ilvl="1" w:tplc="D1CE4B1C">
      <w:numFmt w:val="decimal"/>
      <w:lvlText w:val=""/>
      <w:lvlJc w:val="left"/>
    </w:lvl>
    <w:lvl w:ilvl="2" w:tplc="D158B286">
      <w:numFmt w:val="decimal"/>
      <w:lvlText w:val=""/>
      <w:lvlJc w:val="left"/>
    </w:lvl>
    <w:lvl w:ilvl="3" w:tplc="366E970A">
      <w:numFmt w:val="decimal"/>
      <w:lvlText w:val=""/>
      <w:lvlJc w:val="left"/>
    </w:lvl>
    <w:lvl w:ilvl="4" w:tplc="E54EA0FA">
      <w:numFmt w:val="decimal"/>
      <w:lvlText w:val=""/>
      <w:lvlJc w:val="left"/>
    </w:lvl>
    <w:lvl w:ilvl="5" w:tplc="1938C290">
      <w:numFmt w:val="decimal"/>
      <w:lvlText w:val=""/>
      <w:lvlJc w:val="left"/>
    </w:lvl>
    <w:lvl w:ilvl="6" w:tplc="99C21B86">
      <w:numFmt w:val="decimal"/>
      <w:lvlText w:val=""/>
      <w:lvlJc w:val="left"/>
    </w:lvl>
    <w:lvl w:ilvl="7" w:tplc="28DCC7CC">
      <w:numFmt w:val="decimal"/>
      <w:lvlText w:val=""/>
      <w:lvlJc w:val="left"/>
    </w:lvl>
    <w:lvl w:ilvl="8" w:tplc="898097E0">
      <w:numFmt w:val="decimal"/>
      <w:lvlText w:val=""/>
      <w:lvlJc w:val="left"/>
    </w:lvl>
  </w:abstractNum>
  <w:num w:numId="1" w16cid:durableId="445194117">
    <w:abstractNumId w:val="0"/>
    <w:lvlOverride w:ilvl="0">
      <w:startOverride w:val="1"/>
    </w:lvlOverride>
  </w:num>
  <w:num w:numId="2" w16cid:durableId="1405448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8A2"/>
    <w:rsid w:val="003A183B"/>
    <w:rsid w:val="004E58A2"/>
    <w:rsid w:val="008677F9"/>
    <w:rsid w:val="0099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B535"/>
  <w15:docId w15:val="{4912C054-A1F7-4AE2-9F39-A27BA7CC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6"/>
      <w:szCs w:val="36"/>
    </w:rPr>
  </w:style>
  <w:style w:type="paragraph" w:styleId="Heading2">
    <w:name w:val="heading 2"/>
    <w:uiPriority w:val="9"/>
    <w:unhideWhenUsed/>
    <w:qFormat/>
    <w:pPr>
      <w:spacing w:before="240" w:after="120"/>
      <w:outlineLvl w:val="1"/>
    </w:pPr>
    <w:rPr>
      <w:b/>
      <w:bCs/>
      <w:color w:val="2E60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3882</Words>
  <Characters>23295</Characters>
  <Application>Microsoft Office Word</Application>
  <DocSecurity>0</DocSecurity>
  <Lines>715</Lines>
  <Paragraphs>361</Paragraphs>
  <ScaleCrop>false</ScaleCrop>
  <Company/>
  <LinksUpToDate>false</LinksUpToDate>
  <CharactersWithSpaces>26878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2026-03-13T08:20:00Z</dcterms:created>
  <dcterms:modified xsi:type="dcterms:W3CDTF">2026-03-13T08:20:00Z</dcterms:modified>
</cp:coreProperties>
</file>