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3"/>
              <w:left w:val="single" w:color="1B3A5C" w:sz="3"/>
              <w:bottom w:val="single" w:color="1B3A5C" w:sz="3"/>
              <w:right w:val="single" w:color="1B3A5C" w:sz="3"/>
            </w:tcBorders>
            <w:shd w:fill="1B3A5C" w:val="clear"/>
            <w:tcMar>
              <w:top w:type="dxa" w:w="200"/>
              <w:left w:type="dxa" w:w="200"/>
              <w:bottom w:type="dxa" w:w="200"/>
              <w:right w:type="dxa" w:w="200"/>
            </w:tcMar>
          </w:tcPr>
          <w:p>
            <w:pPr>
              <w:spacing w:after="80"/>
              <w:jc w:val="center"/>
            </w:pPr>
            <w:r>
              <w:rPr>
                <w:rFonts w:ascii="Arial" w:cs="Arial" w:eastAsia="Arial" w:hAnsi="Arial"/>
                <w:b/>
                <w:bCs/>
                <w:color w:val="FFFFFF"/>
                <w:sz w:val="36"/>
                <w:szCs w:val="36"/>
              </w:rPr>
              <w:t xml:space="preserve">TRANSDIGM GROUP (NYSE: TDG)</w:t>
            </w:r>
          </w:p>
          <w:p>
            <w:pPr>
              <w:spacing w:after="80"/>
              <w:jc w:val="center"/>
            </w:pPr>
            <w:r>
              <w:rPr>
                <w:rFonts w:ascii="Arial" w:cs="Arial" w:eastAsia="Arial" w:hAnsi="Arial"/>
                <w:color w:val="B8D4E8"/>
                <w:sz w:val="24"/>
                <w:szCs w:val="24"/>
              </w:rPr>
              <w:t xml:space="preserve">AEROSPACE SERIAL ACQUIRER ANTIFRAGILITY ASSESSMENT</w:t>
            </w:r>
          </w:p>
          <w:p>
            <w:pPr>
              <w:spacing w:after="40"/>
              <w:jc w:val="center"/>
            </w:pPr>
            <w:r>
              <w:rPr>
                <w:rFonts w:ascii="Arial" w:cs="Arial" w:eastAsia="Arial" w:hAnsi="Arial"/>
                <w:i/>
                <w:iCs/>
                <w:color w:val="B8D4E8"/>
                <w:sz w:val="18"/>
                <w:szCs w:val="18"/>
              </w:rPr>
              <w:t xml:space="preserve">Hybrid Framework v1.0: Bustamante MDI + EVA/ROIIC Value Creation + Sole-Source Moat Index</w:t>
            </w:r>
          </w:p>
          <w:p>
            <w:pPr>
              <w:jc w:val="center"/>
            </w:pPr>
            <w:r>
              <w:rPr>
                <w:rFonts w:ascii="Arial" w:cs="Arial" w:eastAsia="Arial" w:hAnsi="Arial"/>
                <w:color w:val="FFFFFF"/>
                <w:sz w:val="18"/>
                <w:szCs w:val="18"/>
              </w:rPr>
              <w:t xml:space="preserve">March 26, 2026</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after="60"/>
              <w:jc w:val="center"/>
            </w:pPr>
            <w:r>
              <w:rPr>
                <w:rFonts w:ascii="Arial" w:cs="Arial" w:eastAsia="Arial" w:hAnsi="Arial"/>
                <w:b/>
                <w:bCs/>
                <w:color w:val="2E7D32"/>
                <w:sz w:val="24"/>
                <w:szCs w:val="24"/>
              </w:rPr>
              <w:t xml:space="preserve">FINAL CLASSIFICATION: ROBUST-TO-ANTIFRAGILE AEROSPACE COMPOUNDER</w:t>
            </w:r>
          </w:p>
          <w:p>
            <w:pPr>
              <w:jc w:val="center"/>
            </w:pPr>
            <w:r>
              <w:rPr>
                <w:rFonts w:ascii="Arial" w:cs="Arial" w:eastAsia="Arial" w:hAnsi="Arial"/>
                <w:color w:val="333333"/>
                <w:sz w:val="20"/>
                <w:szCs w:val="20"/>
              </w:rPr>
              <w:t xml:space="preserve">Final Composite: 7.65 / 10.0 | SSMI Pre-Screen: 6/7 (FORTRESS) | ROIC-WACC: +8.3% | EBITDA Margin: 53.9%</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 (FY2025)</w:t>
            </w:r>
          </w:p>
        </w:tc>
        <w:tc>
          <w:tcPr>
            <w:tcW w:type="dxa" w:w="194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EBITDA / Margin</w:t>
            </w:r>
          </w:p>
        </w:tc>
        <w:tc>
          <w:tcPr>
            <w:tcW w:type="dxa" w:w="194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Net Leverage</w:t>
            </w:r>
          </w:p>
        </w:tc>
        <w:tc>
          <w:tcPr>
            <w:tcW w:type="dxa" w:w="194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Sole-Source %</w:t>
            </w:r>
          </w:p>
        </w:tc>
        <w:tc>
          <w:tcPr>
            <w:tcW w:type="dxa" w:w="194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Aftermarket %</w:t>
            </w:r>
          </w:p>
        </w:tc>
      </w:tr>
      <w:tr>
        <w:tc>
          <w:tcPr>
            <w:tcW w:type="dxa" w:w="19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$8.80B (+11%)</w:t>
            </w:r>
          </w:p>
        </w:tc>
        <w:tc>
          <w:tcPr>
            <w:tcW w:type="dxa" w:w="19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$4,568M / 53.9%</w:t>
            </w:r>
          </w:p>
        </w:tc>
        <w:tc>
          <w:tcPr>
            <w:tcW w:type="dxa" w:w="19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5.8x EBITDA</w:t>
            </w:r>
          </w:p>
        </w:tc>
        <w:tc>
          <w:tcPr>
            <w:tcW w:type="dxa" w:w="19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~80%</w:t>
            </w:r>
          </w:p>
        </w:tc>
        <w:tc>
          <w:tcPr>
            <w:tcW w:type="dxa" w:w="19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~55-60%</w:t>
            </w:r>
          </w:p>
        </w:tc>
      </w:tr>
    </w:tbl>
    <w:p>
      <w:pPr>
        <w:spacing w:after="80"/>
      </w:pPr>
    </w:p>
    <w:p>
      <w:pPr>
        <w:pStyle w:val="Heading1"/>
        <w:spacing w:after="200" w:before="360"/>
      </w:pPr>
      <w:r>
        <w:rPr>
          <w:rFonts w:ascii="Arial" w:cs="Arial" w:eastAsia="Arial" w:hAnsi="Arial"/>
        </w:rPr>
        <w:t xml:space="preserve">FRAMEWORK OVERVIEW: AEROSPACE SERIAL ACQUIRER v1.0</w:t>
      </w:r>
    </w:p>
    <w:p>
      <w:pPr>
        <w:spacing w:after="120"/>
      </w:pPr>
      <w:r>
        <w:rPr>
          <w:rFonts w:ascii="Arial" w:cs="Arial" w:eastAsia="Arial" w:hAnsi="Arial"/>
          <w:sz w:val="22"/>
          <w:szCs w:val="22"/>
        </w:rPr>
        <w:t xml:space="preserve">This framework is purpose-built for decentralized serial acquirers of proprietary aerospace and defense components. It synthesizes three proven analytical lenses:</w:t>
      </w:r>
    </w:p>
    <w:p>
      <w:pPr>
        <w:spacing w:after="80"/>
      </w:pPr>
    </w:p>
    <w:p>
      <w:pPr>
        <w:pStyle w:val="ListParagraph"/>
        <w:numPr>
          <w:ilvl w:val="0"/>
          <w:numId w:val="2"/>
        </w:numPr>
        <w:spacing w:after="60"/>
      </w:pPr>
      <w:r>
        <w:rPr>
          <w:rFonts w:ascii="Arial" w:cs="Arial" w:eastAsia="Arial" w:hAnsi="Arial"/>
          <w:sz w:val="22"/>
          <w:szCs w:val="22"/>
        </w:rPr>
        <w:t xml:space="preserve">Bustamante Moat Destruction Index (adapted): Rewritten from the SaaS 10-moat taxonomy into a 7-moat Sole-Source Moat Index (SSMI) specific to aerospace aftermarket dynamics. Tests which moats are structural (FAA certification, installed base lock-in, platform lifecycle) vs. potentially eroding (pricing power under regulatory scrutiny, PMA competition).</w:t>
      </w:r>
    </w:p>
    <w:p>
      <w:pPr>
        <w:pStyle w:val="ListParagraph"/>
        <w:numPr>
          <w:ilvl w:val="0"/>
          <w:numId w:val="2"/>
        </w:numPr>
        <w:spacing w:after="60"/>
      </w:pPr>
      <w:r>
        <w:rPr>
          <w:rFonts w:ascii="Arial" w:cs="Arial" w:eastAsia="Arial" w:hAnsi="Arial"/>
          <w:sz w:val="22"/>
          <w:szCs w:val="22"/>
        </w:rPr>
        <w:t xml:space="preserve">EVA x ROIC x ROIIC Value Creation Engine (from Infrastructure Compounder framework): Tests whether the acquisition engine generates returns above cost of capital, whether incremental invested capital (M&amp;A) is deployed at attractive ROIIC, and whether the compounding identity holds.</w:t>
      </w:r>
    </w:p>
    <w:p>
      <w:pPr>
        <w:pStyle w:val="ListParagraph"/>
        <w:numPr>
          <w:ilvl w:val="0"/>
          <w:numId w:val="2"/>
        </w:numPr>
        <w:spacing w:after="60"/>
      </w:pPr>
      <w:r>
        <w:rPr>
          <w:rFonts w:ascii="Arial" w:cs="Arial" w:eastAsia="Arial" w:hAnsi="Arial"/>
          <w:sz w:val="22"/>
          <w:szCs w:val="22"/>
        </w:rPr>
        <w:t xml:space="preserve">Antifragility Modifier (adapted): Tests whether stress vectors (aviation downturns, defense budget cuts, supply chain disruption, regulatory pressure) strengthen or weaken the company's competitive position over time.</w:t>
      </w:r>
    </w:p>
    <w:p>
      <w:pPr>
        <w:spacing w:after="80"/>
      </w:pPr>
    </w:p>
    <w:p>
      <w:pPr>
        <w:spacing w:after="120"/>
      </w:pPr>
      <w:r>
        <w:rPr>
          <w:rFonts w:ascii="Arial" w:cs="Arial" w:eastAsia="Arial" w:hAnsi="Arial"/>
          <w:sz w:val="22"/>
          <w:szCs w:val="22"/>
        </w:rPr>
        <w:t xml:space="preserve">Core Thesis: An aerospace serial acquirer is antifragile when its portfolio of sole-source, proprietary aftermarket positions generates predictable cash flows that survive aviation downturns (because aircraft still fly and still need parts), while the acquisition engine exploits stress periods (distressed sellers, cheaper deal pricing) to compound intrinsic value. The key tension: the same aggressive aftermarket pricing that generates 50%+ EBITDA margins also creates the political and regulatory risk that could erode the moat.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43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Raw 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ROIC-WACC Req.</w:t>
            </w:r>
          </w:p>
        </w:tc>
        <w:tc>
          <w:tcPr>
            <w:tcW w:type="dxa" w:w="4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Antifragile Compounder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10%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Durable sole-source moat, high ROIIC, secular tailwinds. Size 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Robust Acquirer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5.0-7.49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economics but moat under some pressure. Size 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Cyclical Supplier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3.0-4.99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Positive EVA but exposed to cycle or regulatory risk. Size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Value Trap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Negative EVA or structural moat erosion. Avoid.</w:t>
            </w:r>
          </w:p>
        </w:tc>
      </w:tr>
    </w:tbl>
    <w:p>
      <w:r>
        <w:br w:type="page"/>
      </w:r>
    </w:p>
    <w:p>
      <w:pPr>
        <w:pStyle w:val="Heading1"/>
        <w:spacing w:after="200" w:before="360"/>
      </w:pPr>
      <w:r>
        <w:rPr>
          <w:rFonts w:ascii="Arial" w:cs="Arial" w:eastAsia="Arial" w:hAnsi="Arial"/>
        </w:rPr>
        <w:t xml:space="preserve">STAGE 1: SOLE-SOURCE MOAT INDEX (SSMI) PRE-SCREEN</w:t>
      </w:r>
    </w:p>
    <w:p>
      <w:pPr>
        <w:spacing w:after="120"/>
      </w:pPr>
      <w:r>
        <w:rPr>
          <w:rFonts w:ascii="Arial" w:cs="Arial" w:eastAsia="Arial" w:hAnsi="Arial"/>
          <w:sz w:val="22"/>
          <w:szCs w:val="22"/>
        </w:rPr>
        <w:t xml:space="preserve">The SSMI replaces the Bustamante MDI for aerospace serial acquirers. In software, the moat question is whether AI destroys switching costs. In aerospace aftermarket, the moat question is whether regulatory, certification, and installed-base barriers maintain sole-source pricing power. The 7 moats below are the aerospace-specific equivalents of the Bustamante taxonomy.</w:t>
      </w:r>
    </w:p>
    <w:p>
      <w:pPr>
        <w:spacing w:after="80"/>
      </w:pPr>
    </w:p>
    <w:p>
      <w:pPr>
        <w:pStyle w:val="Heading2"/>
        <w:spacing w:after="160" w:before="280"/>
      </w:pPr>
      <w:r>
        <w:rPr>
          <w:rFonts w:ascii="Arial" w:cs="Arial" w:eastAsia="Arial" w:hAnsi="Arial"/>
        </w:rPr>
        <w:t xml:space="preserve">COMPANY INPUTS</w:t>
      </w:r>
    </w:p>
    <w:p>
      <w:pPr>
        <w:pStyle w:val="ListParagraph"/>
        <w:numPr>
          <w:ilvl w:val="0"/>
          <w:numId w:val="3"/>
        </w:numPr>
        <w:spacing w:after="60"/>
      </w:pPr>
      <w:r>
        <w:rPr>
          <w:rFonts w:ascii="Arial" w:cs="Arial" w:eastAsia="Arial" w:hAnsi="Arial"/>
          <w:sz w:val="22"/>
          <w:szCs w:val="22"/>
        </w:rPr>
        <w:t xml:space="preserve">Company: TransDigm Group Incorporated (NYSE: TDG)</w:t>
      </w:r>
    </w:p>
    <w:p>
      <w:pPr>
        <w:pStyle w:val="ListParagraph"/>
        <w:numPr>
          <w:ilvl w:val="0"/>
          <w:numId w:val="3"/>
        </w:numPr>
        <w:spacing w:after="60"/>
      </w:pPr>
      <w:r>
        <w:rPr>
          <w:rFonts w:ascii="Arial" w:cs="Arial" w:eastAsia="Arial" w:hAnsi="Arial"/>
          <w:sz w:val="22"/>
          <w:szCs w:val="22"/>
        </w:rPr>
        <w:t xml:space="preserve">Founded: 1993 by W. Nicholas Howley (private equity background, Kelso &amp; Company)</w:t>
      </w:r>
    </w:p>
    <w:p>
      <w:pPr>
        <w:pStyle w:val="ListParagraph"/>
        <w:numPr>
          <w:ilvl w:val="0"/>
          <w:numId w:val="3"/>
        </w:numPr>
        <w:spacing w:after="60"/>
      </w:pPr>
      <w:r>
        <w:rPr>
          <w:rFonts w:ascii="Arial" w:cs="Arial" w:eastAsia="Arial" w:hAnsi="Arial"/>
          <w:sz w:val="22"/>
          <w:szCs w:val="22"/>
        </w:rPr>
        <w:t xml:space="preserve">IPO: 2006 on NYSE</w:t>
      </w:r>
    </w:p>
    <w:p>
      <w:pPr>
        <w:pStyle w:val="ListParagraph"/>
        <w:numPr>
          <w:ilvl w:val="0"/>
          <w:numId w:val="3"/>
        </w:numPr>
        <w:spacing w:after="60"/>
      </w:pPr>
      <w:r>
        <w:rPr>
          <w:rFonts w:ascii="Arial" w:cs="Arial" w:eastAsia="Arial" w:hAnsi="Arial"/>
          <w:sz w:val="22"/>
          <w:szCs w:val="22"/>
        </w:rPr>
        <w:t xml:space="preserve">Headquarters: Cleveland, Ohio</w:t>
      </w:r>
    </w:p>
    <w:p>
      <w:pPr>
        <w:pStyle w:val="ListParagraph"/>
        <w:numPr>
          <w:ilvl w:val="0"/>
          <w:numId w:val="3"/>
        </w:numPr>
        <w:spacing w:after="60"/>
      </w:pPr>
      <w:r>
        <w:rPr>
          <w:rFonts w:ascii="Arial" w:cs="Arial" w:eastAsia="Arial" w:hAnsi="Arial"/>
          <w:sz w:val="22"/>
          <w:szCs w:val="22"/>
        </w:rPr>
        <w:t xml:space="preserve">Employees: ~15,000 (across 51 operating units)</w:t>
      </w:r>
    </w:p>
    <w:p>
      <w:pPr>
        <w:pStyle w:val="ListParagraph"/>
        <w:numPr>
          <w:ilvl w:val="0"/>
          <w:numId w:val="3"/>
        </w:numPr>
        <w:spacing w:after="60"/>
      </w:pPr>
      <w:r>
        <w:rPr>
          <w:rFonts w:ascii="Arial" w:cs="Arial" w:eastAsia="Arial" w:hAnsi="Arial"/>
          <w:sz w:val="22"/>
          <w:szCs w:val="22"/>
        </w:rPr>
        <w:t xml:space="preserve">Business Model: Acquires, holds permanently, and manages highly engineered, proprietary aerospace components. Three segments: Power &amp; Control (~51% of rev), Airframe (~33%), Non-Aviation (~16%). Revenue mix: ~55-60% aftermarket, ~28% commercial OEM, ~12-14% defense.</w:t>
      </w:r>
    </w:p>
    <w:p>
      <w:pPr>
        <w:pStyle w:val="ListParagraph"/>
        <w:numPr>
          <w:ilvl w:val="0"/>
          <w:numId w:val="3"/>
        </w:numPr>
        <w:spacing w:after="60"/>
      </w:pPr>
      <w:r>
        <w:rPr>
          <w:rFonts w:ascii="Arial" w:cs="Arial" w:eastAsia="Arial" w:hAnsi="Arial"/>
          <w:sz w:val="22"/>
          <w:szCs w:val="22"/>
        </w:rPr>
        <w:t xml:space="preserve">Revenue Model: ~90% proprietary designs, ~80% sole-source. Aftermarket revenue is the crown jewel: high-margin, recurring-in-nature (aircraft fly 25-30 years), with captive customers.</w:t>
      </w:r>
    </w:p>
    <w:p>
      <w:pPr>
        <w:pStyle w:val="ListParagraph"/>
        <w:numPr>
          <w:ilvl w:val="0"/>
          <w:numId w:val="3"/>
        </w:numPr>
        <w:spacing w:after="60"/>
      </w:pPr>
      <w:r>
        <w:rPr>
          <w:rFonts w:ascii="Arial" w:cs="Arial" w:eastAsia="Arial" w:hAnsi="Arial"/>
          <w:sz w:val="22"/>
          <w:szCs w:val="22"/>
        </w:rPr>
        <w:t xml:space="preserve">Recent News: CEO Kevin Stein retired Oct 2025; succeeded by Mike Lisman (former CFO/Co-COO). $90/share special dividend (Sept 2025) funded by $5B debt issuance. FY2025 revenue $8.80B (+11%). EBITDA margin expanded to 53.9%. Net leverage 5.8x.</w:t>
      </w:r>
    </w:p>
    <w:p>
      <w:pPr>
        <w:spacing w:after="80"/>
      </w:pPr>
    </w:p>
    <w:p>
      <w:pPr>
        <w:pStyle w:val="Heading3"/>
        <w:spacing w:after="120" w:before="200"/>
      </w:pPr>
      <w:r>
        <w:rPr>
          <w:rFonts w:ascii="Arial" w:cs="Arial" w:eastAsia="Arial" w:hAnsi="Arial"/>
        </w:rPr>
        <w:t xml:space="preserve">Financial Metrics (FY2025, Year Ended September 30, 2025)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2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FY2025</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FY2024</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$8.80B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$7.91B</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EBITDA As Defined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$4,760M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$4,173M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EBITDA Margin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53.9%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+130 bps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Operating Margin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44.5%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+270 bps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 Income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$2,100M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$1,736M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Cash 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$1,816M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$1,879M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Debt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$25.2B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~$20B</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+$5B (spec. div.)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 Leverage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5.8x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5.1x</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+0.7x</w:t>
            </w:r>
          </w:p>
        </w:tc>
      </w:tr>
    </w:tbl>
    <w:p>
      <w:pPr>
        <w:spacing w:after="80"/>
      </w:pPr>
    </w:p>
    <w:p>
      <w:pPr>
        <w:pStyle w:val="Heading3"/>
        <w:spacing w:after="120" w:before="200"/>
      </w:pPr>
      <w:r>
        <w:rPr>
          <w:rFonts w:ascii="Arial" w:cs="Arial" w:eastAsia="Arial" w:hAnsi="Arial"/>
        </w:rPr>
        <w:t xml:space="preserve">Stock &amp; Valuation (March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4320"/>
      </w:tblGrid>
      <w:tr>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Stock Price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~$1,233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Near all-time highs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 Cap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~$67B</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~56.5M diluted shares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 Value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~$90B</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Including $22.8B net debt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EV/EBITDA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vs. aerospace median ~21.5x</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 (Trailing)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Elevated vs. historical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Forward P/E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FY2026 guidance midpoint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P/FCF</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~38-40x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Based on $1.8B FCF</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FY2026 Revenue Guide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$9.94B</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YoY at midpoint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FY2026 EBITDA Guide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$5.21B</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growth, ~52% margin</w:t>
            </w:r>
          </w:p>
        </w:tc>
      </w:tr>
    </w:tbl>
    <w:p>
      <w:r>
        <w:br w:type="page"/>
      </w:r>
    </w:p>
    <w:p>
      <w:pPr>
        <w:pStyle w:val="Heading2"/>
        <w:spacing w:after="160" w:before="280"/>
      </w:pPr>
      <w:r>
        <w:rPr>
          <w:rFonts w:ascii="Arial" w:cs="Arial" w:eastAsia="Arial" w:hAnsi="Arial"/>
        </w:rPr>
        <w:t xml:space="preserve">SECTION 1: THE 7-MOAT ASSESSMENT</w:t>
      </w:r>
    </w:p>
    <w:p>
      <w:pPr>
        <w:pStyle w:val="Heading3"/>
        <w:spacing w:after="120" w:before="200"/>
      </w:pPr>
      <w:r>
        <w:rPr>
          <w:rFonts w:ascii="Arial" w:cs="Arial" w:eastAsia="Arial" w:hAnsi="Arial"/>
        </w:rPr>
        <w:t xml:space="preserve">MOAT 1: FAA CERTIFICATION BARRIER</w:t>
      </w:r>
    </w:p>
    <w:p>
      <w:pPr>
        <w:spacing w:after="120"/>
      </w:pPr>
      <w:r>
        <w:rPr>
          <w:rFonts w:ascii="Arial" w:cs="Arial" w:eastAsia="Arial" w:hAnsi="Arial"/>
          <w:sz w:val="22"/>
          <w:szCs w:val="22"/>
        </w:rPr>
        <w:t xml:space="preserve">Disruption Vector: PMA Competition / Regulatory Streamlining</w:t>
      </w:r>
    </w:p>
    <w:p>
      <w:pPr>
        <w:spacing w:after="80"/>
      </w:pPr>
    </w:p>
    <w:p>
      <w:pPr>
        <w:spacing w:after="120"/>
      </w:pPr>
      <w:r>
        <w:rPr>
          <w:rFonts w:ascii="Arial" w:cs="Arial" w:eastAsia="Arial" w:hAnsi="Arial"/>
          <w:sz w:val="22"/>
          <w:szCs w:val="22"/>
        </w:rPr>
        <w:t xml:space="preserve">Assessment: This is TransDigm’s foundational moat. Every aircraft component must be certificated by the FAA (or equivalent international authority) before it can be installed on an aircraft. The certification process for a new part (PMA — Parts Manufacturer Approval) requires 18+ months, significant engineering investment, and demonstrated equivalence to the original part. For safety-critical components (actuators, ignition systems, power conditioning), the certification barrier is even higher — requiring extensive testing, documentation, and FAA engineering review.</w:t>
      </w:r>
    </w:p>
    <w:p>
      <w:pPr>
        <w:spacing w:after="80"/>
      </w:pPr>
    </w:p>
    <w:p>
      <w:pPr>
        <w:spacing w:after="120"/>
      </w:pPr>
      <w:r>
        <w:rPr>
          <w:rFonts w:ascii="Arial" w:cs="Arial" w:eastAsia="Arial" w:hAnsi="Arial"/>
          <w:sz w:val="22"/>
          <w:szCs w:val="22"/>
        </w:rPr>
        <w:t xml:space="preserve">TransDigm holds intellectual property on approximately 70,000 part numbers with over 300,000 FAA-approved configurations. To compete on any single part, a challenger must reverse-engineer the design, prove airworthiness equivalence, obtain FAA approval, and then convince risk-averse airlines and MROs to adopt an unproven alternative on safety-critical aircraft.</w:t>
      </w:r>
    </w:p>
    <w:p>
      <w:pPr>
        <w:spacing w:after="80"/>
      </w:pPr>
    </w:p>
    <w:p>
      <w:pPr>
        <w:spacing w:after="120"/>
      </w:pPr>
      <w:r>
        <w:rPr>
          <w:rFonts w:ascii="Arial" w:cs="Arial" w:eastAsia="Arial" w:hAnsi="Arial"/>
          <w:sz w:val="22"/>
          <w:szCs w:val="22"/>
        </w:rPr>
        <w:t xml:space="preserve">The key question: could AI accelerate PMA approvals and erode this barrier? The FAA has been exploring digital modernization, and AI-assisted engineering review could theoretically speed certifications. However, aerospace certification is not just an engineering problem — it is a liability and safety regime. The FAA is structurally conservative, and the political consequences of an AI-approved part causing an accident would be catastrophic. This moat is likely durable for 10+ years.</w:t>
      </w:r>
    </w:p>
    <w:p>
      <w:pPr>
        <w:spacing w:after="80"/>
      </w:pPr>
    </w:p>
    <w:p>
      <w:pPr>
        <w:spacing w:after="120"/>
      </w:pPr>
      <w:r>
        <w:rPr>
          <w:rFonts w:ascii="Arial" w:cs="Arial" w:eastAsia="Arial" w:hAnsi="Arial"/>
          <w:sz w:val="22"/>
          <w:szCs w:val="22"/>
        </w:rPr>
        <w:t xml:space="preserve">HEICO, TDG’s primary PMA competitor, has found success on high-volume, high-value parts (&gt;$2M annual sales) where the PMA investment is justified. But only ~10% of TransDigm’s commercial aftermarket revenue comes from parts above this threshold — the vast majority of TDG’s portfolio consists of low-volume, niche components where the PMA economics simply don’t work for challengers.</w:t>
      </w:r>
    </w:p>
    <w:p>
      <w:pPr>
        <w:spacing w:after="80"/>
      </w:pPr>
    </w:p>
    <w:p>
      <w:pPr>
        <w:spacing w:after="120"/>
      </w:pPr>
      <w:r>
        <w:rPr>
          <w:rFonts w:ascii="Arial" w:cs="Arial" w:eastAsia="Arial" w:hAnsi="Arial"/>
          <w:b/>
          <w:bCs/>
          <w:sz w:val="22"/>
          <w:szCs w:val="22"/>
        </w:rPr>
        <w:t xml:space="preserve">Status: INTACT (Strong) — Structural certification barrier with 10+ year durability. HEICO PMA threat real but limited to ~10% of aftermarket revenue.</w:t>
      </w:r>
    </w:p>
    <w:p>
      <w:pPr>
        <w:spacing w:after="80"/>
      </w:pPr>
    </w:p>
    <w:p>
      <w:pPr>
        <w:pStyle w:val="Heading3"/>
        <w:spacing w:after="120" w:before="200"/>
      </w:pPr>
      <w:r>
        <w:rPr>
          <w:rFonts w:ascii="Arial" w:cs="Arial" w:eastAsia="Arial" w:hAnsi="Arial"/>
        </w:rPr>
        <w:t xml:space="preserve">MOAT 2: INSTALLED BASE LOCK-IN (PLATFORM LIFECYCLE)</w:t>
      </w:r>
    </w:p>
    <w:p>
      <w:pPr>
        <w:spacing w:after="120"/>
      </w:pPr>
      <w:r>
        <w:rPr>
          <w:rFonts w:ascii="Arial" w:cs="Arial" w:eastAsia="Arial" w:hAnsi="Arial"/>
          <w:sz w:val="22"/>
          <w:szCs w:val="22"/>
        </w:rPr>
        <w:t xml:space="preserve">Disruption Vector: Aircraft Retirement / Next-Gen Platform Design-Wins</w:t>
      </w:r>
    </w:p>
    <w:p>
      <w:pPr>
        <w:spacing w:after="80"/>
      </w:pPr>
    </w:p>
    <w:p>
      <w:pPr>
        <w:spacing w:after="120"/>
      </w:pPr>
      <w:r>
        <w:rPr>
          <w:rFonts w:ascii="Arial" w:cs="Arial" w:eastAsia="Arial" w:hAnsi="Arial"/>
          <w:sz w:val="22"/>
          <w:szCs w:val="22"/>
        </w:rPr>
        <w:t xml:space="preserve">Assessment: This is TransDigm’s most powerful and most underappreciated moat. Once a component is designed into an aircraft platform, TransDigm is the sole-source supplier for the platform’s entire operational life — typically 25-30 years for commercial aircraft and 30-50+ years for military platforms. A Boeing 737 MAX entering service today will need TransDigm actuators, latches, and power conditioning components until it retires in the 2050s.</w:t>
      </w:r>
    </w:p>
    <w:p>
      <w:pPr>
        <w:spacing w:after="80"/>
      </w:pPr>
    </w:p>
    <w:p>
      <w:pPr>
        <w:spacing w:after="120"/>
      </w:pPr>
      <w:r>
        <w:rPr>
          <w:rFonts w:ascii="Arial" w:cs="Arial" w:eastAsia="Arial" w:hAnsi="Arial"/>
          <w:sz w:val="22"/>
          <w:szCs w:val="22"/>
        </w:rPr>
        <w:t xml:space="preserve">This creates an aftermarket annuity stream that is more durable than SaaS subscriptions. SaaS contracts typically renew annually or multi-year; aircraft platform lock-in is measured in decades. The installed base of 25,000+ commercial aircraft and tens of thousands of military platforms creates a recurring revenue stream that is structurally protected from competition for the life of those aircraft.</w:t>
      </w:r>
    </w:p>
    <w:p>
      <w:pPr>
        <w:spacing w:after="80"/>
      </w:pPr>
    </w:p>
    <w:p>
      <w:pPr>
        <w:spacing w:after="120"/>
      </w:pPr>
      <w:r>
        <w:rPr>
          <w:rFonts w:ascii="Arial" w:cs="Arial" w:eastAsia="Arial" w:hAnsi="Arial"/>
          <w:sz w:val="22"/>
          <w:szCs w:val="22"/>
        </w:rPr>
        <w:t xml:space="preserve">The vulnerability: TDG must win design positions on NEW aircraft platforms (777X, A321XLR, next-gen military programs) to maintain the revenue stream as older platforms retire. If competitors win design slots on new platforms, TDG’s aftermarket revenue will gradually decline as the legacy fleet shrinks. However, the transition happens extremely slowly — the 737 family alone has 8,000+ aircraft in service, and Airbus/Boeing production rates ensure decades of aftermarket demand.</w:t>
      </w:r>
    </w:p>
    <w:p>
      <w:pPr>
        <w:spacing w:after="80"/>
      </w:pPr>
    </w:p>
    <w:p>
      <w:pPr>
        <w:spacing w:after="120"/>
      </w:pPr>
      <w:r>
        <w:rPr>
          <w:rFonts w:ascii="Arial" w:cs="Arial" w:eastAsia="Arial" w:hAnsi="Arial"/>
          <w:b/>
          <w:bCs/>
          <w:sz w:val="22"/>
          <w:szCs w:val="22"/>
        </w:rPr>
        <w:t xml:space="preserve">Status: INTACT (Fortress) — 25-30 year lock-in per platform. Installed fleet of 25,000+ commercial aircraft ensures decades of aftermarket demand. Most durable moat in the portfolio.</w:t>
      </w:r>
    </w:p>
    <w:p>
      <w:pPr>
        <w:spacing w:after="80"/>
      </w:pPr>
    </w:p>
    <w:p>
      <w:pPr>
        <w:pStyle w:val="Heading3"/>
        <w:spacing w:after="120" w:before="200"/>
      </w:pPr>
      <w:r>
        <w:rPr>
          <w:rFonts w:ascii="Arial" w:cs="Arial" w:eastAsia="Arial" w:hAnsi="Arial"/>
        </w:rPr>
        <w:t xml:space="preserve">MOAT 3: SOLE-SOURCE PRICING POWER</w:t>
      </w:r>
    </w:p>
    <w:p>
      <w:pPr>
        <w:spacing w:after="120"/>
      </w:pPr>
      <w:r>
        <w:rPr>
          <w:rFonts w:ascii="Arial" w:cs="Arial" w:eastAsia="Arial" w:hAnsi="Arial"/>
          <w:sz w:val="22"/>
          <w:szCs w:val="22"/>
        </w:rPr>
        <w:t xml:space="preserve">Disruption Vector: Political/Regulatory Intervention, DoD Procurement Reform</w:t>
      </w:r>
    </w:p>
    <w:p>
      <w:pPr>
        <w:spacing w:after="80"/>
      </w:pPr>
    </w:p>
    <w:p>
      <w:pPr>
        <w:spacing w:after="120"/>
      </w:pPr>
      <w:r>
        <w:rPr>
          <w:rFonts w:ascii="Arial" w:cs="Arial" w:eastAsia="Arial" w:hAnsi="Arial"/>
          <w:sz w:val="22"/>
          <w:szCs w:val="22"/>
        </w:rPr>
        <w:t xml:space="preserve">Assessment: This is TransDigm’s most controversial moat and the one most likely to face pressure. With ~80% of revenue from sole-source products, TDG has extraordinary pricing power. Airlines and military customers have no alternative supplier for most TDG parts — they either pay TDG’s price or ground the aircraft. TDG systematically raises prices 3-5%+ annually on aftermarket parts, compounding margins over time.</w:t>
      </w:r>
    </w:p>
    <w:p>
      <w:pPr>
        <w:spacing w:after="80"/>
      </w:pPr>
    </w:p>
    <w:p>
      <w:pPr>
        <w:spacing w:after="120"/>
      </w:pPr>
      <w:r>
        <w:rPr>
          <w:rFonts w:ascii="Arial" w:cs="Arial" w:eastAsia="Arial" w:hAnsi="Arial"/>
          <w:sz w:val="22"/>
          <w:szCs w:val="22"/>
        </w:rPr>
        <w:t xml:space="preserve">The DoD Inspector General published two reports on TransDigm pricing: a February 2019 report found $16.1M in excess profit on 46 of 47 parts sampled (FY2015–2017 contracts), and a December 2021 report found $20.8M in excess profit on 106 of 107 parts with profit percentages up to 3,850.6% (FY2017–2019 contracts). TDG repaid the $16.1M but has not fundamentally changed its pricing approach. Congressional scrutiny continues, with the bipartisan Stop Price Gouging the Military Act repeatedly reintroduced.</w:t>
      </w:r>
    </w:p>
    <w:p>
      <w:pPr>
        <w:spacing w:after="80"/>
      </w:pPr>
    </w:p>
    <w:p>
      <w:pPr>
        <w:spacing w:after="120"/>
      </w:pPr>
      <w:r>
        <w:rPr>
          <w:rFonts w:ascii="Arial" w:cs="Arial" w:eastAsia="Arial" w:hAnsi="Arial"/>
          <w:sz w:val="22"/>
          <w:szCs w:val="22"/>
        </w:rPr>
        <w:t xml:space="preserve">The investment question is whether this pricing power is antifragile or fragile. The bull case: defense is ~12-14% of revenue, so even aggressive DoD reform would impact a minority of the business. Commercial aftermarket pricing is between TDG and private-sector airlines, with no regulatory mechanism to intervene. The bear case: sustained political attention could lead to broader legislation affecting all sole-source suppliers, and the reputational risk could affect acquisition deal flow.</w:t>
      </w:r>
    </w:p>
    <w:p>
      <w:pPr>
        <w:spacing w:after="80"/>
      </w:pPr>
    </w:p>
    <w:p>
      <w:pPr>
        <w:spacing w:after="120"/>
      </w:pPr>
      <w:r>
        <w:rPr>
          <w:rFonts w:ascii="Arial" w:cs="Arial" w:eastAsia="Arial" w:hAnsi="Arial"/>
          <w:sz w:val="22"/>
          <w:szCs w:val="22"/>
        </w:rPr>
        <w:t xml:space="preserve">Verdict: The moat is PARTIALLY ERODED on defense, INTACT on commercial. Commercial airlines ultimately pass aftermarket costs to passengers — a $50 actuator on a $200M aircraft is a rounding error. The defense pricing controversy is real but manageable as a minority of revenue.</w:t>
      </w:r>
    </w:p>
    <w:p>
      <w:pPr>
        <w:spacing w:after="80"/>
      </w:pPr>
    </w:p>
    <w:p>
      <w:pPr>
        <w:spacing w:after="120"/>
      </w:pPr>
      <w:r>
        <w:rPr>
          <w:rFonts w:ascii="Arial" w:cs="Arial" w:eastAsia="Arial" w:hAnsi="Arial"/>
          <w:b/>
          <w:bCs/>
          <w:sz w:val="22"/>
          <w:szCs w:val="22"/>
        </w:rPr>
        <w:t xml:space="preserve">Status: PARTIALLY ERODED (Defense) / INTACT (Commercial) — Pricing power is structural on commercial aftermarket. Defense pricing under sustained political scrutiny but limited to ~12-14% of revenue.</w:t>
      </w:r>
    </w:p>
    <w:p>
      <w:pPr>
        <w:spacing w:after="80"/>
      </w:pPr>
    </w:p>
    <w:p>
      <w:pPr>
        <w:pStyle w:val="Heading3"/>
        <w:spacing w:after="120" w:before="200"/>
      </w:pPr>
      <w:r>
        <w:rPr>
          <w:rFonts w:ascii="Arial" w:cs="Arial" w:eastAsia="Arial" w:hAnsi="Arial"/>
        </w:rPr>
        <w:t xml:space="preserve">MOAT 4: ACQUISITION ENGINE (CAPITAL ALLOCATION META-MOAT)</w:t>
      </w:r>
    </w:p>
    <w:p>
      <w:pPr>
        <w:spacing w:after="120"/>
      </w:pPr>
      <w:r>
        <w:rPr>
          <w:rFonts w:ascii="Arial" w:cs="Arial" w:eastAsia="Arial" w:hAnsi="Arial"/>
          <w:sz w:val="22"/>
          <w:szCs w:val="22"/>
        </w:rPr>
        <w:t xml:space="preserve">Disruption Vector: Deal Pipeline Exhaustion, Overpayment Risk</w:t>
      </w:r>
    </w:p>
    <w:p>
      <w:pPr>
        <w:spacing w:after="80"/>
      </w:pPr>
    </w:p>
    <w:p>
      <w:pPr>
        <w:spacing w:after="120"/>
      </w:pPr>
      <w:r>
        <w:rPr>
          <w:rFonts w:ascii="Arial" w:cs="Arial" w:eastAsia="Arial" w:hAnsi="Arial"/>
          <w:sz w:val="22"/>
          <w:szCs w:val="22"/>
        </w:rPr>
        <w:t xml:space="preserve">Assessment: Like Constellation Software, TransDigm’s most important moat is not any single product but the acquisition engine itself. TDG has completed 90+ acquisitions since founding, deploying billions in capital at returns targeting private equity-like IRRs. The playbook is consistent and repeatable: acquire proprietary aerospace component businesses, apply TDG’s operating model (pricing optimization, cost discipline, cash flow focus), and generate EBITDA margin expansion.</w:t>
      </w:r>
    </w:p>
    <w:p>
      <w:pPr>
        <w:spacing w:after="80"/>
      </w:pPr>
    </w:p>
    <w:p>
      <w:pPr>
        <w:spacing w:after="120"/>
      </w:pPr>
      <w:r>
        <w:rPr>
          <w:rFonts w:ascii="Arial" w:cs="Arial" w:eastAsia="Arial" w:hAnsi="Arial"/>
          <w:sz w:val="22"/>
          <w:szCs w:val="22"/>
        </w:rPr>
        <w:t xml:space="preserve">The acquisition engine has structural advantages: TDG’s reputation as a permanent home for aerospace businesses (vs. PE’s 5-7 year flip); deep domain expertise in identifying which component businesses have sole-source, aftermarket-heavy profiles; and access to cheap debt capital (despite 5.8x leverage, TDG consistently accesses debt markets at favorable terms due to the predictability of its cash flows).</w:t>
      </w:r>
    </w:p>
    <w:p>
      <w:pPr>
        <w:spacing w:after="80"/>
      </w:pPr>
    </w:p>
    <w:p>
      <w:pPr>
        <w:spacing w:after="120"/>
      </w:pPr>
      <w:r>
        <w:rPr>
          <w:rFonts w:ascii="Arial" w:cs="Arial" w:eastAsia="Arial" w:hAnsi="Arial"/>
          <w:sz w:val="22"/>
          <w:szCs w:val="22"/>
        </w:rPr>
        <w:t xml:space="preserve">The risk: as TDG grows ($8.8B revenue), finding acquisitions that meaningfully move the needle becomes harder. Recent deals (Stellant at $960M, Simmonds Precision at $765M) are larger than historical bolt-ons, suggesting the company may need to move upstream in deal size. The defense-focused acquisitions (Stellant, Servotronics, Wyvern) indicate TDG is diversifying the acquisition pipeline into defense electronics — a potentially different margin and competitive profile than traditional commercial aftermarket.</w:t>
      </w:r>
    </w:p>
    <w:p>
      <w:pPr>
        <w:spacing w:after="80"/>
      </w:pPr>
    </w:p>
    <w:p>
      <w:pPr>
        <w:spacing w:after="120"/>
      </w:pPr>
      <w:r>
        <w:rPr>
          <w:rFonts w:ascii="Arial" w:cs="Arial" w:eastAsia="Arial" w:hAnsi="Arial"/>
          <w:b/>
          <w:bCs/>
          <w:sz w:val="22"/>
          <w:szCs w:val="22"/>
        </w:rPr>
        <w:t xml:space="preserve">Status: INTACT (Strong) — 90+ acquisition track record with PE-like returns. Pipeline diversifying into defense electronics. Scale pressure is real but manageable given fragmented aerospace supply chain.</w:t>
      </w:r>
    </w:p>
    <w:p>
      <w:pPr>
        <w:spacing w:after="80"/>
      </w:pPr>
    </w:p>
    <w:p>
      <w:pPr>
        <w:pStyle w:val="Heading3"/>
        <w:spacing w:after="120" w:before="200"/>
      </w:pPr>
      <w:r>
        <w:rPr>
          <w:rFonts w:ascii="Arial" w:cs="Arial" w:eastAsia="Arial" w:hAnsi="Arial"/>
        </w:rPr>
        <w:t xml:space="preserve">MOAT 5: AFTERMARKET ANNUITY ECONOMICS</w:t>
      </w:r>
    </w:p>
    <w:p>
      <w:pPr>
        <w:spacing w:after="120"/>
      </w:pPr>
      <w:r>
        <w:rPr>
          <w:rFonts w:ascii="Arial" w:cs="Arial" w:eastAsia="Arial" w:hAnsi="Arial"/>
          <w:sz w:val="22"/>
          <w:szCs w:val="22"/>
        </w:rPr>
        <w:t xml:space="preserve">Disruption Vector: Airline Consolidation, MRO Vertical Integration</w:t>
      </w:r>
    </w:p>
    <w:p>
      <w:pPr>
        <w:spacing w:after="80"/>
      </w:pPr>
    </w:p>
    <w:p>
      <w:pPr>
        <w:spacing w:after="120"/>
      </w:pPr>
      <w:r>
        <w:rPr>
          <w:rFonts w:ascii="Arial" w:cs="Arial" w:eastAsia="Arial" w:hAnsi="Arial"/>
          <w:sz w:val="22"/>
          <w:szCs w:val="22"/>
        </w:rPr>
        <w:t xml:space="preserve">Assessment: TransDigm’s business model is built on the insight that aftermarket aerospace parts generate dramatically higher margins than OEM sales. An actuator sold to Boeing for installation on a new 737 MAX might have a 30% margin. The same actuator sold as a replacement part to an airline 10 years later — when the aircraft is grounded until the part is installed — generates a 60%+ margin.</w:t>
      </w:r>
    </w:p>
    <w:p>
      <w:pPr>
        <w:spacing w:after="80"/>
      </w:pPr>
    </w:p>
    <w:p>
      <w:pPr>
        <w:spacing w:after="120"/>
      </w:pPr>
      <w:r>
        <w:rPr>
          <w:rFonts w:ascii="Arial" w:cs="Arial" w:eastAsia="Arial" w:hAnsi="Arial"/>
          <w:sz w:val="22"/>
          <w:szCs w:val="22"/>
        </w:rPr>
        <w:t xml:space="preserve">This aftermarket annuity is protected by urgency (grounded aircraft cost $50K-$150K/day in lost revenue), lack of alternatives (sole-source), and the relative immateriality of individual part costs vs. total aircraft operating costs. Airlines optimize fuel costs, labor costs, and route economics; individual component aftermarket pricing is a rounding error in the total cost structure.</w:t>
      </w:r>
    </w:p>
    <w:p>
      <w:pPr>
        <w:spacing w:after="80"/>
      </w:pPr>
    </w:p>
    <w:p>
      <w:pPr>
        <w:spacing w:after="120"/>
      </w:pPr>
      <w:r>
        <w:rPr>
          <w:rFonts w:ascii="Arial" w:cs="Arial" w:eastAsia="Arial" w:hAnsi="Arial"/>
          <w:sz w:val="22"/>
          <w:szCs w:val="22"/>
        </w:rPr>
        <w:t xml:space="preserve">The economics are genuinely antifragile: in an aviation downturn, airlines defer NEW aircraft orders but continue maintaining their EXISTING fleet. Aftermarket revenue is more resilient than OEM revenue in downturns, and demand recovers immediately as flying hours normalize. COVID was the extreme stress test — TDG’s aftermarket revenue declined ~30% (vs. OEM revenue declining 50%+) and recovered to pre-COVID levels within 18 months.</w:t>
      </w:r>
    </w:p>
    <w:p>
      <w:pPr>
        <w:spacing w:after="80"/>
      </w:pPr>
    </w:p>
    <w:p>
      <w:pPr>
        <w:spacing w:after="120"/>
      </w:pPr>
      <w:r>
        <w:rPr>
          <w:rFonts w:ascii="Arial" w:cs="Arial" w:eastAsia="Arial" w:hAnsi="Arial"/>
          <w:b/>
          <w:bCs/>
          <w:sz w:val="22"/>
          <w:szCs w:val="22"/>
        </w:rPr>
        <w:t xml:space="preserve">Status: INTACT (Antifragile) — Aftermarket economics are countercyclical relative to OEM. Urgency + sole-source + immateriality create structural pricing power. COVID stress test validated resilience.</w:t>
      </w:r>
    </w:p>
    <w:p>
      <w:pPr>
        <w:spacing w:after="80"/>
      </w:pPr>
    </w:p>
    <w:p>
      <w:pPr>
        <w:pStyle w:val="Heading3"/>
        <w:spacing w:after="120" w:before="200"/>
      </w:pPr>
      <w:r>
        <w:rPr>
          <w:rFonts w:ascii="Arial" w:cs="Arial" w:eastAsia="Arial" w:hAnsi="Arial"/>
        </w:rPr>
        <w:t xml:space="preserve">MOAT 6: DECENTRALIZED OPERATING MODEL</w:t>
      </w:r>
    </w:p>
    <w:p>
      <w:pPr>
        <w:spacing w:after="120"/>
      </w:pPr>
      <w:r>
        <w:rPr>
          <w:rFonts w:ascii="Arial" w:cs="Arial" w:eastAsia="Arial" w:hAnsi="Arial"/>
          <w:sz w:val="22"/>
          <w:szCs w:val="22"/>
        </w:rPr>
        <w:t xml:space="preserve">Disruption Vector: Integration Complexity, Culture Dilution</w:t>
      </w:r>
    </w:p>
    <w:p>
      <w:pPr>
        <w:spacing w:after="80"/>
      </w:pPr>
    </w:p>
    <w:p>
      <w:pPr>
        <w:spacing w:after="120"/>
      </w:pPr>
      <w:r>
        <w:rPr>
          <w:rFonts w:ascii="Arial" w:cs="Arial" w:eastAsia="Arial" w:hAnsi="Arial"/>
          <w:sz w:val="22"/>
          <w:szCs w:val="22"/>
        </w:rPr>
        <w:t xml:space="preserve">Assessment: TDG operates 51 independent business units, each run by a general manager with P&amp;L responsibility. The corporate team focuses exclusively on capital allocation, pricing strategy, and cash flow management. This model — nearly identical to Constellation Software’s and Danaher’s approaches — provides several structural advantages: each BU retains domain expertise and customer relationships; general managers are incentivized on cash flow and EBITDA growth; acquired businesses don’t suffer the cultural disruption of forced integration.</w:t>
      </w:r>
    </w:p>
    <w:p>
      <w:pPr>
        <w:spacing w:after="80"/>
      </w:pPr>
    </w:p>
    <w:p>
      <w:pPr>
        <w:spacing w:after="120"/>
      </w:pPr>
      <w:r>
        <w:rPr>
          <w:rFonts w:ascii="Arial" w:cs="Arial" w:eastAsia="Arial" w:hAnsi="Arial"/>
          <w:sz w:val="22"/>
          <w:szCs w:val="22"/>
        </w:rPr>
        <w:t xml:space="preserve">The model is tested and durable: TDG has operated this way for 30+ years, and the recent CEO transition (Lisman replacing Stein) was internal and orderly. The decentralized structure means no single executive departure disrupts the operating businesses.</w:t>
      </w:r>
    </w:p>
    <w:p>
      <w:pPr>
        <w:spacing w:after="80"/>
      </w:pPr>
    </w:p>
    <w:p>
      <w:pPr>
        <w:spacing w:after="120"/>
      </w:pPr>
      <w:r>
        <w:rPr>
          <w:rFonts w:ascii="Arial" w:cs="Arial" w:eastAsia="Arial" w:hAnsi="Arial"/>
          <w:b/>
          <w:bCs/>
          <w:sz w:val="22"/>
          <w:szCs w:val="22"/>
        </w:rPr>
        <w:t xml:space="preserve">Status: INTACT — Proven decentralized model with 30-year track record. CEO succession was orderly. Structure mitigates key-person risk.</w:t>
      </w:r>
    </w:p>
    <w:p>
      <w:pPr>
        <w:spacing w:after="80"/>
      </w:pPr>
    </w:p>
    <w:p>
      <w:pPr>
        <w:pStyle w:val="Heading3"/>
        <w:spacing w:after="120" w:before="200"/>
      </w:pPr>
      <w:r>
        <w:rPr>
          <w:rFonts w:ascii="Arial" w:cs="Arial" w:eastAsia="Arial" w:hAnsi="Arial"/>
        </w:rPr>
        <w:t xml:space="preserve">MOAT 7: DEFENSE/SECURITY CLEARANCE BARRIERS</w:t>
      </w:r>
    </w:p>
    <w:p>
      <w:pPr>
        <w:spacing w:after="120"/>
      </w:pPr>
      <w:r>
        <w:rPr>
          <w:rFonts w:ascii="Arial" w:cs="Arial" w:eastAsia="Arial" w:hAnsi="Arial"/>
          <w:sz w:val="22"/>
          <w:szCs w:val="22"/>
        </w:rPr>
        <w:t xml:space="preserve">Disruption Vector: Budget Cuts, Procurement Reform</w:t>
      </w:r>
    </w:p>
    <w:p>
      <w:pPr>
        <w:spacing w:after="80"/>
      </w:pPr>
    </w:p>
    <w:p>
      <w:pPr>
        <w:spacing w:after="120"/>
      </w:pPr>
      <w:r>
        <w:rPr>
          <w:rFonts w:ascii="Arial" w:cs="Arial" w:eastAsia="Arial" w:hAnsi="Arial"/>
          <w:sz w:val="22"/>
          <w:szCs w:val="22"/>
        </w:rPr>
        <w:t xml:space="preserve">Assessment: TransDigm’s defense business (~12-14% of revenue, growing 13-16% annually) benefits from security clearance requirements, ITAR (International Traffic in Arms Regulations) compliance, and the classified nature of many military programs. These barriers are structural and cannot be circumvented by AI or technology — they require physical security infrastructure, personnel clearances, and years of program participation.</w:t>
      </w:r>
    </w:p>
    <w:p>
      <w:pPr>
        <w:spacing w:after="80"/>
      </w:pPr>
    </w:p>
    <w:p>
      <w:pPr>
        <w:spacing w:after="120"/>
      </w:pPr>
      <w:r>
        <w:rPr>
          <w:rFonts w:ascii="Arial" w:cs="Arial" w:eastAsia="Arial" w:hAnsi="Arial"/>
          <w:sz w:val="22"/>
          <w:szCs w:val="22"/>
        </w:rPr>
        <w:t xml:space="preserve">The recent acquisitions (Stellant Systems, Servotronics, Wyvern Technologies) are deliberately expanding TDG’s defense electronics portfolio, suggesting management sees defense as a growth vector with even stronger barriers to entry than commercial aftermarket. Defense revenue grew 16% in Q4 FY2025.</w:t>
      </w:r>
    </w:p>
    <w:p>
      <w:pPr>
        <w:spacing w:after="80"/>
      </w:pPr>
    </w:p>
    <w:p>
      <w:pPr>
        <w:spacing w:after="120"/>
      </w:pPr>
      <w:r>
        <w:rPr>
          <w:rFonts w:ascii="Arial" w:cs="Arial" w:eastAsia="Arial" w:hAnsi="Arial"/>
          <w:sz w:val="22"/>
          <w:szCs w:val="22"/>
        </w:rPr>
        <w:t xml:space="preserve">The risk: DoD procurement reform could increase competition for defense aftermarket parts, and defense budget uncertainty creates demand volatility. However, ITAR and clearance barriers are permanent structural advantages.</w:t>
      </w:r>
    </w:p>
    <w:p>
      <w:pPr>
        <w:spacing w:after="80"/>
      </w:pPr>
    </w:p>
    <w:p>
      <w:pPr>
        <w:spacing w:after="120"/>
      </w:pPr>
      <w:r>
        <w:rPr>
          <w:rFonts w:ascii="Arial" w:cs="Arial" w:eastAsia="Arial" w:hAnsi="Arial"/>
          <w:b/>
          <w:bCs/>
          <w:sz w:val="22"/>
          <w:szCs w:val="22"/>
        </w:rPr>
        <w:t xml:space="preserve">Status: INTACT (Moderate-to-Strong) — ITAR, clearances, and classified program access create barriers AI cannot circumvent. Defense growing as a share of revenue through targeted M&amp;A.</w:t>
      </w:r>
    </w:p>
    <w:p>
      <w:r>
        <w:br w:type="page"/>
      </w:r>
    </w:p>
    <w:p>
      <w:pPr>
        <w:pStyle w:val="Heading2"/>
        <w:spacing w:after="160" w:before="280"/>
      </w:pPr>
      <w:r>
        <w:rPr>
          <w:rFonts w:ascii="Arial" w:cs="Arial" w:eastAsia="Arial" w:hAnsi="Arial"/>
        </w:rPr>
        <w:t xml:space="preserve">SECTION 2: SSMI COMPOSITE SCORE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5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 Vector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FAA Certification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PMA/AI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Intact (Strong)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Installed Base Lock-In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Fleet Retirement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Intact (Fortress)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25-30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Sole-Source Pricing Power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Regulatory/Political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Partially Eroded (Defense)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5-10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Acquisition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Exhaustion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Intact (Strong)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Aftermarket Annuity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MRO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Intact (Antifragile)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Permanent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Decentralized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Culture Dilution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Defense/ITAR Barriers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Budget Cuts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Intact (Moderate)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Permanent</w:t>
            </w:r>
          </w:p>
        </w:tc>
      </w:tr>
    </w:tbl>
    <w:p>
      <w:pPr>
        <w:spacing w:after="80"/>
      </w:pPr>
    </w:p>
    <w:p>
      <w:pPr>
        <w:spacing w:after="120"/>
      </w:pPr>
      <w:r>
        <w:rPr>
          <w:rFonts w:ascii="Arial" w:cs="Arial" w:eastAsia="Arial" w:hAnsi="Arial"/>
          <w:b/>
          <w:bCs/>
          <w:sz w:val="22"/>
          <w:szCs w:val="22"/>
        </w:rPr>
        <w:t xml:space="preserve">SSMI Score: 6 / 7 Strong (1 Partially Eroded) → FORTRESS-CLASS sole-source moat</w:t>
      </w:r>
    </w:p>
    <w:p>
      <w:pPr>
        <w:spacing w:after="80"/>
      </w:pPr>
    </w:p>
    <w:p>
      <w:pPr>
        <w:spacing w:after="120"/>
      </w:pPr>
      <w:r>
        <w:rPr>
          <w:rFonts w:ascii="Arial" w:cs="Arial" w:eastAsia="Arial" w:hAnsi="Arial"/>
          <w:sz w:val="22"/>
          <w:szCs w:val="22"/>
        </w:rPr>
        <w:t xml:space="preserve">The sole-source pricing power moat on defense is the only area of erosion, and it represents a minority of revenue (~12-14%). The remaining 6 moats are intact or strengthening. The installed base lock-in and aftermarket annuity moats are among the most durable competitive advantages in any industry.</w:t>
      </w:r>
    </w:p>
    <w:p>
      <w:pPr>
        <w:spacing w:after="80"/>
      </w:pPr>
    </w:p>
    <w:p>
      <w:pPr>
        <w:pStyle w:val="Heading3"/>
        <w:spacing w:after="120" w:before="200"/>
      </w:pPr>
      <w:r>
        <w:rPr>
          <w:rFonts w:ascii="Arial" w:cs="Arial" w:eastAsia="Arial" w:hAnsi="Arial"/>
        </w:rPr>
        <w:t xml:space="preserve">Three-Question Aerospace Test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12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5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Are the products physically integrated into long-lifecycle platforms with no substitutes?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(emphatic)</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 sole-source on platforms flying 25-30 years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Is there a regulatory/certification barrier preventing alternative suppliers?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FAA certification requires 18+ months; ITAR for defense programs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Q3: Does aftermarket revenue survive or increase during aviation downturns?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COVID: aftermarket declined ~30% vs. OEM 50%+; recovered in 18 months</w:t>
            </w:r>
          </w:p>
        </w:tc>
      </w:tr>
    </w:tbl>
    <w:p>
      <w:pPr>
        <w:spacing w:after="80"/>
      </w:pPr>
    </w:p>
    <w:p>
      <w:pPr>
        <w:spacing w:after="120"/>
      </w:pPr>
      <w:r>
        <w:rPr>
          <w:rFonts w:ascii="Arial" w:cs="Arial" w:eastAsia="Arial" w:hAnsi="Arial"/>
          <w:b/>
          <w:bCs/>
          <w:sz w:val="22"/>
          <w:szCs w:val="22"/>
        </w:rPr>
        <w:t xml:space="preserve">Three-Question Score: 3 / 3 → LOWER RISK</w:t>
      </w:r>
    </w:p>
    <w:p>
      <w:r>
        <w:br w:type="page"/>
      </w:r>
    </w:p>
    <w:p>
      <w:pPr>
        <w:pStyle w:val="Heading1"/>
        <w:spacing w:after="200" w:before="360"/>
      </w:pPr>
      <w:r>
        <w:rPr>
          <w:rFonts w:ascii="Arial" w:cs="Arial" w:eastAsia="Arial" w:hAnsi="Arial"/>
        </w:rPr>
        <w:t xml:space="preserve">STAGE 2: VALUE CREATION ENGINE (VCE) — FOUR-DIMENSION SCORING</w:t>
      </w:r>
    </w:p>
    <w:p>
      <w:pPr>
        <w:spacing w:after="120"/>
      </w:pPr>
      <w:r>
        <w:rPr>
          <w:rFonts w:ascii="Arial" w:cs="Arial" w:eastAsia="Arial" w:hAnsi="Arial"/>
          <w:sz w:val="22"/>
          <w:szCs w:val="22"/>
        </w:rPr>
        <w:t xml:space="preserve">Stage 2 Starting Posture: FORTRESS-class sole-source moat from pre-screen. Approach scoring with high confidence. The SSMI indicates a company with structural competitive advantages that are durable over multi-decade horizons. Now test whether these advantages translate into durable economic value creation.</w:t>
      </w:r>
    </w:p>
    <w:p>
      <w:pPr>
        <w:spacing w:after="80"/>
      </w:pPr>
    </w:p>
    <w:p>
      <w:pPr>
        <w:pStyle w:val="Heading2"/>
        <w:spacing w:after="160" w:before="280"/>
      </w:pPr>
      <w:r>
        <w:rPr>
          <w:rFonts w:ascii="Arial" w:cs="Arial" w:eastAsia="Arial" w:hAnsi="Arial"/>
        </w:rPr>
        <w:t xml:space="preserve">DIMENSION 1: CAPITAL EFFICIENCY (25% Weight) — Score: 8/10</w:t>
      </w:r>
    </w:p>
    <w:p>
      <w:pPr>
        <w:spacing w:after="120"/>
      </w:pPr>
      <w:r>
        <w:rPr>
          <w:rFonts w:ascii="Arial" w:cs="Arial" w:eastAsia="Arial" w:hAnsi="Arial"/>
          <w:sz w:val="22"/>
          <w:szCs w:val="22"/>
        </w:rPr>
        <w:t xml:space="preserve">TransDigm generates extraordinary returns on capital for an aerospace company, driven by the combination of sole-source pricing power, aftermarket mix, and asset-light operations (TDG acquires IP and designs, not factories).</w:t>
      </w:r>
    </w:p>
    <w:p>
      <w:pPr>
        <w:spacing w:after="80"/>
      </w:pPr>
    </w:p>
    <w:p>
      <w:pPr>
        <w:pStyle w:val="ListParagraph"/>
        <w:numPr>
          <w:ilvl w:val="0"/>
          <w:numId w:val="4"/>
        </w:numPr>
        <w:spacing w:after="60"/>
      </w:pPr>
      <w:r>
        <w:rPr>
          <w:rFonts w:ascii="Arial" w:cs="Arial" w:eastAsia="Arial" w:hAnsi="Arial"/>
          <w:sz w:val="22"/>
          <w:szCs w:val="22"/>
        </w:rPr>
        <w:t xml:space="preserve">ROIC (TTM): ~14-16% on total invested capital (including goodwill from acquisitions). Stripping goodwill, ROIC on tangible capital is dramatically higher (~40%+), reflecting the asset-light nature of the business.</w:t>
      </w:r>
    </w:p>
    <w:p>
      <w:pPr>
        <w:pStyle w:val="ListParagraph"/>
        <w:numPr>
          <w:ilvl w:val="0"/>
          <w:numId w:val="4"/>
        </w:numPr>
        <w:spacing w:after="60"/>
      </w:pPr>
      <w:r>
        <w:rPr>
          <w:rFonts w:ascii="Arial" w:cs="Arial" w:eastAsia="Arial" w:hAnsi="Arial"/>
          <w:sz w:val="22"/>
          <w:szCs w:val="22"/>
        </w:rPr>
        <w:t xml:space="preserve">WACC: ~7-8% (blended cost of 5.8x levered capital structure)</w:t>
      </w:r>
    </w:p>
    <w:p>
      <w:pPr>
        <w:pStyle w:val="ListParagraph"/>
        <w:numPr>
          <w:ilvl w:val="0"/>
          <w:numId w:val="4"/>
        </w:numPr>
        <w:spacing w:after="60"/>
      </w:pPr>
      <w:r>
        <w:rPr>
          <w:rFonts w:ascii="Arial" w:cs="Arial" w:eastAsia="Arial" w:hAnsi="Arial"/>
          <w:sz w:val="22"/>
          <w:szCs w:val="22"/>
        </w:rPr>
        <w:t xml:space="preserve">ROIC-WACC Spread: +8.3 percentage points — Positive EVA. Every dollar TDG invests generates 8.3 cents of economic profit above cost of capital.</w:t>
      </w:r>
    </w:p>
    <w:p>
      <w:pPr>
        <w:pStyle w:val="ListParagraph"/>
        <w:numPr>
          <w:ilvl w:val="0"/>
          <w:numId w:val="4"/>
        </w:numPr>
        <w:spacing w:after="60"/>
      </w:pPr>
      <w:r>
        <w:rPr>
          <w:rFonts w:ascii="Arial" w:cs="Arial" w:eastAsia="Arial" w:hAnsi="Arial"/>
          <w:sz w:val="22"/>
          <w:szCs w:val="22"/>
        </w:rPr>
        <w:t xml:space="preserve">EBITDA Margin: 53.9% — Among the highest in all of industrial. This is the mathematical result of sole-source pricing power applied to a proprietary product portfolio.</w:t>
      </w:r>
    </w:p>
    <w:p>
      <w:pPr>
        <w:pStyle w:val="ListParagraph"/>
        <w:numPr>
          <w:ilvl w:val="0"/>
          <w:numId w:val="4"/>
        </w:numPr>
        <w:spacing w:after="60"/>
      </w:pPr>
      <w:r>
        <w:rPr>
          <w:rFonts w:ascii="Arial" w:cs="Arial" w:eastAsia="Arial" w:hAnsi="Arial"/>
          <w:sz w:val="22"/>
          <w:szCs w:val="22"/>
        </w:rPr>
        <w:t xml:space="preserve">FCF Conversion: $1,816M FCF on $4,568M EBITDA = 39.8% conversion. Lower than EMCOR because of interest expense on $25.2B debt. Pre-interest FCF conversion is exceptional.</w:t>
      </w:r>
    </w:p>
    <w:p>
      <w:pPr>
        <w:pStyle w:val="ListParagraph"/>
        <w:numPr>
          <w:ilvl w:val="0"/>
          <w:numId w:val="4"/>
        </w:numPr>
        <w:spacing w:after="60"/>
      </w:pPr>
      <w:r>
        <w:rPr>
          <w:rFonts w:ascii="Arial" w:cs="Arial" w:eastAsia="Arial" w:hAnsi="Arial"/>
          <w:sz w:val="22"/>
          <w:szCs w:val="22"/>
        </w:rPr>
        <w:t xml:space="preserve">Capital Intensity: Low. TDG acquires IP and designs, not heavy manufacturing assets. CapEx is ~2% of revenue.</w:t>
      </w:r>
    </w:p>
    <w:p>
      <w:pPr>
        <w:spacing w:after="80"/>
      </w:pPr>
    </w:p>
    <w:p>
      <w:pPr>
        <w:spacing w:after="120"/>
      </w:pPr>
      <w:r>
        <w:rPr>
          <w:rFonts w:ascii="Arial" w:cs="Arial" w:eastAsia="Arial" w:hAnsi="Arial"/>
          <w:sz w:val="22"/>
          <w:szCs w:val="22"/>
        </w:rPr>
        <w:t xml:space="preserve">Score: 8 / 10 — ROIC-WACC spread of +8.3% is strong. EBITDA margins are world-class. Score is 8 rather than 9-10 because: (a) ROIC calculation is depressed by massive goodwill from acquisition-heavy strategy — this is the correct economic measure but understates operating efficiency; (b) FCF conversion is compressed by high interest expense from 5.8x leverage; (c) the ROIC measure includes the full cost of acquisitions, testing whether TDG is genuinely creating value vs. just transferring it from sellers.</w:t>
      </w:r>
    </w:p>
    <w:p>
      <w:pPr>
        <w:spacing w:after="80"/>
      </w:pPr>
    </w:p>
    <w:p>
      <w:pPr>
        <w:pStyle w:val="Heading2"/>
        <w:spacing w:after="160" w:before="280"/>
      </w:pPr>
      <w:r>
        <w:rPr>
          <w:rFonts w:ascii="Arial" w:cs="Arial" w:eastAsia="Arial" w:hAnsi="Arial"/>
        </w:rPr>
        <w:t xml:space="preserve">DIMENSION 2: REINVESTMENT QUALITY / ROIIC (30% Weight) — Score: 7/10</w:t>
      </w:r>
    </w:p>
    <w:p>
      <w:pPr>
        <w:spacing w:after="120"/>
      </w:pPr>
      <w:r>
        <w:rPr>
          <w:rFonts w:ascii="Arial" w:cs="Arial" w:eastAsia="Arial" w:hAnsi="Arial"/>
          <w:sz w:val="22"/>
          <w:szCs w:val="22"/>
        </w:rPr>
        <w:t xml:space="preserve">Reinvestment quality is the engine of compounding. For a serial acquirer, ROIIC is the return on incremental capital deployed through acquisitions. This is the single most important metric for determining whether TDG is a genuine compounder or just a leveraged roll-up.</w:t>
      </w:r>
    </w:p>
    <w:p>
      <w:pPr>
        <w:spacing w:after="80"/>
      </w:pPr>
    </w:p>
    <w:p>
      <w:pPr>
        <w:pStyle w:val="ListParagraph"/>
        <w:numPr>
          <w:ilvl w:val="0"/>
          <w:numId w:val="5"/>
        </w:numPr>
        <w:spacing w:after="60"/>
      </w:pPr>
      <w:r>
        <w:rPr>
          <w:rFonts w:ascii="Arial" w:cs="Arial" w:eastAsia="Arial" w:hAnsi="Arial"/>
          <w:sz w:val="22"/>
          <w:szCs w:val="22"/>
        </w:rPr>
        <w:t xml:space="preserve">ROIIC (3-Year): From FY2022 to FY2025, TDG grew EBITDA from approximately $3,300M to $4,568M (+$1,268M). Incremental invested capital over the same period was approximately $8-9B (cumulative acquisitions + special dividend refinancing). ROIIC = ~$1,268M / ~$8.5B = ~15%. This is acceptable for a levered acquirer but materially lower than EME’s 41%.</w:t>
      </w:r>
    </w:p>
    <w:p>
      <w:pPr>
        <w:pStyle w:val="ListParagraph"/>
        <w:numPr>
          <w:ilvl w:val="0"/>
          <w:numId w:val="5"/>
        </w:numPr>
        <w:spacing w:after="60"/>
      </w:pPr>
      <w:r>
        <w:rPr>
          <w:rFonts w:ascii="Arial" w:cs="Arial" w:eastAsia="Arial" w:hAnsi="Arial"/>
          <w:sz w:val="22"/>
          <w:szCs w:val="22"/>
        </w:rPr>
        <w:t xml:space="preserve">M&amp;A Discipline: Recent deals show TDG paying premium multiples for quality assets: Stellant at $960M, Simmonds Precision at $765M, Raptor Scientific at $655M. These are larger deals than historical bolt-ons, potentially reflecting increased competition for quality aerospace assets.</w:t>
      </w:r>
    </w:p>
    <w:p>
      <w:pPr>
        <w:pStyle w:val="ListParagraph"/>
        <w:numPr>
          <w:ilvl w:val="0"/>
          <w:numId w:val="5"/>
        </w:numPr>
        <w:spacing w:after="60"/>
      </w:pPr>
      <w:r>
        <w:rPr>
          <w:rFonts w:ascii="Arial" w:cs="Arial" w:eastAsia="Arial" w:hAnsi="Arial"/>
          <w:sz w:val="22"/>
          <w:szCs w:val="22"/>
        </w:rPr>
        <w:t xml:space="preserve">Organic Growth: TDG’s organic revenue growth (excluding M&amp;A) is approximately 6-8% annually, driven by aftermarket price increases (3-5%) and flight hour recovery. This is healthier than CSU’s ~3-5% organic growth but below EME’s 12-14%.</w:t>
      </w:r>
    </w:p>
    <w:p>
      <w:pPr>
        <w:pStyle w:val="ListParagraph"/>
        <w:numPr>
          <w:ilvl w:val="0"/>
          <w:numId w:val="5"/>
        </w:numPr>
        <w:spacing w:after="60"/>
      </w:pPr>
      <w:r>
        <w:rPr>
          <w:rFonts w:ascii="Arial" w:cs="Arial" w:eastAsia="Arial" w:hAnsi="Arial"/>
          <w:sz w:val="22"/>
          <w:szCs w:val="22"/>
        </w:rPr>
        <w:t xml:space="preserve">Capital Return: $90/share special dividend ($5.07B) in Sept 2025 + $600M buybacks. TDG’s philosophy is explicit: generate maximum cash flow, lever the balance sheet, return capital to shareholders. This is PE-style capital allocation, not traditional industrial compounding.</w:t>
      </w:r>
    </w:p>
    <w:p>
      <w:pPr>
        <w:spacing w:after="80"/>
      </w:pPr>
    </w:p>
    <w:p>
      <w:pPr>
        <w:spacing w:after="120"/>
      </w:pPr>
      <w:r>
        <w:rPr>
          <w:rFonts w:ascii="Arial" w:cs="Arial" w:eastAsia="Arial" w:hAnsi="Arial"/>
          <w:sz w:val="22"/>
          <w:szCs w:val="22"/>
        </w:rPr>
        <w:t xml:space="preserve">Score: 7 / 10 — ROIIC of ~15% is positive but not exceptional. The high leverage amplifies equity returns but masks whether the underlying asset returns justify the acquisition prices. Score is 7 rather than 8-9 because: (a) deal sizes are increasing, raising integration and overpayment risk; (b) the special dividend model uses debt to return capital rather than reinvest at high ROIIC; (c) ROIIC is below the 20%+ threshold that typically characterizes compounders of the highest quality.</w:t>
      </w:r>
    </w:p>
    <w:p>
      <w:pPr>
        <w:spacing w:after="80"/>
      </w:pPr>
    </w:p>
    <w:p>
      <w:pPr>
        <w:pStyle w:val="Heading2"/>
        <w:spacing w:after="160" w:before="280"/>
      </w:pPr>
      <w:r>
        <w:rPr>
          <w:rFonts w:ascii="Arial" w:cs="Arial" w:eastAsia="Arial" w:hAnsi="Arial"/>
        </w:rPr>
        <w:t xml:space="preserve">DIMENSION 3: REVENUE DURABILITY (20% Weight) — Score: 9/10</w:t>
      </w:r>
    </w:p>
    <w:p>
      <w:pPr>
        <w:spacing w:after="120"/>
      </w:pPr>
      <w:r>
        <w:rPr>
          <w:rFonts w:ascii="Arial" w:cs="Arial" w:eastAsia="Arial" w:hAnsi="Arial"/>
          <w:sz w:val="22"/>
          <w:szCs w:val="22"/>
        </w:rPr>
        <w:t xml:space="preserve">This is TransDigm’s crown jewel dimension. Revenue durability in aerospace aftermarket is fundamentally different from — and arguably superior to — SaaS subscription revenue.</w:t>
      </w:r>
    </w:p>
    <w:p>
      <w:pPr>
        <w:spacing w:after="80"/>
      </w:pPr>
    </w:p>
    <w:p>
      <w:pPr>
        <w:pStyle w:val="ListParagraph"/>
        <w:numPr>
          <w:ilvl w:val="0"/>
          <w:numId w:val="6"/>
        </w:numPr>
        <w:spacing w:after="60"/>
      </w:pPr>
      <w:r>
        <w:rPr>
          <w:rFonts w:ascii="Arial" w:cs="Arial" w:eastAsia="Arial" w:hAnsi="Arial"/>
          <w:sz w:val="22"/>
          <w:szCs w:val="22"/>
        </w:rPr>
        <w:t xml:space="preserve">Platform Lifecycle Revenue: Every aircraft platform TDG has components on generates aftermarket revenue for 25-30 years (commercial) or 30-50+ years (military). This is the equivalent of a 25-year subscription contract with no renewal risk.</w:t>
      </w:r>
    </w:p>
    <w:p>
      <w:pPr>
        <w:pStyle w:val="ListParagraph"/>
        <w:numPr>
          <w:ilvl w:val="0"/>
          <w:numId w:val="6"/>
        </w:numPr>
        <w:spacing w:after="60"/>
      </w:pPr>
      <w:r>
        <w:rPr>
          <w:rFonts w:ascii="Arial" w:cs="Arial" w:eastAsia="Arial" w:hAnsi="Arial"/>
          <w:sz w:val="22"/>
          <w:szCs w:val="22"/>
        </w:rPr>
        <w:t xml:space="preserve">Installed Fleet Size: ~25,000+ commercial aircraft in service globally, with TDG components on a significant portion. Military fleet adds thousands more platforms with even longer lifecycles.</w:t>
      </w:r>
    </w:p>
    <w:p>
      <w:pPr>
        <w:pStyle w:val="ListParagraph"/>
        <w:numPr>
          <w:ilvl w:val="0"/>
          <w:numId w:val="6"/>
        </w:numPr>
        <w:spacing w:after="60"/>
      </w:pPr>
      <w:r>
        <w:rPr>
          <w:rFonts w:ascii="Arial" w:cs="Arial" w:eastAsia="Arial" w:hAnsi="Arial"/>
          <w:sz w:val="22"/>
          <w:szCs w:val="22"/>
        </w:rPr>
        <w:t xml:space="preserve">Aftermarket Revenue Predictability: Flying hours are the key demand driver. Global air traffic has recovered to pre-COVID levels and is growing 4-5% annually. Aftermarket demand is directly correlated with flight hours.</w:t>
      </w:r>
    </w:p>
    <w:p>
      <w:pPr>
        <w:pStyle w:val="ListParagraph"/>
        <w:numPr>
          <w:ilvl w:val="0"/>
          <w:numId w:val="6"/>
        </w:numPr>
        <w:spacing w:after="60"/>
      </w:pPr>
      <w:r>
        <w:rPr>
          <w:rFonts w:ascii="Arial" w:cs="Arial" w:eastAsia="Arial" w:hAnsi="Arial"/>
          <w:sz w:val="22"/>
          <w:szCs w:val="22"/>
        </w:rPr>
        <w:t xml:space="preserve">Recession Resilience: In downturns, airlines defer new aircraft purchases (hitting OEM revenue) but INCREASE maintenance spending on existing fleet (supporting aftermarket). COVID was the black swan: even with a 60% decline in global air travel, TDG’s aftermarket recovered within 18 months.</w:t>
      </w:r>
    </w:p>
    <w:p>
      <w:pPr>
        <w:pStyle w:val="ListParagraph"/>
        <w:numPr>
          <w:ilvl w:val="0"/>
          <w:numId w:val="6"/>
        </w:numPr>
        <w:spacing w:after="60"/>
      </w:pPr>
      <w:r>
        <w:rPr>
          <w:rFonts w:ascii="Arial" w:cs="Arial" w:eastAsia="Arial" w:hAnsi="Arial"/>
          <w:sz w:val="22"/>
          <w:szCs w:val="22"/>
        </w:rPr>
        <w:t xml:space="preserve">Defense Revenue Stability: Defense aftermarket is driven by military readiness requirements, not commercial demand cycles. Military aircraft must be maintained to mission-ready standards regardless of budget environment.</w:t>
      </w:r>
    </w:p>
    <w:p>
      <w:pPr>
        <w:pStyle w:val="ListParagraph"/>
        <w:numPr>
          <w:ilvl w:val="0"/>
          <w:numId w:val="6"/>
        </w:numPr>
        <w:spacing w:after="60"/>
      </w:pPr>
      <w:r>
        <w:rPr>
          <w:rFonts w:ascii="Arial" w:cs="Arial" w:eastAsia="Arial" w:hAnsi="Arial"/>
          <w:sz w:val="22"/>
          <w:szCs w:val="22"/>
        </w:rPr>
        <w:t xml:space="preserve">Revenue Visibility: TDG does not report formal backlog/RPO, but the installed base creates implicit visibility — as long as aircraft fly, TDG sells parts.</w:t>
      </w:r>
    </w:p>
    <w:p>
      <w:pPr>
        <w:spacing w:after="80"/>
      </w:pPr>
    </w:p>
    <w:p>
      <w:pPr>
        <w:spacing w:after="120"/>
      </w:pPr>
      <w:r>
        <w:rPr>
          <w:rFonts w:ascii="Arial" w:cs="Arial" w:eastAsia="Arial" w:hAnsi="Arial"/>
          <w:sz w:val="22"/>
          <w:szCs w:val="22"/>
        </w:rPr>
        <w:t xml:space="preserve">Score: 9 / 10 — Revenue durability is structurally superior to SaaS (25-year platform lock-in vs. 1-3 year SaaS contracts). Score is 9 rather than 10 because: (a) OEM revenue (~28%) is more cyclical; (b) no formal RPO/backlog provides less near-term visibility than EME’s $13.25B RPO.</w:t>
      </w:r>
    </w:p>
    <w:p>
      <w:pPr>
        <w:spacing w:after="80"/>
      </w:pPr>
    </w:p>
    <w:p>
      <w:pPr>
        <w:pStyle w:val="Heading2"/>
        <w:spacing w:after="160" w:before="280"/>
      </w:pPr>
      <w:r>
        <w:rPr>
          <w:rFonts w:ascii="Arial" w:cs="Arial" w:eastAsia="Arial" w:hAnsi="Arial"/>
        </w:rPr>
        <w:t xml:space="preserve">DIMENSION 4: SECULAR DEMAND TAILWINDS (25% Weight) — Score: 7/10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1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Demand Driver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Global Air Traffic Growth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Permanent</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 annual passenger growth. Emerging market middle class expansion. Fleet growth drives both OEM and aftermarket demand.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Fleet Age / Deferred Retirements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10-15 yrs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Airlines extending aircraft life to 30+ years due to production delays. Older aircraft need MORE maintenance = MORE aftermarket.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Boeing/Airbus Production Ramp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5-10 yrs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737 MAX and A320neo production ramping. New platforms mean new OEM wins and decades of future aftermarket.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Defense Modernization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10-20 yrs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F-35 program, Next Generation Air Dominance, military rotorcraft replacement. Each new program creates 30-50 year aftermarket streams.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MRO Industry Growth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Permanent</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Global MRO market growing ~4% annually. Airlines outsourcing more maintenance to third-party MROs who buy TDG parts.</w:t>
            </w:r>
          </w:p>
        </w:tc>
      </w:tr>
    </w:tbl>
    <w:p>
      <w:pPr>
        <w:spacing w:after="80"/>
      </w:pPr>
    </w:p>
    <w:p>
      <w:pPr>
        <w:spacing w:after="120"/>
      </w:pPr>
      <w:r>
        <w:rPr>
          <w:rFonts w:ascii="Arial" w:cs="Arial" w:eastAsia="Arial" w:hAnsi="Arial"/>
          <w:sz w:val="22"/>
          <w:szCs w:val="22"/>
        </w:rPr>
        <w:t xml:space="preserve">Score: 7 / 10 — Air traffic growth and fleet aging are durable tailwinds. Score is 7 rather than 8-9 because: (a) aerospace demand is ultimately tied to economic growth, making it less structurally independent than EME’s 6 drivers; (b) Boeing’s production challenges create near-term OEM headwinds; (c) the defense budget is politically contested, unlike infrastructure spending which has bipartisan support.</w:t>
      </w:r>
    </w:p>
    <w:p>
      <w:r>
        <w:br w:type="page"/>
      </w:r>
    </w:p>
    <w:p>
      <w:pPr>
        <w:pStyle w:val="Heading1"/>
        <w:spacing w:after="200" w:before="360"/>
      </w:pPr>
      <w:r>
        <w:rPr>
          <w:rFonts w:ascii="Arial" w:cs="Arial" w:eastAsia="Arial" w:hAnsi="Arial"/>
        </w:rPr>
        <w:t xml:space="preserve">STEP 3: RAW COMPOSITE CALCULATION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43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Weighted</w:t>
            </w:r>
          </w:p>
        </w:tc>
        <w:tc>
          <w:tcPr>
            <w:tcW w:type="dxa" w:w="4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Driver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D1: Capital Efficiency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ROIC-WACC +8.3%, 53.9% EBITDA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D2: Reinvestment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ROIIC ~15%, M&amp;A discipline tested at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D3: Revenue Durability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25-30 yr platform lock-in, COVID-tested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D4: Secular Demand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Air traffic growth + fleet aging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RAW COMPOSITE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7.65</w:t>
            </w:r>
          </w:p>
        </w:tc>
        <w:tc>
          <w:tcPr>
            <w:tcW w:type="dxa" w:w="4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ANTIFRAGILE COMPOUNDER (&gt;= 7.5)</w:t>
            </w:r>
          </w:p>
        </w:tc>
      </w:tr>
    </w:tbl>
    <w:p>
      <w:pPr>
        <w:spacing w:after="80"/>
      </w:pPr>
    </w:p>
    <w:p>
      <w:pPr>
        <w:spacing w:after="120"/>
      </w:pPr>
      <w:r>
        <w:rPr>
          <w:rFonts w:ascii="Arial" w:cs="Arial" w:eastAsia="Arial" w:hAnsi="Arial"/>
          <w:b/>
          <w:bCs/>
          <w:sz w:val="22"/>
          <w:szCs w:val="22"/>
        </w:rPr>
        <w:t xml:space="preserve">EVA Gate (required): ROIC (~14-16%) &gt; WACC (~7-8%) = POSITIVE EVA. Gate PASSES.</w:t>
      </w:r>
    </w:p>
    <w:p>
      <w:pPr>
        <w:spacing w:after="80"/>
      </w:pPr>
    </w:p>
    <w:p>
      <w:pPr>
        <w:spacing w:after="120"/>
      </w:pPr>
      <w:r>
        <w:rPr>
          <w:rFonts w:ascii="Arial" w:cs="Arial" w:eastAsia="Arial" w:hAnsi="Arial"/>
          <w:sz w:val="22"/>
          <w:szCs w:val="22"/>
        </w:rPr>
        <w:t xml:space="preserve">Pre-Screen Consistency: SSMI returned FORTRESS (6/7 Strong). Raw composite is 7.65 (Antifragile Compounder, barely clearing the 7.5 threshold). These are consistent — the sole-source moat is fortress-class, but the capital allocation structure (high leverage, special dividends over reinvestment) slightly dampens the compounding score vs. EME.</w:t>
      </w:r>
    </w:p>
    <w:p>
      <w:pPr>
        <w:spacing w:after="80"/>
      </w:pPr>
    </w:p>
    <w:p>
      <w:pPr>
        <w:pStyle w:val="Heading1"/>
        <w:spacing w:after="200" w:before="360"/>
      </w:pPr>
      <w:r>
        <w:rPr>
          <w:rFonts w:ascii="Arial" w:cs="Arial" w:eastAsia="Arial" w:hAnsi="Arial"/>
        </w:rPr>
        <w:t xml:space="preserve">STEP 4: ANTIFRAGILITY MODIFIER (AFM)</w:t>
      </w:r>
    </w:p>
    <w:p>
      <w:pPr>
        <w:spacing w:after="120"/>
      </w:pPr>
      <w:r>
        <w:rPr>
          <w:rFonts w:ascii="Arial" w:cs="Arial" w:eastAsia="Arial" w:hAnsi="Arial"/>
          <w:sz w:val="22"/>
          <w:szCs w:val="22"/>
        </w:rPr>
        <w:t xml:space="preserve">The AFM tests whether stress vectors actually STRENGTHEN TransDigm’s competitive position — the Taleb criterion.</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92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Antifragility Test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Does aftermarket demand INCREASE when airlines defer new aircraft?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Airlines fly older aircraft longer = more maintenance = more aftermarket parts demand. Fleet age is a tailwind.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Does supply chain stress INCREASE TDG’s relative advantage?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Small suppliers struggle more. TDG’s scale and inventory position become more valuable when supply chains are disrupted.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Does an aviation downturn create ACQUISITION opportunities?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Distressed aerospace suppliers become available at lower multiples. TDG’s access to debt markets enables counter-cyclical M&amp;A.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Does regulatory complexity INCREASE barriers to entry?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MIXED</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FAA/ITAR complexity benefits incumbents. But DoD pricing scrutiny could constrain margins on ~12-14% of revenue.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Does defense spending volatility create opportunities?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TDG’s diversified portfolio across hundreds of defense programs reduces concentration risk. Budget reallocations create winners and losers; TDG’s breadth captures both.</w:t>
            </w:r>
          </w:p>
        </w:tc>
      </w:tr>
    </w:tbl>
    <w:p>
      <w:pPr>
        <w:spacing w:after="80"/>
      </w:pPr>
    </w:p>
    <w:p>
      <w:pPr>
        <w:spacing w:after="120"/>
      </w:pPr>
      <w:r>
        <w:rPr>
          <w:rFonts w:ascii="Arial" w:cs="Arial" w:eastAsia="Arial" w:hAnsi="Arial"/>
          <w:b/>
          <w:bCs/>
          <w:sz w:val="22"/>
          <w:szCs w:val="22"/>
        </w:rPr>
        <w:t xml:space="preserve">AFM Score: 4 / 5 → +0.20 modifier (slightly lower than EME’s 5/5 due to regulatory risk on pricing)</w:t>
      </w:r>
    </w:p>
    <w:p>
      <w:pPr>
        <w:spacing w:after="80"/>
      </w:pPr>
    </w:p>
    <w:p>
      <w:pPr>
        <w:spacing w:after="120"/>
      </w:pPr>
      <w:r>
        <w:rPr>
          <w:rFonts w:ascii="Arial" w:cs="Arial" w:eastAsia="Arial" w:hAnsi="Arial"/>
          <w:sz w:val="22"/>
          <w:szCs w:val="22"/>
        </w:rPr>
        <w:t xml:space="preserve">TransDigm passes 4 of 5 antifragility tests cleanly. The regulatory/pricing test is mixed — complexity increases barriers, but political attention on pricing could constrain the margin expansion that drives returns. This is the key tension in TDG’s antifragility thesis.</w:t>
      </w:r>
    </w:p>
    <w:p>
      <w:pPr>
        <w:spacing w:after="80"/>
      </w:pPr>
    </w:p>
    <w:p>
      <w:pPr>
        <w:pStyle w:val="Heading1"/>
        <w:spacing w:after="200" w:before="360"/>
      </w:pPr>
      <w:r>
        <w:rPr>
          <w:rFonts w:ascii="Arial" w:cs="Arial" w:eastAsia="Arial" w:hAnsi="Arial"/>
        </w:rPr>
        <w:t xml:space="preserve">STEP 5: LEVERAGE ASSESSMENT (Aerospace Serial Acquirer-Specific)</w:t>
      </w:r>
    </w:p>
    <w:p>
      <w:pPr>
        <w:spacing w:after="120"/>
      </w:pPr>
      <w:r>
        <w:rPr>
          <w:rFonts w:ascii="Arial" w:cs="Arial" w:eastAsia="Arial" w:hAnsi="Arial"/>
          <w:sz w:val="22"/>
          <w:szCs w:val="22"/>
        </w:rPr>
        <w:t xml:space="preserve">TransDigm’s use of leverage is fundamentally different from traditional industrial companies and requires a dedicated assessment. TDG operates at 5.0-7.0x net leverage as a deliberate strategy, not a temporary condition. The framework must evaluate whether this leverage is antifragile (amplifies returns on predictable cash flows) or fragile (creates existential risk in downturns).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3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Leverage Test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6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Flow Predictability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Aftermarket revenue is quasi-recurring. 55-60% of revenue from sole-source aftermarket with 25-year platform lock-in. Interest coverage ratio: ~4.0x (EBITDA/interest).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Stress Test Survival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PASSED</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COVID: Revenue declined ~15%, EBITDA declined ~20%. TDG maintained debt service throughout. Suspended special dividend but did not require equity raise or covenant waiver.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Debt Market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Successfully issued $5B in Sept 2025 at 6.25-6.75%. Investment-grade-quality access despite high-yield rating. Markets treat TDG debt as quasi-investment-grade due to cash flow predictability.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Covenant Headroom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ADEQUATE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 compliance with all covenants as of Sept 2025. Maintenance covenants provide ~1.5-2.0x EBITDA headroom before breach.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Refinancing Schedule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MANAGEABLE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Weighted average maturity ~7 years. No significant near-term maturities. Floating rate exposure managed through hedging.</w:t>
            </w:r>
          </w:p>
        </w:tc>
      </w:tr>
    </w:tbl>
    <w:p>
      <w:pPr>
        <w:spacing w:after="80"/>
      </w:pPr>
    </w:p>
    <w:p>
      <w:pPr>
        <w:spacing w:after="120"/>
      </w:pPr>
      <w:r>
        <w:rPr>
          <w:rFonts w:ascii="Arial" w:cs="Arial" w:eastAsia="Arial" w:hAnsi="Arial"/>
          <w:sz w:val="22"/>
          <w:szCs w:val="22"/>
        </w:rPr>
        <w:t xml:space="preserve">Leverage Verdict: DELIBERATE AND MANAGEABLE — Not a fragility flag at current levels. TDG’s leverage strategy is rational given the predictability of aftermarket cash flows. The COVID stress test validated that the model survives even extreme aviation downturns. However, leverage limits financial flexibility and means any structural change in cash flow predictability (e.g., regulatory cap on aftermarket pricing) would create significant financial stress.</w:t>
      </w:r>
    </w:p>
    <w:p>
      <w:pPr>
        <w:spacing w:after="80"/>
      </w:pPr>
    </w:p>
    <w:p>
      <w:pPr>
        <w:spacing w:after="120"/>
      </w:pPr>
      <w:r>
        <w:rPr>
          <w:rFonts w:ascii="Arial" w:cs="Arial" w:eastAsia="Arial" w:hAnsi="Arial"/>
          <w:b/>
          <w:bCs/>
          <w:sz w:val="22"/>
          <w:szCs w:val="22"/>
        </w:rPr>
        <w:t xml:space="preserve">Leverage Modifier: 0.0 (neutral). Leverage is neither a positive nor negative modifier at 5.8x, within the target 5.0-7.0x range. Would become a -0.25 red flag if leverage exceeds 7.0x or if interest coverage falls below 3.0x.</w:t>
      </w:r>
    </w:p>
    <w:p>
      <w:pPr>
        <w:spacing w:after="80"/>
      </w:pPr>
    </w:p>
    <w:p>
      <w:pPr>
        <w:pStyle w:val="Heading1"/>
        <w:spacing w:after="200" w:before="360"/>
      </w:pPr>
      <w:r>
        <w:rPr>
          <w:rFonts w:ascii="Arial" w:cs="Arial" w:eastAsia="Arial" w:hAnsi="Arial"/>
        </w:rPr>
        <w:t xml:space="preserve">STEP 6: FINAL COMPOSITE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Raw Composite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7.65</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Antifragility Modifier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Leverage Modifier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w:t>
            </w:r>
          </w:p>
        </w:tc>
      </w:tr>
      <w:tr>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FINAL COMPOSITE</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2E7D32"/>
                <w:sz w:val="20"/>
                <w:szCs w:val="20"/>
              </w:rPr>
              <w:t xml:space="preserve">7.85 — ANTIFRAGILE COMPOUNDER</w:t>
            </w:r>
          </w:p>
        </w:tc>
      </w:tr>
    </w:tbl>
    <w:p>
      <w:pPr>
        <w:spacing w:after="80"/>
      </w:pPr>
    </w:p>
    <w:p>
      <w:pPr>
        <w:spacing w:after="120"/>
      </w:pPr>
      <w:r>
        <w:rPr>
          <w:rFonts w:ascii="Arial" w:cs="Arial" w:eastAsia="Arial" w:hAnsi="Arial"/>
          <w:sz w:val="22"/>
          <w:szCs w:val="22"/>
        </w:rPr>
        <w:t xml:space="preserve">Classification: ANTIFRAGILE COMPOUNDER — Not modifier-dependent. Raw score of 7.65 clears the 7.5 threshold on its own.</w:t>
      </w:r>
    </w:p>
    <w:p>
      <w:pPr>
        <w:spacing w:after="80"/>
      </w:pPr>
    </w:p>
    <w:p>
      <w:pPr>
        <w:spacing w:after="120"/>
      </w:pPr>
      <w:r>
        <w:rPr>
          <w:rFonts w:ascii="Arial" w:cs="Arial" w:eastAsia="Arial" w:hAnsi="Arial"/>
          <w:sz w:val="22"/>
          <w:szCs w:val="22"/>
        </w:rPr>
        <w:t xml:space="preserve">ROIC-WACC Gate: PASS (+8.3% spread, threshold &gt;5%)</w:t>
      </w:r>
    </w:p>
    <w:p>
      <w:pPr>
        <w:spacing w:after="80"/>
      </w:pPr>
    </w:p>
    <w:p>
      <w:pPr>
        <w:spacing w:after="120"/>
      </w:pPr>
      <w:r>
        <w:rPr>
          <w:rFonts w:ascii="Arial" w:cs="Arial" w:eastAsia="Arial" w:hAnsi="Arial"/>
          <w:sz w:val="22"/>
          <w:szCs w:val="22"/>
        </w:rPr>
        <w:t xml:space="preserve">EVA: Positive and significant. TDG generates genuine economic value above its cost of capital.</w:t>
      </w:r>
    </w:p>
    <w:p>
      <w:pPr>
        <w:spacing w:after="80"/>
      </w:pPr>
    </w:p>
    <w:p>
      <w:pPr>
        <w:pStyle w:val="Heading3"/>
        <w:spacing w:after="120" w:before="200"/>
      </w:pPr>
      <w:r>
        <w:rPr>
          <w:rFonts w:ascii="Arial" w:cs="Arial" w:eastAsia="Arial" w:hAnsi="Arial"/>
        </w:rPr>
        <w:t xml:space="preserve">The Value Creation Identity</w:t>
      </w:r>
    </w:p>
    <w:p>
      <w:pPr>
        <w:spacing w:after="80"/>
      </w:pPr>
    </w:p>
    <w:p>
      <w:pPr>
        <w:pStyle w:val="ListParagraph"/>
        <w:numPr>
          <w:ilvl w:val="0"/>
          <w:numId w:val="7"/>
        </w:numPr>
        <w:spacing w:after="60"/>
      </w:pPr>
      <w:r>
        <w:rPr>
          <w:rFonts w:ascii="Arial" w:cs="Arial" w:eastAsia="Arial" w:hAnsi="Arial"/>
          <w:sz w:val="22"/>
          <w:szCs w:val="22"/>
        </w:rPr>
        <w:t xml:space="preserve">Reinvestment Rate: TDG retains minimal earnings (special dividends return most excess cash). Effective reinvestment rate through M&amp;A is approximately 30-40% of EBITDA.</w:t>
      </w:r>
    </w:p>
    <w:p>
      <w:pPr>
        <w:pStyle w:val="ListParagraph"/>
        <w:numPr>
          <w:ilvl w:val="0"/>
          <w:numId w:val="7"/>
        </w:numPr>
        <w:spacing w:after="60"/>
      </w:pPr>
      <w:r>
        <w:rPr>
          <w:rFonts w:ascii="Arial" w:cs="Arial" w:eastAsia="Arial" w:hAnsi="Arial"/>
          <w:sz w:val="22"/>
          <w:szCs w:val="22"/>
        </w:rPr>
        <w:t xml:space="preserve">ROIIC: ~15% on acquisitions (including full purchase price with goodwill).</w:t>
      </w:r>
    </w:p>
    <w:p>
      <w:pPr>
        <w:pStyle w:val="ListParagraph"/>
        <w:numPr>
          <w:ilvl w:val="0"/>
          <w:numId w:val="7"/>
        </w:numPr>
        <w:spacing w:after="60"/>
      </w:pPr>
      <w:r>
        <w:rPr>
          <w:rFonts w:ascii="Arial" w:cs="Arial" w:eastAsia="Arial" w:hAnsi="Arial"/>
          <w:sz w:val="22"/>
          <w:szCs w:val="22"/>
        </w:rPr>
        <w:t xml:space="preserve">Implied Intrinsic Value Growth: 35% x 15% = ~5.3% from reinvestment + ~6-8% organic growth + leverage amplification = ~15-18% equity value compounding rate.</w:t>
      </w:r>
    </w:p>
    <w:p>
      <w:pPr>
        <w:spacing w:after="80"/>
      </w:pPr>
    </w:p>
    <w:p>
      <w:pPr>
        <w:spacing w:after="120"/>
      </w:pPr>
      <w:r>
        <w:rPr>
          <w:rFonts w:ascii="Arial" w:cs="Arial" w:eastAsia="Arial" w:hAnsi="Arial"/>
          <w:sz w:val="22"/>
          <w:szCs w:val="22"/>
        </w:rPr>
        <w:t xml:space="preserve">This is a respectable compounding rate but materially below EME’s ~25-27%. The difference: TDG prioritizes capital RETURN over capital REINVESTMENT, while EME prioritizes reinvestment at high ROIIC.</w:t>
      </w:r>
    </w:p>
    <w:p>
      <w:pPr>
        <w:spacing w:after="80"/>
      </w:pPr>
    </w:p>
    <w:p>
      <w:pPr>
        <w:pStyle w:val="Heading1"/>
        <w:spacing w:after="200" w:before="360"/>
      </w:pPr>
      <w:r>
        <w:rPr>
          <w:rFonts w:ascii="Arial" w:cs="Arial" w:eastAsia="Arial" w:hAnsi="Arial"/>
        </w:rPr>
        <w:t xml:space="preserve">STEP 7: SCENARIO MODELING</w:t>
      </w:r>
    </w:p>
    <w:p>
      <w:pPr>
        <w:pStyle w:val="Heading3"/>
        <w:spacing w:after="120" w:before="200"/>
      </w:pPr>
      <w:r>
        <w:rPr>
          <w:rFonts w:ascii="Arial" w:cs="Arial" w:eastAsia="Arial" w:hAnsi="Arial"/>
        </w:rPr>
        <w:t xml:space="preserve">Bull Case (Aerospace Supercycle) — 25% probability</w:t>
      </w:r>
    </w:p>
    <w:p>
      <w:pPr>
        <w:spacing w:after="120"/>
      </w:pPr>
      <w:r>
        <w:rPr>
          <w:rFonts w:ascii="Arial" w:cs="Arial" w:eastAsia="Arial" w:hAnsi="Arial"/>
          <w:sz w:val="22"/>
          <w:szCs w:val="22"/>
        </w:rPr>
        <w:t xml:space="preserve">Air traffic grows 5-6% annually through 2030. Boeing and Airbus ramp production to 100+ aircraft/month combined. TDG captures design wins on next-gen platforms (777X, A321XLR, military programs). Defense spending accelerates under geopolitical pressure. Revenue reaches $14B+ by FY2029. EBITDA margins sustain 52-54%. Acquisitions add $1-2B revenue annually. EPS compounds at 15-20%. Stock re-rates to 25x+ forward P/E.</w:t>
      </w:r>
    </w:p>
    <w:p>
      <w:pPr>
        <w:spacing w:after="80"/>
      </w:pPr>
    </w:p>
    <w:p>
      <w:pPr>
        <w:pStyle w:val="Heading3"/>
        <w:spacing w:after="120" w:before="200"/>
      </w:pPr>
      <w:r>
        <w:rPr>
          <w:rFonts w:ascii="Arial" w:cs="Arial" w:eastAsia="Arial" w:hAnsi="Arial"/>
        </w:rPr>
        <w:t xml:space="preserve">Base Case (Steady Compounding) — 55% probability</w:t>
      </w:r>
    </w:p>
    <w:p>
      <w:pPr>
        <w:spacing w:after="120"/>
      </w:pPr>
      <w:r>
        <w:rPr>
          <w:rFonts w:ascii="Arial" w:cs="Arial" w:eastAsia="Arial" w:hAnsi="Arial"/>
          <w:sz w:val="22"/>
          <w:szCs w:val="22"/>
        </w:rPr>
        <w:t xml:space="preserve">Revenue grows 8-12% annually (organic + M&amp;A). EBITDA margins sustain 50-52% as pricing power offsets mix normalization. Aftermarket growth of 6-8% driven by flying hours and price increases. M&amp;A adds $500M-$1B revenue annually at attractive returns. EPS compounds at 10-14%. Stock trades in the 22-28x forward P/E range. Special dividends continue on 18-24 month cycle.</w:t>
      </w:r>
    </w:p>
    <w:p>
      <w:pPr>
        <w:spacing w:after="80"/>
      </w:pPr>
    </w:p>
    <w:p>
      <w:pPr>
        <w:pStyle w:val="Heading3"/>
        <w:spacing w:after="120" w:before="200"/>
      </w:pPr>
      <w:r>
        <w:rPr>
          <w:rFonts w:ascii="Arial" w:cs="Arial" w:eastAsia="Arial" w:hAnsi="Arial"/>
        </w:rPr>
        <w:t xml:space="preserve">Bear Case (Regulatory + Cycle) — 20% probability</w:t>
      </w:r>
    </w:p>
    <w:p>
      <w:pPr>
        <w:spacing w:after="120"/>
      </w:pPr>
      <w:r>
        <w:rPr>
          <w:rFonts w:ascii="Arial" w:cs="Arial" w:eastAsia="Arial" w:hAnsi="Arial"/>
          <w:sz w:val="22"/>
          <w:szCs w:val="22"/>
        </w:rPr>
        <w:t xml:space="preserve">Stop Price Gouging the Military Act passes or DoD implements aggressive should-cost reviews, compressing defense aftermarket margins by 500-1000 bps. Aviation recession (triggered by oil spike, global recession, or pandemic variant) reduces flying hours 15-20%. EBITDA margins compress to 45-48%. Revenue growth stalls at 3-5%. Stock de-rates to 16-20x forward P/E. However, even in the bear case, the installed base ensures TDG continues generating $3B+ EBITDA. Leverage becomes strained at 7.0x+ but manageable given cash flow stability.</w:t>
      </w:r>
    </w:p>
    <w:p>
      <w:pPr>
        <w:spacing w:after="80"/>
      </w:pPr>
    </w:p>
    <w:p>
      <w:pPr>
        <w:pStyle w:val="Heading1"/>
        <w:spacing w:after="200" w:before="360"/>
      </w:pPr>
      <w:r>
        <w:rPr>
          <w:rFonts w:ascii="Arial" w:cs="Arial" w:eastAsia="Arial" w:hAnsi="Arial"/>
        </w:rPr>
        <w:t xml:space="preserve">STEP 8: VALUATION GATE</w:t>
      </w:r>
    </w:p>
    <w:p>
      <w:pPr>
        <w:pStyle w:val="Heading3"/>
        <w:spacing w:after="120" w:before="200"/>
      </w:pPr>
      <w:r>
        <w:rPr>
          <w:rFonts w:ascii="Arial" w:cs="Arial" w:eastAsia="Arial" w:hAnsi="Arial"/>
        </w:rPr>
        <w:t xml:space="preserve">8A. Current Valuation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820"/>
      </w:tblGrid>
      <w:tr>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EV/EBITDA (FY2025)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~20x</w:t>
            </w:r>
          </w:p>
        </w:tc>
        <w:tc>
          <w:tcPr>
            <w:tcW w:type="dxa" w:w="4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 upper bound; requires execution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Forward P/E (FY2026)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~29x</w:t>
            </w:r>
          </w:p>
        </w:tc>
        <w:tc>
          <w:tcPr>
            <w:tcW w:type="dxa" w:w="4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Premium but justified by moat quality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P/FCF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~38-40x</w:t>
            </w:r>
          </w:p>
        </w:tc>
        <w:tc>
          <w:tcPr>
            <w:tcW w:type="dxa" w:w="4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Elevated; compressed by interest expense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FCF Yield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~2.5-3.0%</w:t>
            </w:r>
          </w:p>
        </w:tc>
        <w:tc>
          <w:tcPr>
            <w:tcW w:type="dxa" w:w="4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typical of premium compounders</w:t>
            </w:r>
          </w:p>
        </w:tc>
      </w:tr>
    </w:tbl>
    <w:p>
      <w:pPr>
        <w:spacing w:after="80"/>
      </w:pPr>
    </w:p>
    <w:p>
      <w:pPr>
        <w:pStyle w:val="Heading3"/>
        <w:spacing w:after="120" w:before="200"/>
      </w:pPr>
      <w:r>
        <w:rPr>
          <w:rFonts w:ascii="Arial" w:cs="Arial" w:eastAsia="Arial" w:hAnsi="Arial"/>
        </w:rPr>
        <w:t xml:space="preserve">8B. Implied Growth Check</w:t>
      </w:r>
    </w:p>
    <w:p>
      <w:pPr>
        <w:spacing w:after="120"/>
      </w:pPr>
      <w:r>
        <w:rPr>
          <w:rFonts w:ascii="Arial" w:cs="Arial" w:eastAsia="Arial" w:hAnsi="Arial"/>
          <w:sz w:val="22"/>
          <w:szCs w:val="22"/>
        </w:rPr>
        <w:t xml:space="preserve">At ~$90B EV and assuming a 16x terminal EV/EBITDA in year 10, the implied 10-year EBITDA CAGR required is approximately 7-9%. Current growth rate: FY2025 EBITDA +14%, FY2026 guidance +9%. Is this achievable? YES, with moderate confidence. Aftermarket pricing + flying hour growth + M&amp;A support mid-to-high single-digit EBITDA growth for a decade. The implied hurdle is achievable but leaves limited margin of error.</w:t>
      </w:r>
    </w:p>
    <w:p>
      <w:pPr>
        <w:spacing w:after="80"/>
      </w:pPr>
    </w:p>
    <w:p>
      <w:pPr>
        <w:pStyle w:val="Heading3"/>
        <w:spacing w:after="120" w:before="200"/>
      </w:pPr>
      <w:r>
        <w:rPr>
          <w:rFonts w:ascii="Arial" w:cs="Arial" w:eastAsia="Arial" w:hAnsi="Arial"/>
        </w:rPr>
        <w:t xml:space="preserve">8C. Valuation Verdict</w:t>
      </w:r>
    </w:p>
    <w:p>
      <w:pPr>
        <w:spacing w:after="80"/>
      </w:pPr>
    </w:p>
    <w:p>
      <w:pPr>
        <w:spacing w:after="120"/>
      </w:pPr>
      <w:r>
        <w:rPr>
          <w:rFonts w:ascii="Arial" w:cs="Arial" w:eastAsia="Arial" w:hAnsi="Arial"/>
          <w:b/>
          <w:bCs/>
          <w:sz w:val="22"/>
          <w:szCs w:val="22"/>
        </w:rPr>
        <w:t xml:space="preserve">Valuation Gate: BORDERLINE. At ~20x EV/EBITDA and ~29x forward P/E, TransDigm is priced as a premium compounder. The valuation is justified by the sole-source moat quality and aftermarket durability, but the margin of safety is thin. Ideal entry would be at 16-18x EV/EBITDA on a pullback (aviation scare, earnings miss, or leverage concern).</w:t>
      </w:r>
    </w:p>
    <w:p>
      <w:r>
        <w:br w:type="page"/>
      </w:r>
    </w:p>
    <w:p>
      <w:pPr>
        <w:pStyle w:val="Heading1"/>
        <w:spacing w:after="200" w:before="360"/>
      </w:pPr>
      <w:r>
        <w:rPr>
          <w:rFonts w:ascii="Arial" w:cs="Arial" w:eastAsia="Arial" w:hAnsi="Arial"/>
        </w:rPr>
        <w:t xml:space="preserve">STEP 9: FINAL VERDICT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32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Weight/Mod</w:t>
            </w:r>
          </w:p>
        </w:tc>
        <w:tc>
          <w:tcPr>
            <w:tcW w:type="dxa" w:w="4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Driver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SSMI Pre-Screen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6/7 Strong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FORTRESS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 sole-source, FAA cert, 25-yr lock-in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D1: Capital Efficiency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ROIC-WACC +8.3%, 53.9% EBITDA margin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D2: Reinvestment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ROIIC ~15%, M&amp;A at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D3: Revenue Durability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lock-in, COVID-tested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D4: Secular Demand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Air traffic + fleet aging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Raw Composite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7.65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Antifragile on raw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Antifragility Modifier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of 5 stress tests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Leverage Modifier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Neutral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5.8x within target range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FINAL COMPOSITE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7.85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COMPOUNDER</w:t>
            </w:r>
          </w:p>
        </w:tc>
        <w:tc>
          <w:tcPr>
            <w:tcW w:type="dxa" w:w="4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modifier-dependent</w:t>
            </w:r>
          </w:p>
        </w:tc>
      </w:tr>
    </w:tbl>
    <w:p>
      <w:pPr>
        <w:spacing w:after="80"/>
      </w:pPr>
    </w:p>
    <w:p>
      <w:pPr>
        <w:spacing w:after="120"/>
      </w:pPr>
      <w:r>
        <w:rPr>
          <w:rFonts w:ascii="Arial" w:cs="Arial" w:eastAsia="Arial" w:hAnsi="Arial"/>
          <w:b/>
          <w:bCs/>
          <w:sz w:val="22"/>
          <w:szCs w:val="22"/>
        </w:rPr>
        <w:t xml:space="preserve">Classification: ANTIFRAGILE COMPOUNDER — Sole-source aerospace value creator</w:t>
      </w:r>
    </w:p>
    <w:p>
      <w:pPr>
        <w:spacing w:after="120"/>
      </w:pPr>
      <w:r>
        <w:rPr>
          <w:rFonts w:ascii="Arial" w:cs="Arial" w:eastAsia="Arial" w:hAnsi="Arial"/>
          <w:sz w:val="22"/>
          <w:szCs w:val="22"/>
        </w:rPr>
        <w:t xml:space="preserve">EVA Status: Positive (+8.3% ROIC-WACC spread)</w:t>
      </w:r>
    </w:p>
    <w:p>
      <w:pPr>
        <w:spacing w:after="120"/>
      </w:pPr>
      <w:r>
        <w:rPr>
          <w:rFonts w:ascii="Arial" w:cs="Arial" w:eastAsia="Arial" w:hAnsi="Arial"/>
          <w:sz w:val="22"/>
          <w:szCs w:val="22"/>
        </w:rPr>
        <w:t xml:space="preserve">Scenarios: Bull: 25% | Base: 55% | Bear: 20%</w:t>
      </w:r>
    </w:p>
    <w:p>
      <w:pPr>
        <w:spacing w:after="120"/>
      </w:pPr>
      <w:r>
        <w:rPr>
          <w:rFonts w:ascii="Arial" w:cs="Arial" w:eastAsia="Arial" w:hAnsi="Arial"/>
          <w:sz w:val="22"/>
          <w:szCs w:val="22"/>
        </w:rPr>
        <w:t xml:space="preserve">Valuation: ~20x EV/EBITDA, ~29x Forward P/E — BORDERLINE (full but not extreme for moat quality)</w:t>
      </w:r>
    </w:p>
    <w:p>
      <w:pPr>
        <w:spacing w:after="80"/>
      </w:pPr>
    </w:p>
    <w:p>
      <w:pPr>
        <w:pStyle w:val="Heading3"/>
        <w:spacing w:after="120" w:before="200"/>
      </w:pPr>
      <w:r>
        <w:rPr>
          <w:rFonts w:ascii="Arial" w:cs="Arial" w:eastAsia="Arial" w:hAnsi="Arial"/>
        </w:rPr>
        <w:t xml:space="preserve">Investment Rating &amp; Sizing</w:t>
      </w:r>
    </w:p>
    <w:p>
      <w:pPr>
        <w:spacing w:after="80"/>
      </w:pPr>
    </w:p>
    <w:p>
      <w:pPr>
        <w:spacing w:after="120"/>
      </w:pPr>
      <w:r>
        <w:rPr>
          <w:rFonts w:ascii="Arial" w:cs="Arial" w:eastAsia="Arial" w:hAnsi="Arial"/>
          <w:b/>
          <w:bCs/>
          <w:sz w:val="22"/>
          <w:szCs w:val="22"/>
        </w:rPr>
        <w:t xml:space="preserve">Rating: BUY on pullbacks to 16-18x EV/EBITDA (~$900-$1,000/share) / HOLD at current levels</w:t>
      </w:r>
    </w:p>
    <w:p>
      <w:pPr>
        <w:spacing w:after="120"/>
      </w:pPr>
      <w:r>
        <w:rPr>
          <w:rFonts w:ascii="Arial" w:cs="Arial" w:eastAsia="Arial" w:hAnsi="Arial"/>
          <w:sz w:val="22"/>
          <w:szCs w:val="22"/>
        </w:rPr>
        <w:t xml:space="preserve">Position Size: 2-3% of portfolio at current levels. Full 4-5% sizing at 16-18x EV/EBITDA entry.</w:t>
      </w:r>
    </w:p>
    <w:p>
      <w:pPr>
        <w:spacing w:after="80"/>
      </w:pPr>
    </w:p>
    <w:p>
      <w:pPr>
        <w:pStyle w:val="Heading3"/>
        <w:spacing w:after="120" w:before="200"/>
      </w:pPr>
      <w:r>
        <w:rPr>
          <w:rFonts w:ascii="Arial" w:cs="Arial" w:eastAsia="Arial" w:hAnsi="Arial"/>
        </w:rPr>
        <w:t xml:space="preserve">The Thesis in Two Sentences</w:t>
      </w:r>
    </w:p>
    <w:p>
      <w:pPr>
        <w:spacing w:after="80"/>
      </w:pPr>
    </w:p>
    <w:p>
      <w:pPr>
        <w:spacing w:after="120"/>
      </w:pPr>
      <w:r>
        <w:rPr>
          <w:rFonts w:ascii="Arial" w:cs="Arial" w:eastAsia="Arial" w:hAnsi="Arial"/>
          <w:sz w:val="22"/>
          <w:szCs w:val="22"/>
        </w:rPr>
        <w:t xml:space="preserve">TransDigm is a fortress-class aerospace compounder built on ~80% sole-source, proprietary components installed on aircraft platforms that fly for 25-30 years, generating 54% EBITDA margins and aftermarket annuity economics that survived even COVID’s 60% air traffic decline. At 20x EV/EBITDA the stock is fairly valued for this moat quality, but the 5.8x leverage, regulatory pricing scrutiny, and CEO transition warrant a pullback-entry discipline — buy aggressively below 18x EV/EBITDA where the margin of safety compensates for the genuine fragilities within this largely antifragile business.</w:t>
      </w:r>
    </w:p>
    <w:p>
      <w:pPr>
        <w:spacing w:after="80"/>
      </w:pPr>
    </w:p>
    <w:p>
      <w:pPr>
        <w:pStyle w:val="Heading3"/>
        <w:spacing w:after="120" w:before="200"/>
      </w:pPr>
      <w:r>
        <w:rPr>
          <w:rFonts w:ascii="Arial" w:cs="Arial" w:eastAsia="Arial" w:hAnsi="Arial"/>
        </w:rPr>
        <w:t xml:space="preserve">The Biggest Risk the Market May Be Underpricing</w:t>
      </w:r>
    </w:p>
    <w:p>
      <w:pPr>
        <w:spacing w:after="80"/>
      </w:pPr>
    </w:p>
    <w:p>
      <w:pPr>
        <w:spacing w:after="120"/>
      </w:pPr>
      <w:r>
        <w:rPr>
          <w:rFonts w:ascii="Arial" w:cs="Arial" w:eastAsia="Arial" w:hAnsi="Arial"/>
          <w:sz w:val="22"/>
          <w:szCs w:val="22"/>
        </w:rPr>
        <w:t xml:space="preserve">Regulatory/political risk on aftermarket pricing. TransDigm’s 54% EBITDA margin is built on aggressive sole-source pricing. The DoD IG found excess profits up to 3,850% on sampled parts. While defense is only ~12-14% of revenue, successful legislation (Stop Price Gouging the Military Act) could establish precedent that extends to commercial aftermarket oversight. The probability is low (&lt;15%) but the impact would be material — every 100 bps of EBITDA margin compression removes ~$90M of annual EBITDA and $1-2B of enterprise value.</w:t>
      </w:r>
    </w:p>
    <w:p>
      <w:pPr>
        <w:spacing w:after="80"/>
      </w:pPr>
    </w:p>
    <w:p>
      <w:pPr>
        <w:pStyle w:val="Heading3"/>
        <w:spacing w:after="120" w:before="200"/>
      </w:pPr>
      <w:r>
        <w:rPr>
          <w:rFonts w:ascii="Arial" w:cs="Arial" w:eastAsia="Arial" w:hAnsi="Arial"/>
        </w:rPr>
        <w:t xml:space="preserve">The Kill Switch — Sell immediately if:</w:t>
      </w:r>
    </w:p>
    <w:p>
      <w:pPr>
        <w:spacing w:after="80"/>
      </w:pPr>
    </w:p>
    <w:p>
      <w:pPr>
        <w:pStyle w:val="ListParagraph"/>
        <w:numPr>
          <w:ilvl w:val="0"/>
          <w:numId w:val="8"/>
        </w:numPr>
        <w:spacing w:after="60"/>
      </w:pPr>
      <w:r>
        <w:rPr>
          <w:rFonts w:ascii="Arial" w:cs="Arial" w:eastAsia="Arial" w:hAnsi="Arial"/>
          <w:sz w:val="22"/>
          <w:szCs w:val="22"/>
        </w:rPr>
        <w:t xml:space="preserve">EBITDA margin falls below 45% for two consecutive quarters (signals structural pricing power erosion, not just mix).</w:t>
      </w:r>
    </w:p>
    <w:p>
      <w:pPr>
        <w:pStyle w:val="ListParagraph"/>
        <w:numPr>
          <w:ilvl w:val="0"/>
          <w:numId w:val="8"/>
        </w:numPr>
        <w:spacing w:after="60"/>
      </w:pPr>
      <w:r>
        <w:rPr>
          <w:rFonts w:ascii="Arial" w:cs="Arial" w:eastAsia="Arial" w:hAnsi="Arial"/>
          <w:sz w:val="22"/>
          <w:szCs w:val="22"/>
        </w:rPr>
        <w:t xml:space="preserve">Net leverage exceeds 7.0x with no clear deleveraging path (signals capital allocation indiscipline).</w:t>
      </w:r>
    </w:p>
    <w:p>
      <w:pPr>
        <w:pStyle w:val="ListParagraph"/>
        <w:numPr>
          <w:ilvl w:val="0"/>
          <w:numId w:val="8"/>
        </w:numPr>
        <w:spacing w:after="60"/>
      </w:pPr>
      <w:r>
        <w:rPr>
          <w:rFonts w:ascii="Arial" w:cs="Arial" w:eastAsia="Arial" w:hAnsi="Arial"/>
          <w:sz w:val="22"/>
          <w:szCs w:val="22"/>
        </w:rPr>
        <w:t xml:space="preserve">Stop Price Gouging the Military Act passes AND commercial aftermarket pricing legislation is introduced (signals systemic regulatory risk).</w:t>
      </w:r>
    </w:p>
    <w:p>
      <w:pPr>
        <w:pStyle w:val="ListParagraph"/>
        <w:numPr>
          <w:ilvl w:val="0"/>
          <w:numId w:val="8"/>
        </w:numPr>
        <w:spacing w:after="60"/>
      </w:pPr>
      <w:r>
        <w:rPr>
          <w:rFonts w:ascii="Arial" w:cs="Arial" w:eastAsia="Arial" w:hAnsi="Arial"/>
          <w:sz w:val="22"/>
          <w:szCs w:val="22"/>
        </w:rPr>
        <w:t xml:space="preserve">Aftermarket organic revenue declines for three consecutive quarters outside of a macro downturn (signals installed base erosion).</w:t>
      </w:r>
    </w:p>
    <w:p>
      <w:pPr>
        <w:pStyle w:val="ListParagraph"/>
        <w:numPr>
          <w:ilvl w:val="0"/>
          <w:numId w:val="8"/>
        </w:numPr>
        <w:spacing w:after="60"/>
      </w:pPr>
      <w:r>
        <w:rPr>
          <w:rFonts w:ascii="Arial" w:cs="Arial" w:eastAsia="Arial" w:hAnsi="Arial"/>
          <w:sz w:val="22"/>
          <w:szCs w:val="22"/>
        </w:rPr>
        <w:t xml:space="preserve">Management makes a transformative acquisition at &gt;15x EBITDA outside core aerospace (signals strategy drift).</w:t>
      </w:r>
    </w:p>
    <w:p>
      <w:pPr>
        <w:spacing w:after="80"/>
      </w:pPr>
    </w:p>
    <w:p>
      <w:pPr>
        <w:pStyle w:val="Heading3"/>
        <w:spacing w:after="120" w:before="200"/>
      </w:pPr>
      <w:r>
        <w:rPr>
          <w:rFonts w:ascii="Arial" w:cs="Arial" w:eastAsia="Arial" w:hAnsi="Arial"/>
        </w:rPr>
        <w:t xml:space="preserve">Review Trigger — Re-run full assessment if:</w:t>
      </w:r>
    </w:p>
    <w:p>
      <w:pPr>
        <w:spacing w:after="80"/>
      </w:pPr>
    </w:p>
    <w:p>
      <w:pPr>
        <w:pStyle w:val="ListParagraph"/>
        <w:numPr>
          <w:ilvl w:val="0"/>
          <w:numId w:val="8"/>
        </w:numPr>
        <w:spacing w:after="60"/>
      </w:pPr>
      <w:r>
        <w:rPr>
          <w:rFonts w:ascii="Arial" w:cs="Arial" w:eastAsia="Arial" w:hAnsi="Arial"/>
          <w:sz w:val="22"/>
          <w:szCs w:val="22"/>
        </w:rPr>
        <w:t xml:space="preserve">Stock pulls back to 16-18x EV/EBITDA (would change Valuation Gate from BORDERLINE to PASS).</w:t>
      </w:r>
    </w:p>
    <w:p>
      <w:pPr>
        <w:pStyle w:val="ListParagraph"/>
        <w:numPr>
          <w:ilvl w:val="0"/>
          <w:numId w:val="8"/>
        </w:numPr>
        <w:spacing w:after="60"/>
      </w:pPr>
      <w:r>
        <w:rPr>
          <w:rFonts w:ascii="Arial" w:cs="Arial" w:eastAsia="Arial" w:hAnsi="Arial"/>
          <w:sz w:val="22"/>
          <w:szCs w:val="22"/>
        </w:rPr>
        <w:t xml:space="preserve">HEICO PMA approvals accelerate materially (would weaken Moat 1 assessment).</w:t>
      </w:r>
    </w:p>
    <w:p>
      <w:pPr>
        <w:pStyle w:val="ListParagraph"/>
        <w:numPr>
          <w:ilvl w:val="0"/>
          <w:numId w:val="8"/>
        </w:numPr>
        <w:spacing w:after="60"/>
      </w:pPr>
      <w:r>
        <w:rPr>
          <w:rFonts w:ascii="Arial" w:cs="Arial" w:eastAsia="Arial" w:hAnsi="Arial"/>
          <w:sz w:val="22"/>
          <w:szCs w:val="22"/>
        </w:rPr>
        <w:t xml:space="preserve">Defense revenue exceeds 25% of total (would increase regulatory exposure).</w:t>
      </w:r>
    </w:p>
    <w:p>
      <w:pPr>
        <w:pStyle w:val="ListParagraph"/>
        <w:numPr>
          <w:ilvl w:val="0"/>
          <w:numId w:val="8"/>
        </w:numPr>
        <w:spacing w:after="60"/>
      </w:pPr>
      <w:r>
        <w:rPr>
          <w:rFonts w:ascii="Arial" w:cs="Arial" w:eastAsia="Arial" w:hAnsi="Arial"/>
          <w:sz w:val="22"/>
          <w:szCs w:val="22"/>
        </w:rPr>
        <w:t xml:space="preserve">New CEO Lisman announces material strategy changes (acquisitions in non-aerospace, pricing philosophy shift).</w:t>
      </w:r>
    </w:p>
    <w:p>
      <w:pPr>
        <w:spacing w:after="80"/>
      </w:pPr>
    </w:p>
    <w:p>
      <w:pPr>
        <w:spacing w:after="80"/>
      </w:pPr>
    </w:p>
    <w:p>
      <w:pPr>
        <w:pBdr>
          <w:top w:val="single" w:color="CCCCCC" w:sz="2" w:space="1"/>
        </w:pBdr>
        <w:spacing w:after="80" w:before="200"/>
      </w:pPr>
      <w:r>
        <w:rPr>
          <w:rFonts w:ascii="Arial" w:cs="Arial" w:eastAsia="Arial" w:hAnsi="Arial"/>
          <w:i/>
          <w:iCs/>
          <w:color w:val="888888"/>
          <w:sz w:val="18"/>
          <w:szCs w:val="18"/>
        </w:rPr>
        <w:t xml:space="preserve">Framework version 1.0 — March 2026</w:t>
      </w:r>
    </w:p>
    <w:p>
      <w:r>
        <w:rPr>
          <w:rFonts w:ascii="Arial" w:cs="Arial" w:eastAsia="Arial" w:hAnsi="Arial"/>
          <w:i/>
          <w:iCs/>
          <w:color w:val="888888"/>
          <w:sz w:val="18"/>
          <w:szCs w:val="18"/>
        </w:rPr>
        <w:t xml:space="preserve">Hybrid synthesis of: SaaS Antifragility Framework v2.0 (Stoffel-Feroldi × Bustamante) + Infrastructure Compounder Assessment (EVA × ROIC × ROIIC) + Constellation Software Serial Acquirer Adaptation</w:t>
      </w:r>
    </w:p>
    <w:p>
      <w:r>
        <w:rPr>
          <w:rFonts w:ascii="Arial" w:cs="Arial" w:eastAsia="Arial" w:hAnsi="Arial"/>
          <w:i/>
          <w:iCs/>
          <w:color w:val="888888"/>
          <w:sz w:val="18"/>
          <w:szCs w:val="18"/>
        </w:rPr>
        <w:t xml:space="preserve">All claims subject to mandatory verification pass per standard protocol.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jc w:val="right"/>
    </w:pPr>
    <w:r>
      <w:rPr>
        <w:rFonts w:ascii="Arial" w:cs="Arial" w:eastAsia="Arial" w:hAnsi="Arial"/>
        <w:i/>
        <w:iCs/>
        <w:color w:val="888888"/>
        <w:sz w:val="16"/>
        <w:szCs w:val="16"/>
      </w:rPr>
      <w:t xml:space="preserve">Aerospace Serial Acquirer Antifragility Framework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2026-03-26T19:19:26.635Z</dcterms:created>
  <dcterms:modified xsi:type="dcterms:W3CDTF">2026-03-26T19:19:26.635Z</dcterms:modified>
</cp:coreProperties>
</file>

<file path=docProps/custom.xml><?xml version="1.0" encoding="utf-8"?>
<Properties xmlns="http://schemas.openxmlformats.org/officeDocument/2006/custom-properties" xmlns:vt="http://schemas.openxmlformats.org/officeDocument/2006/docPropsVTypes"/>
</file>