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t xml:space="preserve">TEMPUS AI (TEM)</w:t>
      </w:r>
    </w:p>
    <w:p>
      <w:pPr>
        <w:spacing w:after="240"/>
        <w:jc w:val="center"/>
      </w:pPr>
      <w:r>
        <w:t xml:space="preserve">Healthcare Antifragility Analysis</w:t>
      </w:r>
    </w:p>
    <w:p>
      <w:pPr>
        <w:spacing w:after="480"/>
        <w:jc w:val="center"/>
      </w:pPr>
      <w:r>
        <w:t xml:space="preserve">Healthcare Antifragility Framework v1.0 Application</w:t>
      </w:r>
    </w:p>
    <w:p>
      <w:pPr>
        <w:spacing w:after="600"/>
        <w:jc w:val="center"/>
      </w:pPr>
      <w:r>
        <w:t xml:space="preserve">Date: February 28, 2026</w:t>
      </w:r>
    </w:p>
    <w:r>
      <w:br w:type="page"/>
    </w:r>
    <w:p>
      <w:pPr>
        <w:pStyle w:val="Heading1"/>
        <w:spacing w:after="120" w:before="240"/>
      </w:pPr>
      <w:r>
        <w:t xml:space="preserve">COMPANY OVERVIEW</w:t>
      </w:r>
    </w:p>
    <w:p>
      <w:pPr>
        <w:pStyle w:val="Normal"/>
        <w:spacing w:after="120"/>
        <w:jc w:val="left"/>
      </w:pPr>
      <w:r>
        <w:t xml:space="preserve">Company: Tempus AI, Inc. (NASDAQ: TEM)</w:t>
      </w:r>
    </w:p>
    <w:p>
      <w:pPr>
        <w:pStyle w:val="Normal"/>
        <w:spacing w:after="120"/>
        <w:jc w:val="left"/>
      </w:pPr>
      <w:r>
        <w:t xml:space="preserve">Sector: Precision Medicine / Healthcare AI / Diagnostics + Data Platform</w:t>
      </w:r>
    </w:p>
    <w:p>
      <w:pPr>
        <w:pStyle w:val="Normal"/>
        <w:spacing w:after="120"/>
        <w:jc w:val="left"/>
      </w:pPr>
      <w:r>
        <w:t xml:space="preserve">Current Price: ~$55.41 (Feb 26, 2026)</w:t>
      </w:r>
    </w:p>
    <w:p>
      <w:pPr>
        <w:pStyle w:val="Normal"/>
        <w:spacing w:after="120"/>
        <w:jc w:val="left"/>
      </w:pPr>
      <w:r>
        <w:t xml:space="preserve">Market Cap: ~$9.9B</w:t>
      </w:r>
    </w:p>
    <w:p>
      <w:pPr>
        <w:pStyle w:val="Normal"/>
        <w:spacing w:after="120"/>
        <w:jc w:val="left"/>
      </w:pPr>
      <w:r>
        <w:t xml:space="preserve">2025 Revenue: $1.27B (83% YoY growth incl. Ambry; 33.5% organic)</w:t>
      </w:r>
    </w:p>
    <w:p>
      <w:pPr>
        <w:pStyle w:val="Normal"/>
        <w:spacing w:after="120"/>
        <w:jc w:val="left"/>
      </w:pPr>
      <w:r>
        <w:t xml:space="preserve">2026 Guidance: $1.59B revenue, ~$65M adjusted EBITDA</w:t>
      </w:r>
    </w:p>
    <w:p>
      <w:pPr>
        <w:pStyle w:val="Normal"/>
        <w:spacing w:after="240"/>
        <w:jc w:val="left"/>
      </w:pPr>
      <w:r>
        <w:t xml:space="preserve">CEO: Eric Lefkofsky (Founder)</w:t>
      </w:r>
    </w:p>
    <w:p>
      <w:pPr>
        <w:pStyle w:val="Heading2"/>
        <w:spacing w:after="120" w:before="240"/>
      </w:pPr>
      <w:r>
        <w:t xml:space="preserve">Primary Revenue Streams</w:t>
      </w:r>
    </w:p>
    <w:p>
      <w:pPr>
        <w:pStyle w:val="ListParagraph"/>
        <w:pStyle w:val="Normal"/>
        <w:numPr>
          <w:ilvl w:val="0"/>
          <w:numId w:val="1"/>
        </w:numPr>
        <w:spacing w:after="100"/>
      </w:pPr>
      <w:r>
        <w:t xml:space="preserve">Genomics/Diagnostics: ~73% of Q4 2025 revenue ($266.9M). Oncology NGS testing (xT, xF, xR), hereditary cancer testing (via Ambry Genetics acquisition), MRD testing. Volume growth: oncology +29% YoY, hereditary +23% YoY, MRD +56% QoQ.</w:t>
      </w:r>
    </w:p>
    <w:p>
      <w:pPr>
        <w:pStyle w:val="ListParagraph"/>
        <w:pStyle w:val="Normal"/>
        <w:numPr>
          <w:ilvl w:val="0"/>
          <w:numId w:val="1"/>
        </w:numPr>
        <w:spacing w:after="100"/>
      </w:pPr>
      <w:r>
        <w:t xml:space="preserve">Data &amp; Services (Insights): ~27% of Q4 2025 revenue ($100.4M). Data licensing to pharma companies (70+ customers including AstraZeneca, GSK, BMS, Pfizer, Novartis, Merck, AbbVie, Daiichi Sankyo, Eli Lilly, Boehringer Ingelheim), AI applications, clinical trial matching.</w:t>
      </w:r>
    </w:p>
    <w:p/>
    <w:p>
      <w:pPr>
        <w:pStyle w:val="Heading2"/>
        <w:spacing w:after="120" w:before="240"/>
      </w:pPr>
      <w:r>
        <w:t xml:space="preserve">Key Moats Identified by Management</w:t>
      </w:r>
    </w:p>
    <w:p>
      <w:pPr>
        <w:pStyle w:val="ListParagraph"/>
        <w:pStyle w:val="Normal"/>
        <w:numPr>
          <w:ilvl w:val="0"/>
          <w:numId w:val="1"/>
        </w:numPr>
        <w:spacing w:after="100"/>
      </w:pPr>
      <w:r>
        <w:t xml:space="preserve">400+ petabytes of multimodal healthcare data</w:t>
      </w:r>
    </w:p>
    <w:p>
      <w:pPr>
        <w:pStyle w:val="ListParagraph"/>
        <w:pStyle w:val="Normal"/>
        <w:numPr>
          <w:ilvl w:val="0"/>
          <w:numId w:val="1"/>
        </w:numPr>
        <w:spacing w:after="100"/>
      </w:pPr>
      <w:r>
        <w:t xml:space="preserve">45+ million patient records (9M de-identified and ingested)</w:t>
      </w:r>
    </w:p>
    <w:p>
      <w:pPr>
        <w:pStyle w:val="ListParagraph"/>
        <w:pStyle w:val="Normal"/>
        <w:numPr>
          <w:ilvl w:val="0"/>
          <w:numId w:val="1"/>
        </w:numPr>
        <w:spacing w:after="100"/>
      </w:pPr>
      <w:r>
        <w:t xml:space="preserve">5,500+ hospital connections</w:t>
      </w:r>
    </w:p>
    <w:p>
      <w:pPr>
        <w:pStyle w:val="ListParagraph"/>
        <w:pStyle w:val="Normal"/>
        <w:numPr>
          <w:ilvl w:val="0"/>
          <w:numId w:val="1"/>
        </w:numPr>
        <w:spacing w:after="100"/>
      </w:pPr>
      <w:r>
        <w:t xml:space="preserve">~700 peer-reviewed articles, 2,000+ total publications</w:t>
      </w:r>
    </w:p>
    <w:p>
      <w:pPr>
        <w:pStyle w:val="ListParagraph"/>
        <w:pStyle w:val="Normal"/>
        <w:numPr>
          <w:ilvl w:val="0"/>
          <w:numId w:val="1"/>
        </w:numPr>
        <w:spacing w:after="100"/>
      </w:pPr>
      <w:r>
        <w:t xml:space="preserve">Data-diagnostics flywheel: more tests → more data → better AI models → more tests</w:t>
      </w:r>
    </w:p>
    <w:p>
      <w:pPr>
        <w:pStyle w:val="ListParagraph"/>
        <w:pStyle w:val="Normal"/>
        <w:numPr>
          <w:ilvl w:val="0"/>
          <w:numId w:val="1"/>
        </w:numPr>
        <w:spacing w:after="100"/>
      </w:pPr>
      <w:r>
        <w:t xml:space="preserve">Multiple FDA 510(k) clearances (xT CDx, xR IVD, Pixel, ECG-Low EF)</w:t>
      </w:r>
    </w:p>
    <w:r>
      <w:br w:type="page"/>
    </w:r>
    <w:p>
      <w:pPr>
        <w:pStyle w:val="Heading1"/>
        <w:spacing w:after="120" w:before="240"/>
      </w:pPr>
      <w:r>
        <w:t xml:space="preserve">STAGE 1 — HEALTHCARE MOAT DESTRUCTION INDEX (HMDI)</w:t>
      </w:r>
    </w:p>
    <w:p>
      <w:pPr>
        <w:pStyle w:val="Heading2"/>
        <w:spacing w:after="120" w:before="240"/>
      </w:pPr>
      <w:r>
        <w:t xml:space="preserve">MOAT 1: CLINICAL EVIDENCE &amp; GUIDELINE EMBEDDING</w:t>
      </w:r>
    </w:p>
    <w:p>
      <w:pPr>
        <w:pStyle w:val="Normal"/>
        <w:spacing w:after="120"/>
        <w:jc w:val="left"/>
      </w:pPr>
      <w:r>
        <w:t xml:space="preserve">Score: 1/2 (PARTIAL)</w:t>
      </w:r>
    </w:p>
    <w:p>
      <w:pPr>
        <w:pStyle w:val="Normal"/>
        <w:spacing w:after="120"/>
        <w:jc w:val="left"/>
      </w:pPr>
      <w:r>
        <w:t xml:space="preserve">Status: STRENGTHENED BY AI</w:t>
      </w:r>
    </w:p>
    <w:p>
      <w:pPr>
        <w:pStyle w:val="Normal"/>
        <w:spacing w:after="120"/>
        <w:jc w:val="left"/>
      </w:pPr>
      <w:r>
        <w:t xml:space="preserve">Evidence: Tempus has ~700 peer-reviewed publications and 2,000+ total publications — an impressive evidence base. However, Tempus products are NOT yet referenced by name in major NCCN guidelines for specific indications (unlike Foundation Medicine's FoundationOne CDx which has specific NCCN companion diagnostic references). Tempus One integrates ASCO guidelines into its platform but this is consumption of guidelines, not being referenced IN guidelines. Clinical evidence is growing rapidly but is primarily retrospective/observational rather than prospective RCT.</w:t>
      </w:r>
    </w:p>
    <w:p>
      <w:pPr>
        <w:pStyle w:val="Normal"/>
        <w:spacing w:after="240"/>
        <w:jc w:val="left"/>
      </w:pPr>
      <w:r>
        <w:t xml:space="preserve">Key finding: Evidence base is substantial but not yet guideline-defining. Tempus is building toward this but hasn't achieved the NCCN "named in guidelines" status that competitors like Foundation Medicine have.</w:t>
      </w:r>
    </w:p>
    <w:p>
      <w:pPr>
        <w:pStyle w:val="Heading2"/>
        <w:spacing w:after="120" w:before="240"/>
      </w:pPr>
      <w:r>
        <w:t xml:space="preserve">MOAT 2: REGULATORY APPROVAL BARRIERS (FDA/LDT)</w:t>
      </w:r>
    </w:p>
    <w:p>
      <w:pPr>
        <w:pStyle w:val="Normal"/>
        <w:spacing w:after="120"/>
        <w:jc w:val="left"/>
      </w:pPr>
      <w:r>
        <w:t xml:space="preserve">Score: 2/2 (STRONG)</w:t>
      </w:r>
    </w:p>
    <w:p>
      <w:pPr>
        <w:pStyle w:val="Normal"/>
        <w:spacing w:after="120"/>
        <w:jc w:val="left"/>
      </w:pPr>
      <w:r>
        <w:t xml:space="preserve">Status: STRUCTURAL</w:t>
      </w:r>
    </w:p>
    <w:p>
      <w:pPr>
        <w:pStyle w:val="Normal"/>
        <w:spacing w:after="120"/>
        <w:jc w:val="left"/>
      </w:pPr>
      <w:r>
        <w:t xml:space="preserve">Evidence: Multiple FDA 510(k) clearances — xT CDx (companion diagnostic), xR IVD (RNA NGS device), Tempus Pixel (AI cardiac imaging, updated Sept 2025), ECG-Low EF Software (July 2025). Tempus is actively migrating xT volume to FDA-approved version with goal of "vast majority" on FDA version by end of 2026. About one-third of xT CDx volume already on FDA-approved or ADLT pathways. QMS infrastructure in place. Ambry Genetics brings 25 years of variant interpretation expertise. Note: While FDA LDT enforcement was rescinded in Sept 2025, Tempus's FDA clearances provide pricing legitimacy and payer preference independent of enforcement status. The ADLT pathway migration is a direct ASP improvement catalyst ($500+ per test improvement expected).</w:t>
      </w:r>
    </w:p>
    <w:p>
      <w:pPr>
        <w:pStyle w:val="Normal"/>
        <w:spacing w:after="240"/>
        <w:jc w:val="left"/>
      </w:pPr>
      <w:r>
        <w:t xml:space="preserve">Key finding: This moat is strong and structural, with ADLT migration as the key 2026 catalyst.</w:t>
      </w:r>
    </w:p>
    <w:p>
      <w:pPr>
        <w:pStyle w:val="Heading2"/>
        <w:spacing w:after="120" w:before="240"/>
      </w:pPr>
      <w:r>
        <w:t xml:space="preserve">MOAT 3: REIMBURSEMENT LOCK-IN (CPT/PAYER)</w:t>
      </w:r>
    </w:p>
    <w:p>
      <w:pPr>
        <w:pStyle w:val="Normal"/>
        <w:spacing w:after="120"/>
        <w:jc w:val="left"/>
      </w:pPr>
      <w:r>
        <w:t xml:space="preserve">Score: 1/2 (PARTIAL)</w:t>
      </w:r>
    </w:p>
    <w:p>
      <w:pPr>
        <w:pStyle w:val="Normal"/>
        <w:spacing w:after="120"/>
        <w:jc w:val="left"/>
      </w:pPr>
      <w:r>
        <w:t xml:space="preserve">Status: STICKY</w:t>
      </w:r>
    </w:p>
    <w:p>
      <w:pPr>
        <w:pStyle w:val="Normal"/>
        <w:spacing w:after="120"/>
        <w:jc w:val="left"/>
      </w:pPr>
      <w:r>
        <w:t xml:space="preserve">Evidence: Tempus is actively working reimbursement — Q3 2025 ASP ~$1,600 (up from ~$1,580 QoQ), with mid-teens % improvement in average reimbursement per test. However, ASP remains below peers (Foundation Medicine xT equivalent at ~$3,500+). Tempus is pursuing ADLT pathway migrations which could unlock higher reimbursement. About one-third of xT CDx volume on FDA-approved or ADLT pathways. Reimbursement gap vs. peers is narrowing but still significant. Not yet at dedicated CPT code level for proprietary tests (using existing codes). NCD/LCD coverage building but not yet at ≥80% positive LCD coverage level.</w:t>
      </w:r>
    </w:p>
    <w:p>
      <w:pPr>
        <w:pStyle w:val="Normal"/>
        <w:spacing w:after="240"/>
        <w:jc w:val="left"/>
      </w:pPr>
      <w:r>
        <w:t xml:space="preserve">Key finding: Reimbursement is improving but below peers. The ADLT migration is the key catalyst for 2026.</w:t>
      </w:r>
    </w:p>
    <w:p>
      <w:pPr>
        <w:pStyle w:val="Heading2"/>
        <w:spacing w:after="120" w:before="240"/>
      </w:pPr>
      <w:r>
        <w:t xml:space="preserve">MOAT 4: CLINICAL WORKFLOW EMBEDDING (EHR/PROVIDER)</w:t>
      </w:r>
    </w:p>
    <w:p>
      <w:pPr>
        <w:pStyle w:val="Normal"/>
        <w:spacing w:after="120"/>
        <w:jc w:val="left"/>
      </w:pPr>
      <w:r>
        <w:t xml:space="preserve">Score: 2/2 (STRONG)</w:t>
      </w:r>
    </w:p>
    <w:p>
      <w:pPr>
        <w:pStyle w:val="Normal"/>
        <w:spacing w:after="120"/>
        <w:jc w:val="left"/>
      </w:pPr>
      <w:r>
        <w:t xml:space="preserve">Status: DURABLE</w:t>
      </w:r>
    </w:p>
    <w:p>
      <w:pPr>
        <w:pStyle w:val="Normal"/>
        <w:spacing w:after="120"/>
        <w:jc w:val="left"/>
      </w:pPr>
      <w:r>
        <w:t xml:space="preserve">Evidence: Connected to 5,500+ hospitals. Tempus One (generative AI clinical assistant) launched with direct EHR integration in June 2025, integrating ASCO guidelines. Platform features: pre-appointment preparation (summarizes patient history, treatment journey, biomarker status), real-time support during appointments (transcription, note-taking, highlighting), post-appointment (documentation, treatment planning, prior auth, clinical trial matching). Tempus Next (care pathway intelligence) screens patients for biomarker testing gaps. Deep clinical workflow integration beyond just test ordering — Tempus is embedding in the full clinical decision-making process.</w:t>
      </w:r>
    </w:p>
    <w:p>
      <w:pPr>
        <w:pStyle w:val="Normal"/>
        <w:spacing w:after="240"/>
        <w:jc w:val="left"/>
      </w:pPr>
      <w:r>
        <w:t xml:space="preserve">Key finding: Tempus One EHR integration is a significant workflow embedding moat. Moving from "test provider" to "clinical decision partner."</w:t>
      </w:r>
    </w:p>
    <w:p>
      <w:pPr>
        <w:pStyle w:val="Heading2"/>
        <w:spacing w:after="120" w:before="240"/>
      </w:pPr>
      <w:r>
        <w:t xml:space="preserve">MOAT 5: PATIENT DATA GRAVITY &amp; LONGITUDINAL OUTCOMES</w:t>
      </w:r>
    </w:p>
    <w:p>
      <w:pPr>
        <w:pStyle w:val="Normal"/>
        <w:spacing w:after="120"/>
        <w:jc w:val="left"/>
      </w:pPr>
      <w:r>
        <w:t xml:space="preserve">Score: 2/2 (STRONG)</w:t>
      </w:r>
    </w:p>
    <w:p>
      <w:pPr>
        <w:pStyle w:val="Normal"/>
        <w:spacing w:after="120"/>
        <w:jc w:val="left"/>
      </w:pPr>
      <w:r>
        <w:t xml:space="preserve">Status: STRENGTHENED BY AI</w:t>
      </w:r>
    </w:p>
    <w:p>
      <w:pPr>
        <w:pStyle w:val="Normal"/>
        <w:spacing w:after="120"/>
        <w:jc w:val="left"/>
      </w:pPr>
      <w:r>
        <w:t xml:space="preserve">Evidence: 400+ petabytes of multimodal healthcare data. 45+ million patient records (9M de-identified and ingested). 1.1 billion healthcare documents. 8+ million imaging records. 4+ million samples sequenced. 340,000+ DNA+RNA profiles. ~1 million cancer patients with rich molecular profiling. ~3 million genomic sequences from hereditary cancer testing. 7+ million digitized pathology slides. 7+ billion clinical notes. Data is multimodal (clinical + genomic + imaging + outcomes). Published evidence of data-driven improvements (700 peer-reviewed articles). AstraZeneca partnership ($200M over 3 years) to build largest multimodal oncology foundation model validates data value.</w:t>
      </w:r>
    </w:p>
    <w:p>
      <w:pPr>
        <w:pStyle w:val="Normal"/>
        <w:spacing w:after="240"/>
        <w:jc w:val="left"/>
      </w:pPr>
      <w:r>
        <w:t xml:space="preserve">Key finding: This is arguably the strongest moat. The dataset is enormous, multimodal, longitudinal, and actively being used to train AI models. The AZ partnership is third-party validation of data value.</w:t>
      </w:r>
    </w:p>
    <w:p>
      <w:pPr>
        <w:pStyle w:val="Heading2"/>
        <w:spacing w:after="120" w:before="240"/>
      </w:pPr>
      <w:r>
        <w:t xml:space="preserve">MOAT 6: PROVIDER NETWORK EFFECTS</w:t>
      </w:r>
    </w:p>
    <w:p>
      <w:pPr>
        <w:pStyle w:val="Normal"/>
        <w:spacing w:after="120"/>
        <w:jc w:val="left"/>
      </w:pPr>
      <w:r>
        <w:t xml:space="preserve">Score: 2/2 (STRONG)</w:t>
      </w:r>
    </w:p>
    <w:p>
      <w:pPr>
        <w:pStyle w:val="Normal"/>
        <w:spacing w:after="120"/>
        <w:jc w:val="left"/>
      </w:pPr>
      <w:r>
        <w:t xml:space="preserve">Status: STICKY</w:t>
      </w:r>
    </w:p>
    <w:p>
      <w:pPr>
        <w:pStyle w:val="Normal"/>
        <w:spacing w:after="120"/>
        <w:jc w:val="left"/>
      </w:pPr>
      <w:r>
        <w:t xml:space="preserve">Evidence: 5,500+ hospital connections. NRR of 126% in 2025 (down from 140% in 2024 but still strong). 70+ pharma data customers. The network is self-reinforcing: more hospitals → more data → better AI → more attractive to pharma partners → more revenue → more hospital connections. Network spans broad geography (US national). Signed &gt;$1.1B in remaining Total Contract Value.</w:t>
      </w:r>
    </w:p>
    <w:p>
      <w:pPr>
        <w:pStyle w:val="Normal"/>
        <w:spacing w:after="240"/>
        <w:jc w:val="left"/>
      </w:pPr>
      <w:r>
        <w:t xml:space="preserve">Key finding: Strong two-sided network between hospitals (data providers) and pharma (data consumers). NRR decline from 140% to 126% is worth monitoring but still healthy.</w:t>
      </w:r>
    </w:p>
    <w:p>
      <w:pPr>
        <w:pStyle w:val="Heading2"/>
        <w:spacing w:after="120" w:before="240"/>
      </w:pPr>
      <w:r>
        <w:t xml:space="preserve">MOAT 7: PHYSICIAN TRAINING &amp; CREDENTIALING</w:t>
      </w:r>
    </w:p>
    <w:p>
      <w:pPr>
        <w:pStyle w:val="Normal"/>
        <w:spacing w:after="120"/>
        <w:jc w:val="left"/>
      </w:pPr>
      <w:r>
        <w:t xml:space="preserve">Score: 0/2 (ABSENT)</w:t>
      </w:r>
    </w:p>
    <w:p>
      <w:pPr>
        <w:pStyle w:val="Normal"/>
        <w:spacing w:after="120"/>
        <w:jc w:val="left"/>
      </w:pPr>
      <w:r>
        <w:t xml:space="preserve">Status: N/A</w:t>
      </w:r>
    </w:p>
    <w:p>
      <w:pPr>
        <w:pStyle w:val="Normal"/>
        <w:spacing w:after="120"/>
        <w:jc w:val="left"/>
      </w:pPr>
      <w:r>
        <w:t xml:space="preserve">Evidence: Tempus tests are ordered by physicians but do not require specialized physician training or credentialing (unlike surgical robots). A physician can switch from Tempus xT to Foundation Medicine CDx without retraining. The switching cost is at the institutional/IT level (EHR integration), not the individual physician level.</w:t>
      </w:r>
    </w:p>
    <w:p>
      <w:pPr>
        <w:pStyle w:val="Normal"/>
        <w:spacing w:after="240"/>
        <w:jc w:val="left"/>
      </w:pPr>
      <w:r>
        <w:t xml:space="preserve">Key finding: This moat is not applicable to Tempus's business model.</w:t>
      </w:r>
    </w:p>
    <w:p>
      <w:pPr>
        <w:pStyle w:val="Heading2"/>
        <w:spacing w:after="120" w:before="240"/>
      </w:pPr>
      <w:r>
        <w:t xml:space="preserve">MOAT 8: FORMULARY/PREFERRED VENDOR LOCK-IN</w:t>
      </w:r>
    </w:p>
    <w:p>
      <w:pPr>
        <w:pStyle w:val="Normal"/>
        <w:spacing w:after="120"/>
        <w:jc w:val="left"/>
      </w:pPr>
      <w:r>
        <w:t xml:space="preserve">Score: 1/2 (PARTIAL)</w:t>
      </w:r>
    </w:p>
    <w:p>
      <w:pPr>
        <w:pStyle w:val="Normal"/>
        <w:spacing w:after="120"/>
        <w:jc w:val="left"/>
      </w:pPr>
      <w:r>
        <w:t xml:space="preserve">Status: STICKY</w:t>
      </w:r>
    </w:p>
    <w:p>
      <w:pPr>
        <w:pStyle w:val="Normal"/>
        <w:spacing w:after="120"/>
        <w:jc w:val="left"/>
      </w:pPr>
      <w:r>
        <w:t xml:space="preserve">Evidence: Tempus is gaining preferred status at some health systems through Tempus One EHR integration and Tempus Next care pathway tools, but is not yet dominant. Foundation Medicine (backed by Roche) has stronger formulary/preferred position at many cancer centers. Tempus has signed multi-year agreements with AstraZeneca ($200M), Pathos, and others, creating lock-in on the pharma side. The 70+ pharma customers represent growing preferred vendor status in data licensing.</w:t>
      </w:r>
    </w:p>
    <w:p>
      <w:pPr>
        <w:pStyle w:val="Normal"/>
        <w:spacing w:after="240"/>
        <w:jc w:val="left"/>
      </w:pPr>
      <w:r>
        <w:t xml:space="preserve">Key finding: Preferred status building but not dominant. Stronger on pharma side than provider side.</w:t>
      </w:r>
    </w:p>
    <w:p>
      <w:pPr>
        <w:pStyle w:val="Heading2"/>
        <w:spacing w:after="120" w:before="240"/>
      </w:pPr>
      <w:r>
        <w:t xml:space="preserve">MOAT 9: HARDWARE-IN-THE-LOOP</w:t>
      </w:r>
    </w:p>
    <w:p>
      <w:pPr>
        <w:pStyle w:val="Normal"/>
        <w:spacing w:after="120"/>
        <w:jc w:val="left"/>
      </w:pPr>
      <w:r>
        <w:t xml:space="preserve">Score: 1/2 (PARTIAL)</w:t>
      </w:r>
    </w:p>
    <w:p>
      <w:pPr>
        <w:pStyle w:val="Normal"/>
        <w:spacing w:after="120"/>
        <w:jc w:val="left"/>
      </w:pPr>
      <w:r>
        <w:t xml:space="preserve">Status: DURABLE</w:t>
      </w:r>
    </w:p>
    <w:p>
      <w:pPr>
        <w:pStyle w:val="Normal"/>
        <w:spacing w:after="120"/>
        <w:jc w:val="left"/>
      </w:pPr>
      <w:r>
        <w:t xml:space="preserve">Evidence: Tempus Pixel (FDA-cleared AI cardiac imaging platform) is hardware-adjacent but runs on standard cardiac MRI equipment. The xT, xF, xR assays run in Tempus's own CLIA-certified labs (proprietary lab infrastructure is a form of hardware moat). Ambry Genetics brings additional lab infrastructure. Lab capacity and CLIA certification represent meaningful barriers to entry.</w:t>
      </w:r>
    </w:p>
    <w:p>
      <w:pPr>
        <w:pStyle w:val="Normal"/>
        <w:spacing w:after="240"/>
        <w:jc w:val="left"/>
      </w:pPr>
      <w:r>
        <w:t xml:space="preserve">Key finding: Lab infrastructure is a real moat (CLIA labs, sequencing equipment, variant interpretation databases) though not "hardware-in-the-loop" in the traditional surgical robot sense.</w:t>
      </w:r>
    </w:p>
    <w:p>
      <w:pPr>
        <w:pStyle w:val="Heading2"/>
        <w:spacing w:after="120" w:before="240"/>
      </w:pPr>
      <w:r>
        <w:t xml:space="preserve">MOAT 10: CLAIMS/BILLING SYSTEM EMBEDDING</w:t>
      </w:r>
    </w:p>
    <w:p>
      <w:pPr>
        <w:pStyle w:val="Normal"/>
        <w:spacing w:after="120"/>
        <w:jc w:val="left"/>
      </w:pPr>
      <w:r>
        <w:t xml:space="preserve">Score: 0/2 (ABSENT)</w:t>
      </w:r>
    </w:p>
    <w:p>
      <w:pPr>
        <w:pStyle w:val="Normal"/>
        <w:spacing w:after="120"/>
        <w:jc w:val="left"/>
      </w:pPr>
      <w:r>
        <w:t xml:space="preserve">Status: N/A</w:t>
      </w:r>
    </w:p>
    <w:p>
      <w:pPr>
        <w:pStyle w:val="Normal"/>
        <w:spacing w:after="120"/>
        <w:jc w:val="left"/>
      </w:pPr>
      <w:r>
        <w:t xml:space="preserve">Evidence: Tempus is not embedded in claims/billing workflows. It is a diagnostic test provider and data company, not an RCM or claims system. Billing is a cost center (getting reimbursed), not a moat.</w:t>
      </w:r>
    </w:p>
    <w:p>
      <w:pPr>
        <w:pStyle w:val="Normal"/>
        <w:spacing w:after="240"/>
        <w:jc w:val="left"/>
      </w:pPr>
      <w:r>
        <w:t xml:space="preserve">Key finding: Not applicable to Tempus's business model.</w:t>
      </w:r>
    </w:p>
    <w:r>
      <w:br w:type="page"/>
    </w:r>
    <w:p>
      <w:pPr>
        <w:pStyle w:val="Heading2"/>
        <w:spacing w:after="120" w:before="240"/>
      </w:pPr>
      <w:r>
        <w:t xml:space="preserve">HMDI Scoring Table</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500"/>
        <w:gridCol w:w="4200"/>
        <w:gridCol w:w="1800"/>
        <w:gridCol w:w="2860"/>
      </w:tblGrid>
      <w:tr>
        <w:trPr>
          <w:trHeight w:val="400" w:hRule="auto"/>
        </w:trP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Moat #</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Description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Score</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Status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Clinical Evidence &amp; Guideline Embedding</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1/2</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Growing but not guideline-defining yet</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2</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Regulatory Approval Barriers (FDA/LDT)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2/2</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Multiple FDA clearances, ADLT migration</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3</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Reimbursement Lock-In (CPT/Payer)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1/2</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Improving ASP but below peers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4</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Clinical Workflow Embedding</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2/2</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Tempus One EHR + 5,500 hospitals</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5</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Patient Data Gravity &amp; Outcomes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2/2</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400+ PB, 45M records, multimodal</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6</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Provider Network Effects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2/2</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5,500 hospitals, 70+ pharma, NRR 126%</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7</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Physician Training &amp; Credentialing</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0/2</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Not applicable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8</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Formulary/Preferred Vendor Lock-In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1/2</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Building, stronger on pharma side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9</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Hardware-in-the-Loop</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1/2</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Lab infrastructure (CLIA, sequencing)</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10</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Claims/Billing System Embedding</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0/2</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Not applicable</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TOTAL HMDI</w:t>
            </w:r>
          </w:p>
        </w:tc>
        <w:tc>
          <w:tcPr>
            <w:tcW w:type="dxa" w:w="4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12/20</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p>
        </w:tc>
      </w:tr>
    </w:tbl>
    <w:p/>
    <w:p>
      <w:pPr>
        <w:pStyle w:val="Normal"/>
        <w:spacing w:after="120"/>
        <w:jc w:val="left"/>
      </w:pPr>
      <w:r>
        <w:t xml:space="preserve">HMDI Classification: HEALTHCARE INCUMBENT (12-15 range)</w:t>
      </w:r>
    </w:p>
    <w:p>
      <w:pPr>
        <w:pStyle w:val="Normal"/>
        <w:spacing w:after="120"/>
        <w:jc w:val="left"/>
      </w:pPr>
      <w:r>
        <w:t xml:space="preserve">Triage Signal: Strong moat protection. At least 2-3 durable moats. Proceed with normal diligence.</w:t>
      </w:r>
    </w:p>
    <w:p>
      <w:pPr>
        <w:pStyle w:val="Normal"/>
        <w:spacing w:after="120"/>
        <w:jc w:val="left"/>
      </w:pPr>
      <w:r>
        <w:t xml:space="preserve">Proceed to Stage 2: YES</w:t>
      </w:r>
    </w:p>
    <w:p/>
    <w:p>
      <w:pPr>
        <w:pStyle w:val="Normal"/>
        <w:spacing w:after="120"/>
        <w:jc w:val="left"/>
      </w:pPr>
      <w:r>
        <w:t xml:space="preserve">No HMDI Critical Rules triggered. ASP improving (not declining &gt;15% YoY). Not being actively replaced. Data moat has published evidence of scale improvement (700 peer-reviewed articles). Provider network &gt;5K providers with &gt;40% usage. No single health system &gt;15% revenue building competing solutions.</w:t>
      </w:r>
    </w:p>
    <w:r>
      <w:br w:type="page"/>
    </w:r>
    <w:p>
      <w:pPr>
        <w:pStyle w:val="Heading1"/>
        <w:spacing w:after="120" w:before="240"/>
      </w:pPr>
      <w:r>
        <w:t xml:space="preserve">STAGE 2 — FOUR-DIMENSION HEALTHCARE ANTIFRAGILITY ASSESSMENT</w:t>
      </w:r>
    </w:p>
    <w:p>
      <w:pPr>
        <w:pStyle w:val="Heading2"/>
        <w:spacing w:after="120" w:before="240"/>
      </w:pPr>
      <w:r>
        <w:t xml:space="preserve">DIMENSION 1: REGULATORY MOAT DEPTH &amp; COMPLIANCE BURDEN</w:t>
      </w:r>
    </w:p>
    <w:p>
      <w:pPr>
        <w:pStyle w:val="Normal"/>
        <w:spacing w:after="120"/>
        <w:jc w:val="left"/>
      </w:pPr>
      <w:r>
        <w:t xml:space="preserve">Score: 7/10</w:t>
      </w:r>
    </w:p>
    <w:p>
      <w:pPr>
        <w:pStyle w:val="Normal"/>
        <w:spacing w:after="120"/>
        <w:jc w:val="left"/>
      </w:pPr>
      <w:r>
        <w:t xml:space="preserve">Weight: 20%</w:t>
      </w:r>
    </w:p>
    <w:p/>
    <w:p>
      <w:pPr>
        <w:pStyle w:val="Normal"/>
        <w:spacing w:after="200"/>
        <w:jc w:val="left"/>
      </w:pPr>
      <w:r>
        <w:t xml:space="preserve">Evidence: Multiple FDA 510(k) clearances (xT CDx, xR IVD, Pixel, ECG-Low EF). QMS infrastructure operational. CLIA-certified laboratories (Tempus + Ambry). HIPAA compliance infrastructure in place for 5,500 hospital connections. CAP accredited. State licensing across multiple states.</w:t>
      </w:r>
    </w:p>
    <w:p>
      <w:pPr>
        <w:pStyle w:val="Normal"/>
        <w:spacing w:after="200"/>
        <w:jc w:val="left"/>
      </w:pPr>
      <w:r>
        <w:t xml:space="preserve">Strengths: Growing FDA clearance portfolio. ADLT pathway migration underway. 25 years of Ambry variant interpretation adds regulatory depth. Compliance costs are well-managed (not a drag on margins — genomics gross margin 61.7%).</w:t>
      </w:r>
    </w:p>
    <w:p>
      <w:pPr>
        <w:pStyle w:val="Normal"/>
        <w:spacing w:after="200"/>
        <w:jc w:val="left"/>
      </w:pPr>
      <w:r>
        <w:t xml:space="preserve">Weaknesses: LDT enforcement rescission reduces regulatory moat vs. LDT competitors. Some tests still on LDT pathway. Regulatory landscape uncertain for AI diagnostic algorithms (FDA Jan 2026 guidance reduces premarket review for low-risk AI).</w:t>
      </w:r>
    </w:p>
    <w:p>
      <w:pPr>
        <w:pStyle w:val="Normal"/>
        <w:spacing w:after="240"/>
        <w:jc w:val="left"/>
      </w:pPr>
      <w:r>
        <w:t xml:space="preserve">Score rationale: Strong and expanding regulatory portfolio but not yet at the 8-10 level where regulation creates an impenetrable barrier. The ADLT migration is a key catalyst that could push this to 8+ by end of 2026.</w:t>
      </w:r>
    </w:p>
    <w:p>
      <w:pPr>
        <w:pStyle w:val="Heading2"/>
        <w:spacing w:after="120" w:before="240"/>
      </w:pPr>
      <w:r>
        <w:t xml:space="preserve">DIMENSION 2: CLINICAL WORKFLOW STICKINESS &amp; PROVIDER SWITCHING COST</w:t>
      </w:r>
    </w:p>
    <w:p>
      <w:pPr>
        <w:pStyle w:val="Normal"/>
        <w:spacing w:after="120"/>
        <w:jc w:val="left"/>
      </w:pPr>
      <w:r>
        <w:t xml:space="preserve">Score: 7/10</w:t>
      </w:r>
    </w:p>
    <w:p>
      <w:pPr>
        <w:pStyle w:val="Normal"/>
        <w:spacing w:after="120"/>
        <w:jc w:val="left"/>
      </w:pPr>
      <w:r>
        <w:t xml:space="preserve">Weight: 25%</w:t>
      </w:r>
    </w:p>
    <w:p/>
    <w:p>
      <w:pPr>
        <w:pStyle w:val="Normal"/>
        <w:spacing w:after="200"/>
        <w:jc w:val="left"/>
      </w:pPr>
      <w:r>
        <w:t xml:space="preserve">Evidence: Tempus One launched June 2025 with direct EHR integration and ASCO guidelines. Connected to 5,500+ hospitals. Features: pre-appointment prep, real-time transcription/note-taking, post-appointment documentation, treatment planning, prior auth, clinical trial matching. Tempus Next screens for biomarker testing gaps.</w:t>
      </w:r>
    </w:p>
    <w:p>
      <w:pPr>
        <w:pStyle w:val="Normal"/>
        <w:spacing w:after="200"/>
        <w:jc w:val="left"/>
      </w:pPr>
      <w:r>
        <w:t xml:space="preserve">Strengths: Moving from "test provider" to "clinical decision workflow partner." EHR integration creates IT-level switching costs. Multi-feature platform (not just single test) increases stickiness. Care pathway intelligence (Tempus Next) makes Tempus part of quality improvement workflows.</w:t>
      </w:r>
    </w:p>
    <w:p>
      <w:pPr>
        <w:pStyle w:val="Normal"/>
        <w:spacing w:after="200"/>
        <w:jc w:val="left"/>
      </w:pPr>
      <w:r>
        <w:t xml:space="preserve">Weaknesses: Tempus One is still early (launched June 2025). Competing platforms exist (Foundation Medicine, Guardant's clinical tools). Not yet 10+ years of embedded history. Physician adoption of Tempus One not yet quantified publicly. Switching costs are real at IT level but not yet at the "EHR rebuild" level.</w:t>
      </w:r>
    </w:p>
    <w:p>
      <w:pPr>
        <w:pStyle w:val="Normal"/>
        <w:spacing w:after="240"/>
        <w:jc w:val="left"/>
      </w:pPr>
      <w:r>
        <w:t xml:space="preserve">Score rationale: Rapid embedding in clinical workflows through Tempus One is transformative. Score of 7 reflects strong trajectory but early stage of EHR integration adoption. Could reach 8-9 by 2027 if adoption metrics confirm.</w:t>
      </w:r>
    </w:p>
    <w:p>
      <w:pPr>
        <w:pStyle w:val="Heading2"/>
        <w:spacing w:after="120" w:before="240"/>
      </w:pPr>
      <w:r>
        <w:t xml:space="preserve">DIMENSION 3: REVENUE MODEL RESILIENCE &amp; REIMBURSEMENT RISK</w:t>
      </w:r>
    </w:p>
    <w:p>
      <w:pPr>
        <w:pStyle w:val="Normal"/>
        <w:spacing w:after="120"/>
        <w:jc w:val="left"/>
      </w:pPr>
      <w:r>
        <w:t xml:space="preserve">Score: 6/10</w:t>
      </w:r>
    </w:p>
    <w:p>
      <w:pPr>
        <w:pStyle w:val="Normal"/>
        <w:spacing w:after="120"/>
        <w:jc w:val="left"/>
      </w:pPr>
      <w:r>
        <w:t xml:space="preserve">Weight: 25%</w:t>
      </w:r>
    </w:p>
    <w:p/>
    <w:p>
      <w:pPr>
        <w:pStyle w:val="Normal"/>
        <w:spacing w:after="200"/>
        <w:jc w:val="left"/>
      </w:pPr>
      <w:r>
        <w:t xml:space="preserve">Evidence: Two distinct revenue streams — Genomics (~73% Q4) and Data &amp; Services (~27% Q4). Gross margin expanding: aggregate 63.6% (Q3 2025), up 400bps YoY. Genomics margin 61.7%, Data margin 69.7%. NRR 126% on Insights business. $1.1B+ remaining Total Contract Value. 70+ pharma data customers diversifying data revenue.</w:t>
      </w:r>
    </w:p>
    <w:p>
      <w:pPr>
        <w:pStyle w:val="Normal"/>
        <w:spacing w:after="200"/>
        <w:jc w:val="left"/>
      </w:pPr>
      <w:r>
        <w:t xml:space="preserve">Strengths: Dual revenue engine (diagnostics + data licensing) provides diversification SaaS companies lack. Gross margins expanding rapidly. Data licensing is high-margin recurring revenue with multi-year contracts ($200M AstraZeneca deal over 3 years). Volume growth strong across all testing categories.</w:t>
      </w:r>
    </w:p>
    <w:p>
      <w:pPr>
        <w:pStyle w:val="Normal"/>
        <w:spacing w:after="200"/>
        <w:jc w:val="left"/>
      </w:pPr>
      <w:r>
        <w:t xml:space="preserve">Weaknesses: ASP still ~$1,600 vs. peers at $3,500+ (significant gap). Customer concentration risk — ~60% revenue from top 3 clients (per competitive analysis). Net loss of $245M in FY2025 (not yet profitable on GAAP basis). Adjusted EBITDA only marginally positive ($65M guidance for 2026). Reimbursement improvement dependent on ADLT migration execution. Pharma data revenue concentration in oncology.</w:t>
      </w:r>
    </w:p>
    <w:p>
      <w:pPr>
        <w:pStyle w:val="Normal"/>
        <w:spacing w:after="240"/>
        <w:jc w:val="left"/>
      </w:pPr>
      <w:r>
        <w:t xml:space="preserve">Score rationale: Score of 6 reflects strong dual-engine model with improving margins, but significant ASP gap, customer concentration, and GAAP profitability gap keep this from higher scores. The ADLT migration is the swing factor.</w:t>
      </w:r>
    </w:p>
    <w:p>
      <w:pPr>
        <w:pStyle w:val="Heading2"/>
        <w:spacing w:after="120" w:before="240"/>
      </w:pPr>
      <w:r>
        <w:t xml:space="preserve">DIMENSION 4: DATA ASSETS &amp; AI MOAT DURABILITY</w:t>
      </w:r>
    </w:p>
    <w:p>
      <w:pPr>
        <w:pStyle w:val="Normal"/>
        <w:spacing w:after="120"/>
        <w:jc w:val="left"/>
      </w:pPr>
      <w:r>
        <w:t xml:space="preserve">Score: 9/10</w:t>
      </w:r>
    </w:p>
    <w:p>
      <w:pPr>
        <w:pStyle w:val="Normal"/>
        <w:spacing w:after="120"/>
        <w:jc w:val="left"/>
      </w:pPr>
      <w:r>
        <w:t xml:space="preserve">Weight: 20%</w:t>
      </w:r>
    </w:p>
    <w:p/>
    <w:p>
      <w:pPr>
        <w:pStyle w:val="Normal"/>
        <w:spacing w:after="200"/>
        <w:jc w:val="left"/>
      </w:pPr>
      <w:r>
        <w:t xml:space="preserve">Evidence: 400+ PB multimodal data. 45M+ records. 9M de-identified records. 1.1B healthcare documents. 8M+ imaging records. 4M+ samples sequenced. 340K+ DNA+RNA profiles. ~1M cancer patients with molecular profiling. ~3M hereditary testing sequences. 7M+ pathology slides. 7B+ clinical notes. ~700 peer-reviewed articles showing data-driven insights. AstraZeneca partnership ($200M) to build largest multimodal oncology foundation model — third-party validation. Tempus Fuses foundation model program launched. Data is genuinely proprietary (collected through Tempus testing, not partner-provided).</w:t>
      </w:r>
    </w:p>
    <w:p>
      <w:pPr>
        <w:pStyle w:val="Normal"/>
        <w:spacing w:after="200"/>
        <w:jc w:val="left"/>
      </w:pPr>
      <w:r>
        <w:t xml:space="preserve">Strengths: Arguably the largest and most comprehensive multimodal clinical dataset in precision medicine. Data is proprietary (from own testing operations). Longitudinal outcomes linkage growing as patient follow-up accumulates. Published evidence of model improvement with data scale (700 peer-reviewed articles). Active foundation model development (Fuses). AZ partnership validates economic value of data.</w:t>
      </w:r>
    </w:p>
    <w:p>
      <w:pPr>
        <w:pStyle w:val="Normal"/>
        <w:spacing w:after="200"/>
        <w:jc w:val="left"/>
      </w:pPr>
      <w:r>
        <w:t xml:space="preserve">Weaknesses: Some data is accessible through health system partnerships (could be pulled back in theory, though very unlikely given 5,500 connections). Not all 45M records have outcomes follow-up yet. Competitor datasets growing (Foundation Medicine/Roche has substantial data; Guardant building liquid biopsy dataset).</w:t>
      </w:r>
    </w:p>
    <w:p>
      <w:pPr>
        <w:pStyle w:val="Normal"/>
        <w:spacing w:after="240"/>
        <w:jc w:val="left"/>
      </w:pPr>
      <w:r>
        <w:t xml:space="preserve">Score rationale: 9/10 — this is Tempus's crown jewel. The combination of dataset scale (400+ PB), multimodal breadth (genomic + clinical + imaging + outcomes), proprietary ownership, published evidence of improvement, and third-party validation (AZ deal) is exceptional. Only missing the 10/10 because outcomes follow-up depth is still maturing.</w:t>
      </w:r>
    </w:p>
    <w:r>
      <w:br w:type="page"/>
    </w:r>
    <w:p>
      <w:pPr>
        <w:pStyle w:val="Heading2"/>
        <w:spacing w:after="120" w:before="240"/>
      </w:pPr>
      <w:r>
        <w:t xml:space="preserve">Composite Scoring Table</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2000"/>
        <w:gridCol w:w="1200"/>
        <w:gridCol w:w="1800"/>
        <w:gridCol w:w="1800"/>
        <w:gridCol w:w="1560"/>
      </w:tblGrid>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Dimension</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Weight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Raw Score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Weighted</w:t>
            </w:r>
          </w:p>
        </w:tc>
        <w:tc>
          <w:tcPr>
            <w:tcW w:type="dxa" w:w="1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Notes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D1: Regulatory Moat Depth</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20%</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7/10</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1.40</w:t>
            </w:r>
          </w:p>
        </w:tc>
        <w:tc>
          <w:tcPr>
            <w:tcW w:type="dxa" w:w="1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Multiple FDA clearances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D2: Clinical Workflow Stickiness</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25%</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7/10</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1.75</w:t>
            </w:r>
          </w:p>
        </w:tc>
        <w:tc>
          <w:tcPr>
            <w:tcW w:type="dxa" w:w="1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Tempus One EHR integration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D3: Revenue Model Resilience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25%</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6/10</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1.50</w:t>
            </w:r>
          </w:p>
        </w:tc>
        <w:tc>
          <w:tcPr>
            <w:tcW w:type="dxa" w:w="1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ASP gap vs. peers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D4: Data Assets &amp; AI Moat</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20%</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9/10</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1.80</w:t>
            </w:r>
          </w:p>
        </w:tc>
        <w:tc>
          <w:tcPr>
            <w:tcW w:type="dxa" w:w="1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400+ PB multimodal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WEIGHTED COMPOSITE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90%</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6.45/9.0</w:t>
            </w:r>
          </w:p>
        </w:tc>
        <w:tc>
          <w:tcPr>
            <w:tcW w:type="dxa" w:w="1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p>
        </w:tc>
      </w:tr>
    </w:tbl>
    <w:p/>
    <w:p>
      <w:pPr>
        <w:pStyle w:val="Normal"/>
        <w:spacing w:after="120"/>
        <w:jc w:val="left"/>
      </w:pPr>
      <w:r>
        <w:t xml:space="preserve">Scaled to 10: 6.45 / 0.90 = 7.17/10</w:t>
      </w:r>
    </w:p>
    <w:r>
      <w:br w:type="page"/>
    </w:r>
    <w:p>
      <w:pPr>
        <w:pStyle w:val="Heading1"/>
        <w:spacing w:after="120" w:before="240"/>
      </w:pPr>
      <w:r>
        <w:t xml:space="preserve">MODIFIERS</w:t>
      </w:r>
    </w:p>
    <w:p>
      <w:pPr>
        <w:pStyle w:val="Heading2"/>
        <w:spacing w:after="120" w:before="240"/>
      </w:pPr>
      <w:r>
        <w:t xml:space="preserve">MODIFIER A: CLINICAL EVIDENCE PREMIUM (CEP) — +0.75</w:t>
      </w:r>
    </w:p>
    <w:p>
      <w:pPr>
        <w:pStyle w:val="Normal"/>
        <w:spacing w:after="240"/>
        <w:jc w:val="left"/>
      </w:pPr>
      <w:r>
        <w:t xml:space="preserve">Rationale: ~700 peer-reviewed publications is substantial but concentrated in retrospective/observational studies rather than prospective RCTs. Not yet referenced by name in ≥2 major guidelines. Evidence base is expanding rapidly. Falls at the +0.75 level (5-10 publications in peer-reviewed journals would be the threshold — Tempus has 700, but guideline inclusion and prospective RCT evidence are lacking).</w:t>
      </w:r>
    </w:p>
    <w:p>
      <w:pPr>
        <w:pStyle w:val="Heading2"/>
        <w:spacing w:after="120" w:before="240"/>
      </w:pPr>
      <w:r>
        <w:t xml:space="preserve">MODIFIER B: AI INTEGRATION READINESS (AIR) — +1.0</w:t>
      </w:r>
    </w:p>
    <w:p>
      <w:pPr>
        <w:pStyle w:val="Normal"/>
        <w:spacing w:after="240"/>
        <w:jc w:val="left"/>
      </w:pPr>
      <w:r>
        <w:t xml:space="preserve">Rationale: Tempus is the definition of AI-first in healthcare. Tempus One (AI clinical assistant) launched with EHR integration and ASCO guidelines. Multiple FDA-cleared AI products (Pixel, ECG-Low EF). Active AI R&amp;D (Fuses foundation model program, AZ partnership for oncology foundation model). Management explicitly articulated AI strategy and executing on it. Company is willing to invest heavily in AI even at cost of near-term profitability. Customer NPS improving with AI features (Tempus One adoption). Revenue from AI applications growing. This is a clear +1.0.</w:t>
      </w:r>
    </w:p>
    <w:p>
      <w:pPr>
        <w:pStyle w:val="Heading2"/>
        <w:spacing w:after="120" w:before="240"/>
      </w:pPr>
      <w:r>
        <w:t xml:space="preserve">MODIFIER C: CONSOLIDATION RESILIENCE PREMIUM (CRP) — +0.5</w:t>
      </w:r>
    </w:p>
    <w:p>
      <w:pPr>
        <w:pStyle w:val="Normal"/>
        <w:spacing w:after="240"/>
        <w:jc w:val="left"/>
      </w:pPr>
      <w:r>
        <w:t xml:space="preserve">Rationale: Tempus benefits from some consolidation dynamics — larger health systems are valuable data partners, and the Ambry acquisition shows Tempus can be the consolidator. Multi-year pharma deals ($200M AZ) are consolidation-resilient. However, risk exists that major consolidators (Optum, CVS/Aetna, Amazon) could build competing data platforms or prefer in-house solutions. Roche (owner of Foundation Medicine) is the most direct consolidation threat. The 5,500 hospital network is diversified enough that losing any single system is manageable. Score of +0.5 reflects benefits with some residual risk.</w:t>
      </w:r>
    </w:p>
    <w:p>
      <w:pPr>
        <w:pStyle w:val="Normal"/>
        <w:spacing w:after="240"/>
        <w:jc w:val="left"/>
      </w:pPr>
      <w:r>
        <w:t xml:space="preserve">ADJUSTED COMPOSITE: 6.45 + 0.75 + 1.0 + 0.5 = 8.70/10</w:t>
      </w:r>
    </w:p>
    <w:p>
      <w:pPr>
        <w:pStyle w:val="Heading2"/>
        <w:spacing w:after="120" w:before="240"/>
      </w:pPr>
      <w:r>
        <w:t xml:space="preserve">Modifiers Summary Table</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2400"/>
        <w:gridCol w:w="1500"/>
        <w:gridCol w:w="5460"/>
      </w:tblGrid>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Modifier</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Adjustment</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Rationale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A: Clinical Evidence Premium (CEP)</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+0.75</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~700 peer-reviewed publications; not yet in major guidelines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B: AI Integration Readiness (AIR)</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+1.0</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Tempus One EHR integration; AI-first strategy; FDA-cleared AI products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C: Consolidation Resilience Premium (CRP)</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+0.5</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Multi-year pharma contracts; diversified hospital network; benefits from consolidation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TOTAL MODIFIERS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+2.25</w:t>
            </w:r>
          </w:p>
        </w:tc>
        <w:tc>
          <w:tcPr>
            <w:tcW w:type="dxa" w:w="54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p>
        </w:tc>
      </w:tr>
    </w:tbl>
    <w:p/>
    <w:r>
      <w:br w:type="page"/>
    </w:r>
    <w:p>
      <w:pPr>
        <w:pStyle w:val="Heading1"/>
        <w:spacing w:after="120" w:before="240"/>
      </w:pPr>
      <w:r>
        <w:t xml:space="preserve">CLASSIFICATION</w:t>
      </w:r>
    </w:p>
    <w:p>
      <w:pPr>
        <w:pStyle w:val="Normal"/>
        <w:spacing w:after="120"/>
        <w:jc w:val="left"/>
      </w:pPr>
      <w:r>
        <w:t xml:space="preserve">Score: 8.70 → ANTIFRAGILE (8.0-10.0)</w:t>
      </w:r>
    </w:p>
    <w:p/>
    <w:p>
      <w:pPr>
        <w:pStyle w:val="Normal"/>
        <w:spacing w:after="240"/>
        <w:jc w:val="left"/>
      </w:pPr>
      <w:r>
        <w:t xml:space="preserve">Definition: Multiple reinforcing moats AI strengthens or leaves unchanged. Resilient to payer pressure, consolidation, regulatory change. Gets stronger from disruption.</w:t>
      </w:r>
    </w:p>
    <w:p>
      <w:pPr>
        <w:pStyle w:val="Normal"/>
        <w:spacing w:after="240"/>
        <w:jc w:val="left"/>
      </w:pPr>
      <w:r>
        <w:t xml:space="preserve">Investment Posture: FULL POSITION. Hold through volatility. Valuation discipline required but quality exceptional.</w:t>
      </w:r>
    </w:p>
    <w:p>
      <w:pPr>
        <w:pStyle w:val="Heading2"/>
        <w:spacing w:after="120" w:before="240"/>
      </w:pPr>
      <w:r>
        <w:t xml:space="preserve">Override Rules Check</w:t>
      </w:r>
    </w:p>
    <w:p>
      <w:pPr>
        <w:pStyle w:val="ListParagraph"/>
        <w:pStyle w:val="Normal"/>
        <w:numPr>
          <w:ilvl w:val="0"/>
          <w:numId w:val="1"/>
        </w:numPr>
        <w:spacing w:after="100"/>
      </w:pPr>
      <w:r>
        <w:t xml:space="preserve">HMDI Floor: HMDI = 12, not ≤ 4. No cap. PASS.</w:t>
      </w:r>
    </w:p>
    <w:p>
      <w:pPr>
        <w:pStyle w:val="ListParagraph"/>
        <w:pStyle w:val="Normal"/>
        <w:numPr>
          <w:ilvl w:val="0"/>
          <w:numId w:val="1"/>
        </w:numPr>
        <w:spacing w:after="100"/>
      </w:pPr>
      <w:r>
        <w:t xml:space="preserve">Reimbursement Critical: D3 = 6, not ≤ 2. No cap. PASS.</w:t>
      </w:r>
    </w:p>
    <w:p>
      <w:pPr>
        <w:pStyle w:val="ListParagraph"/>
        <w:pStyle w:val="Normal"/>
        <w:numPr>
          <w:ilvl w:val="0"/>
          <w:numId w:val="1"/>
        </w:numPr>
        <w:spacing w:after="100"/>
      </w:pPr>
      <w:r>
        <w:t xml:space="preserve">Regulatory Credibility Gap: Moat 2 = 2/2, not 0/2. No cap. PASS.</w:t>
      </w:r>
    </w:p>
    <w:p>
      <w:pPr>
        <w:pStyle w:val="ListParagraph"/>
        <w:pStyle w:val="Normal"/>
        <w:numPr>
          <w:ilvl w:val="0"/>
          <w:numId w:val="1"/>
        </w:numPr>
        <w:spacing w:after="100"/>
      </w:pPr>
      <w:r>
        <w:t xml:space="preserve">Clinical Evidence Requirement: D2 = 7 and D4 = 9, both ≥ 3. No cap. PASS.</w:t>
      </w:r>
    </w:p>
    <w:p>
      <w:pPr>
        <w:pStyle w:val="ListParagraph"/>
        <w:pStyle w:val="Normal"/>
        <w:numPr>
          <w:ilvl w:val="0"/>
          <w:numId w:val="1"/>
        </w:numPr>
        <w:spacing w:after="100"/>
      </w:pPr>
      <w:r>
        <w:t xml:space="preserve">Consolidation Existential: CRP = +0.5 (not -1.0). No cap. PASS.</w:t>
      </w:r>
    </w:p>
    <w:p>
      <w:pPr>
        <w:pStyle w:val="ListParagraph"/>
        <w:pStyle w:val="Normal"/>
        <w:numPr>
          <w:ilvl w:val="0"/>
          <w:numId w:val="1"/>
        </w:numPr>
        <w:spacing w:after="100"/>
      </w:pPr>
      <w:r>
        <w:t xml:space="preserve">Data Fortress Floor: Moat 5 = 2/2, D4 = 9 (8-10 range), CEP = +0.75 (not +1.5). Floor does not apply.</w:t>
      </w:r>
    </w:p>
    <w:p/>
    <w:p>
      <w:pPr>
        <w:pStyle w:val="Normal"/>
        <w:spacing w:after="120"/>
        <w:jc w:val="left"/>
      </w:pPr>
      <w:r>
        <w:t xml:space="preserve">No overrides triggered. Classification: ANTIFRAGILE confirmed.</w:t>
      </w:r>
    </w:p>
    <w:r>
      <w:br w:type="page"/>
    </w:r>
    <w:p>
      <w:pPr>
        <w:pStyle w:val="Heading1"/>
        <w:spacing w:after="120" w:before="240"/>
      </w:pPr>
      <w:r>
        <w:t xml:space="preserve">VALUATION GATE</w:t>
      </w:r>
    </w:p>
    <w:p>
      <w:pPr>
        <w:pStyle w:val="Heading2"/>
        <w:spacing w:after="120" w:before="240"/>
      </w:pPr>
      <w:r>
        <w:t xml:space="preserve">Current Valuation</w:t>
      </w:r>
    </w:p>
    <w:p>
      <w:pPr>
        <w:pStyle w:val="ListParagraph"/>
        <w:pStyle w:val="Normal"/>
        <w:numPr>
          <w:ilvl w:val="0"/>
          <w:numId w:val="1"/>
        </w:numPr>
        <w:spacing w:after="100"/>
      </w:pPr>
      <w:r>
        <w:t xml:space="preserve">Stock price: ~$55.41 (Feb 26, 2026)</w:t>
      </w:r>
    </w:p>
    <w:p>
      <w:pPr>
        <w:pStyle w:val="ListParagraph"/>
        <w:pStyle w:val="Normal"/>
        <w:numPr>
          <w:ilvl w:val="0"/>
          <w:numId w:val="1"/>
        </w:numPr>
        <w:spacing w:after="100"/>
      </w:pPr>
      <w:r>
        <w:t xml:space="preserve">Market cap: ~$9.9B</w:t>
      </w:r>
    </w:p>
    <w:p>
      <w:pPr>
        <w:pStyle w:val="ListParagraph"/>
        <w:pStyle w:val="Normal"/>
        <w:numPr>
          <w:ilvl w:val="0"/>
          <w:numId w:val="1"/>
        </w:numPr>
        <w:spacing w:after="100"/>
      </w:pPr>
      <w:r>
        <w:t xml:space="preserve">EV/NTM Revenue (2026 guidance $1.59B): ~6.2x</w:t>
      </w:r>
    </w:p>
    <w:p>
      <w:pPr>
        <w:pStyle w:val="ListParagraph"/>
        <w:pStyle w:val="Normal"/>
        <w:numPr>
          <w:ilvl w:val="0"/>
          <w:numId w:val="1"/>
        </w:numPr>
        <w:spacing w:after="100"/>
      </w:pPr>
      <w:r>
        <w:t xml:space="preserve">EV/TTM Revenue ($1.27B): ~7.8x</w:t>
      </w:r>
    </w:p>
    <w:p/>
    <w:p>
      <w:pPr>
        <w:pStyle w:val="Normal"/>
        <w:spacing w:after="120"/>
        <w:jc w:val="left"/>
      </w:pPr>
      <w:r>
        <w:t xml:space="preserve">ANTIFRAGILE Band: 4-10x EV/NTM Revenue</w:t>
      </w:r>
    </w:p>
    <w:p>
      <w:pPr>
        <w:pStyle w:val="Normal"/>
        <w:spacing w:after="120"/>
        <w:jc w:val="left"/>
      </w:pPr>
      <w:r>
        <w:t xml:space="preserve">Current 6.2x NTM → WITHIN BAND (mid-range)</w:t>
      </w:r>
    </w:p>
    <w:p/>
    <w:p>
      <w:pPr>
        <w:pStyle w:val="Normal"/>
        <w:spacing w:after="240"/>
        <w:jc w:val="left"/>
      </w:pPr>
      <w:r>
        <w:t xml:space="preserve">The valuation is within the ANTIFRAGILE band. No downgrade to "WAIT FOR VALUATION."</w:t>
      </w:r>
    </w:p>
    <w:p>
      <w:pPr>
        <w:pStyle w:val="Heading2"/>
        <w:spacing w:after="120" w:before="240"/>
      </w:pPr>
      <w:r>
        <w:t xml:space="preserve">Reverse DCF Implied Assumptions</w:t>
      </w:r>
    </w:p>
    <w:p>
      <w:pPr>
        <w:pStyle w:val="Normal"/>
        <w:spacing w:after="120"/>
        <w:jc w:val="left"/>
      </w:pPr>
      <w:r>
        <w:t xml:space="preserve">At $9.9B market cap, assuming 12% WACC and 3% terminal growth:</w:t>
      </w:r>
    </w:p>
    <w:p>
      <w:pPr>
        <w:pStyle w:val="ListParagraph"/>
        <w:pStyle w:val="Normal"/>
        <w:numPr>
          <w:ilvl w:val="0"/>
          <w:numId w:val="1"/>
        </w:numPr>
        <w:spacing w:after="100"/>
      </w:pPr>
      <w:r>
        <w:t xml:space="preserve">Market implies ~25-30% revenue CAGR for 5 years (management guiding 25% for 2026)</w:t>
      </w:r>
    </w:p>
    <w:p>
      <w:pPr>
        <w:pStyle w:val="ListParagraph"/>
        <w:pStyle w:val="Normal"/>
        <w:numPr>
          <w:ilvl w:val="0"/>
          <w:numId w:val="1"/>
        </w:numPr>
        <w:spacing w:after="100"/>
      </w:pPr>
      <w:r>
        <w:t xml:space="preserve">Market implies terminal gross margins of ~65-70% (currently ~64%, trajectory supports this)</w:t>
      </w:r>
    </w:p>
    <w:p>
      <w:pPr>
        <w:pStyle w:val="ListParagraph"/>
        <w:pStyle w:val="Normal"/>
        <w:numPr>
          <w:ilvl w:val="0"/>
          <w:numId w:val="1"/>
        </w:numPr>
        <w:spacing w:after="100"/>
      </w:pPr>
      <w:r>
        <w:t xml:space="preserve">Market implies EBITDA margins of 15-20% at maturity (vs. ~4% adjusted EBITDA margin in 2026 guidance)</w:t>
      </w:r>
    </w:p>
    <w:p/>
    <w:p>
      <w:pPr>
        <w:pStyle w:val="Normal"/>
        <w:spacing w:after="120"/>
        <w:jc w:val="left"/>
      </w:pPr>
      <w:r>
        <w:t xml:space="preserve">Assessment: Market is pricing in management's stated growth trajectory and a path to meaningful profitability. Not unreasonable given 83% growth in 2025 and 25% guided for 2026, but assumes successful execution on ADLT migration, continued data licensing growth, and margin expansion. Valuation is FAIR at current levels — not a bargain, not stretched.</w:t>
      </w:r>
    </w:p>
    <w:r>
      <w:br w:type="page"/>
    </w:r>
    <w:p>
      <w:pPr>
        <w:pStyle w:val="Heading1"/>
        <w:spacing w:after="120" w:before="240"/>
      </w:pPr>
      <w:r>
        <w:t xml:space="preserve">BEAR CASE STEELMAN</w:t>
      </w:r>
    </w:p>
    <w:p>
      <w:pPr>
        <w:pStyle w:val="Heading2"/>
        <w:spacing w:after="120" w:before="240"/>
      </w:pPr>
      <w:r>
        <w:t xml:space="preserve">1. Reimbursement Stagnation (Probability: 25%, Timeline: 12-24 months)</w:t>
      </w:r>
    </w:p>
    <w:p>
      <w:pPr>
        <w:pStyle w:val="Normal"/>
        <w:spacing w:after="120"/>
        <w:jc w:val="left"/>
      </w:pPr>
      <w:r>
        <w:t xml:space="preserve">What would have to be true: ADLT migration stalls, FDA-approved xT version doesn't command meaningfully higher ASP, payer pushback on AI-augmented diagnostics pricing. ASP remains stuck at ~$1,600 while competitors maintain $3,500+.</w:t>
      </w:r>
    </w:p>
    <w:p>
      <w:pPr>
        <w:pStyle w:val="Normal"/>
        <w:spacing w:after="120"/>
        <w:jc w:val="left"/>
      </w:pPr>
      <w:r>
        <w:t xml:space="preserve">Early warning: ADLT migration % not reaching "vast majority" by end 2026. ASP flat or declining for 2+ quarters. Management stops quantifying ASP improvement on earnings calls.</w:t>
      </w:r>
    </w:p>
    <w:p>
      <w:pPr>
        <w:pStyle w:val="Normal"/>
        <w:spacing w:after="240"/>
        <w:jc w:val="left"/>
      </w:pPr>
      <w:r>
        <w:t xml:space="preserve">How you'd know bear case is winning: ASP below $1,800 by end 2026. Gross margin stops expanding. Management revises profitability timeline.</w:t>
      </w:r>
    </w:p>
    <w:p>
      <w:pPr>
        <w:pStyle w:val="Heading2"/>
        <w:spacing w:after="120" w:before="240"/>
      </w:pPr>
      <w:r>
        <w:t xml:space="preserve">2. Customer Concentration Collapse (Probability: 15%, Timeline: 12-24 months)</w:t>
      </w:r>
    </w:p>
    <w:p>
      <w:pPr>
        <w:pStyle w:val="Normal"/>
        <w:spacing w:after="120"/>
        <w:jc w:val="left"/>
      </w:pPr>
      <w:r>
        <w:t xml:space="preserve">What would have to be true: Top 3 pharma clients (reportedly ~60% of Insights revenue) reduce or terminate data licensing contracts. AstraZeneca $200M deal underperforms. Pharma R&amp;D budgets cut.</w:t>
      </w:r>
    </w:p>
    <w:p>
      <w:pPr>
        <w:pStyle w:val="Normal"/>
        <w:spacing w:after="120"/>
        <w:jc w:val="left"/>
      </w:pPr>
      <w:r>
        <w:t xml:space="preserve">Early warning: NRR drops below 110%. Data &amp; Services revenue growth decelerates to &lt;15% YoY. Management stops disclosing new pharma customer wins.</w:t>
      </w:r>
    </w:p>
    <w:p>
      <w:pPr>
        <w:pStyle w:val="Normal"/>
        <w:spacing w:after="240"/>
        <w:jc w:val="left"/>
      </w:pPr>
      <w:r>
        <w:t xml:space="preserve">How you'd know: Insights revenue declines QoQ for 2+ quarters. TCV stops growing.</w:t>
      </w:r>
    </w:p>
    <w:p>
      <w:pPr>
        <w:pStyle w:val="Heading2"/>
        <w:spacing w:after="120" w:before="240"/>
      </w:pPr>
      <w:r>
        <w:t xml:space="preserve">3. AI-Native Competitor Emerges (Probability: 20%, Timeline: 24+ months)</w:t>
      </w:r>
    </w:p>
    <w:p>
      <w:pPr>
        <w:pStyle w:val="Normal"/>
        <w:spacing w:after="120"/>
        <w:jc w:val="left"/>
      </w:pPr>
      <w:r>
        <w:t xml:space="preserve">What would have to be true: A well-funded AI company (Google Health, Microsoft/Nuance, or startup) accumulates a comparable multimodal dataset through health system partnerships and offers equivalent or better AI tools at lower cost. Open-source genomic models commoditize Tempus's sequencing data advantage.</w:t>
      </w:r>
    </w:p>
    <w:p>
      <w:pPr>
        <w:pStyle w:val="Normal"/>
        <w:spacing w:after="120"/>
        <w:jc w:val="left"/>
      </w:pPr>
      <w:r>
        <w:t xml:space="preserve">Early warning: Major health systems announcing exclusive data partnerships with competitors. Google/Microsoft launching competing oncology AI platforms with clinical validation. Tempus losing test volume share in core oncology.</w:t>
      </w:r>
    </w:p>
    <w:p>
      <w:pPr>
        <w:pStyle w:val="Normal"/>
        <w:spacing w:after="240"/>
        <w:jc w:val="left"/>
      </w:pPr>
      <w:r>
        <w:t xml:space="preserve">How you'd know: Oncology volume growth decelerates below 15%. Hospital connection count stagnates. New publications from competitors showing superior model performance.</w:t>
      </w:r>
    </w:p>
    <w:p>
      <w:pPr>
        <w:pStyle w:val="Heading2"/>
        <w:spacing w:after="120" w:before="240"/>
      </w:pPr>
      <w:r>
        <w:t xml:space="preserve">4. Health System Disintermediation (Probability: 15%, Timeline: 24+ months)</w:t>
      </w:r>
    </w:p>
    <w:p>
      <w:pPr>
        <w:pStyle w:val="Normal"/>
        <w:spacing w:after="120"/>
        <w:jc w:val="left"/>
      </w:pPr>
      <w:r>
        <w:t xml:space="preserve">What would have to be true: Major health systems (or Optum, CVS) decide to pool their own EHR data and build competing analytics/AI platforms, bypassing Tempus. Large academic medical centers build in-house genomics + AI capabilities.</w:t>
      </w:r>
    </w:p>
    <w:p>
      <w:pPr>
        <w:pStyle w:val="Normal"/>
        <w:spacing w:after="120"/>
        <w:jc w:val="left"/>
      </w:pPr>
      <w:r>
        <w:t xml:space="preserve">Early warning: Major health system announces data platform initiative. Hospital connection count declines for 2+ quarters. Health systems demanding lower pricing for data access.</w:t>
      </w:r>
    </w:p>
    <w:p>
      <w:pPr>
        <w:pStyle w:val="Normal"/>
        <w:spacing w:after="240"/>
        <w:jc w:val="left"/>
      </w:pPr>
      <w:r>
        <w:t xml:space="preserve">How you'd know: Hospital network growth stalls below 5,000. Major reference cancer center drops Tempus for in-house solution.</w:t>
      </w:r>
    </w:p>
    <w:p>
      <w:pPr>
        <w:pStyle w:val="Heading2"/>
        <w:spacing w:after="120" w:before="240"/>
      </w:pPr>
      <w:r>
        <w:t xml:space="preserve">5. Data Moat Commoditization (Probability: 10%, Timeline: 36+ months)</w:t>
      </w:r>
    </w:p>
    <w:p>
      <w:pPr>
        <w:pStyle w:val="Normal"/>
        <w:spacing w:after="120"/>
        <w:jc w:val="left"/>
      </w:pPr>
      <w:r>
        <w:t xml:space="preserve">What would have to be true: Synthetic data generation, transfer learning from general-purpose AI, or government health databases (All of Us, UK Biobank) provide "good enough" datasets for AI model training. Tempus's 400+ PB dataset advantage narrows.</w:t>
      </w:r>
    </w:p>
    <w:p>
      <w:pPr>
        <w:pStyle w:val="Normal"/>
        <w:spacing w:after="120"/>
        <w:jc w:val="left"/>
      </w:pPr>
      <w:r>
        <w:t xml:space="preserve">Early warning: Competitor publications showing comparable model performance on smaller/public datasets. Government databases expanding rapidly with outcomes linkage.</w:t>
      </w:r>
    </w:p>
    <w:p>
      <w:pPr>
        <w:pStyle w:val="Normal"/>
        <w:spacing w:after="240"/>
        <w:jc w:val="left"/>
      </w:pPr>
      <w:r>
        <w:t xml:space="preserve">How you'd know: Pharma customers demanding lower data licensing prices. NRR declining below 100%.</w:t>
      </w:r>
    </w:p>
    <w:p>
      <w:pPr>
        <w:pStyle w:val="Heading2"/>
        <w:spacing w:after="120" w:before="240"/>
      </w:pPr>
      <w:r>
        <w:t xml:space="preserve">6. Ambry Integration Failure (Probability: 10%, Timeline: 12 months)</w:t>
      </w:r>
    </w:p>
    <w:p>
      <w:pPr>
        <w:pStyle w:val="Normal"/>
        <w:spacing w:after="120"/>
        <w:jc w:val="left"/>
      </w:pPr>
      <w:r>
        <w:t xml:space="preserve">What would have to be true: Ambry Genetics integration proves more complex than expected. Hereditary testing volumes don't cross-sell into Tempus oncology. Ambry talent exits. Integration costs exceed projections.</w:t>
      </w:r>
    </w:p>
    <w:p>
      <w:pPr>
        <w:pStyle w:val="Normal"/>
        <w:spacing w:after="120"/>
        <w:jc w:val="left"/>
      </w:pPr>
      <w:r>
        <w:t xml:space="preserve">Early warning: Hereditary volume growth decelerating. Organic growth rate (ex-Ambry) declining. Key Ambry leadership departures.</w:t>
      </w:r>
    </w:p>
    <w:p>
      <w:pPr>
        <w:pStyle w:val="Normal"/>
        <w:spacing w:after="240"/>
        <w:jc w:val="left"/>
      </w:pPr>
      <w:r>
        <w:t xml:space="preserve">How you'd know: Hereditary segment margin compression. Management stops breaking out organic vs. inorganic growth (masking Ambry underperformance).</w:t>
      </w:r>
    </w:p>
    <w:r>
      <w:br w:type="page"/>
    </w:r>
    <w:p>
      <w:pPr>
        <w:pStyle w:val="Heading1"/>
        <w:spacing w:after="120" w:before="240"/>
      </w:pPr>
      <w:r>
        <w:t xml:space="preserve">MONITORING TRIPWIRES</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800"/>
        <w:gridCol w:w="5560"/>
        <w:gridCol w:w="2000"/>
      </w:tblGrid>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w:t>
            </w:r>
          </w:p>
        </w:tc>
        <w:tc>
          <w:tcPr>
            <w:tcW w:type="dxa" w:w="5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Monitoring Metric</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Action</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w:t>
            </w:r>
          </w:p>
        </w:tc>
        <w:tc>
          <w:tcPr>
            <w:tcW w:type="dxa" w:w="5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Revenue growth rate (organic) declines below 20% for 2 consecutive quarters</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Review position sizing</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2</w:t>
            </w:r>
          </w:p>
        </w:tc>
        <w:tc>
          <w:tcPr>
            <w:tcW w:type="dxa" w:w="5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Gross margin falls below 60% for 2 consecutive quarters</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Review unit economics thesis</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3</w:t>
            </w:r>
          </w:p>
        </w:tc>
        <w:tc>
          <w:tcPr>
            <w:tcW w:type="dxa" w:w="5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NRR drops below 110%</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Review data moat durability</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4</w:t>
            </w:r>
          </w:p>
        </w:tc>
        <w:tc>
          <w:tcPr>
            <w:tcW w:type="dxa" w:w="5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ASP fails to reach $2,000 by end 2026</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Review reimbursement thesis</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5</w:t>
            </w:r>
          </w:p>
        </w:tc>
        <w:tc>
          <w:tcPr>
            <w:tcW w:type="dxa" w:w="5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Top 3 pharma customers collectively &gt;65% of Insights revenue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Escalate concentration risk</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6</w:t>
            </w:r>
          </w:p>
        </w:tc>
        <w:tc>
          <w:tcPr>
            <w:tcW w:type="dxa" w:w="5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Competitor gains &gt;15% market share in oncology NGS testing</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Review competitive positioning</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7</w:t>
            </w:r>
          </w:p>
        </w:tc>
        <w:tc>
          <w:tcPr>
            <w:tcW w:type="dxa" w:w="5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AstraZeneca partnership underperforms (milestones missed)</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Review data monetization thesis</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8</w:t>
            </w:r>
          </w:p>
        </w:tc>
        <w:tc>
          <w:tcPr>
            <w:tcW w:type="dxa" w:w="5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Hospital connection count stagnates below 5,500 for 3+ quarters</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Review network growth</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9</w:t>
            </w:r>
          </w:p>
        </w:tc>
        <w:tc>
          <w:tcPr>
            <w:tcW w:type="dxa" w:w="5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Management revises 2026 adjusted EBITDA guidance below $50M</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Review profitability path</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10</w:t>
            </w:r>
          </w:p>
        </w:tc>
        <w:tc>
          <w:tcPr>
            <w:tcW w:type="dxa" w:w="5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Insider selling by CEO/CFO accelerates beyond historical</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Review management conviction</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11</w:t>
            </w:r>
          </w:p>
        </w:tc>
        <w:tc>
          <w:tcPr>
            <w:tcW w:type="dxa" w:w="5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Major health system announces competing data platform</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Escalate disintermediation risk</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center"/>
            </w:pPr>
            <w:r>
              <w:t xml:space="preserve">12</w:t>
            </w:r>
          </w:p>
        </w:tc>
        <w:tc>
          <w:tcPr>
            <w:tcW w:type="dxa" w:w="5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FDA warning letter or adverse action</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pStyle w:val="Normal"/>
              <w:jc w:val="left"/>
            </w:pPr>
            <w:r>
              <w:t xml:space="preserve">Immediate regulatory review</w:t>
            </w:r>
          </w:p>
        </w:tc>
      </w:tr>
    </w:tbl>
    <w:p/>
    <w:r>
      <w:br w:type="page"/>
    </w:r>
    <w:p>
      <w:pPr>
        <w:pStyle w:val="Heading1"/>
        <w:spacing w:after="120" w:before="240"/>
      </w:pPr>
      <w:r>
        <w:t xml:space="preserve">EXECUTIVE SUMMARY</w:t>
      </w:r>
    </w:p>
    <w:p>
      <w:pPr>
        <w:pStyle w:val="Normal"/>
        <w:spacing w:after="120"/>
        <w:jc w:val="left"/>
      </w:pPr>
      <w:r>
        <w:t xml:space="preserve">Company: TEM — AI-Powered Precision Medicine &amp; Data Platform</w:t>
      </w:r>
    </w:p>
    <w:p>
      <w:pPr>
        <w:pStyle w:val="Normal"/>
        <w:spacing w:after="120"/>
        <w:jc w:val="left"/>
      </w:pPr>
      <w:r>
        <w:t xml:space="preserve">Current Price: $55.41 | Market Cap: $9.9B</w:t>
      </w:r>
    </w:p>
    <w:p/>
    <w:p>
      <w:pPr>
        <w:pStyle w:val="Normal"/>
        <w:spacing w:after="120"/>
        <w:jc w:val="left"/>
      </w:pPr>
      <w:r>
        <w:t xml:space="preserve">HMDI Score: 12/20 | Classification: HEALTHCARE INCUMBENT</w:t>
      </w:r>
    </w:p>
    <w:p>
      <w:pPr>
        <w:pStyle w:val="Normal"/>
        <w:spacing w:after="120"/>
        <w:jc w:val="left"/>
      </w:pPr>
      <w:r>
        <w:t xml:space="preserve">Composite Score: 8.70/10 | Classification: ANTIFRAGILE</w:t>
      </w:r>
    </w:p>
    <w:p/>
    <w:p>
      <w:pPr>
        <w:pStyle w:val="Normal"/>
        <w:spacing w:after="240"/>
        <w:jc w:val="left"/>
      </w:pPr>
      <w:r>
        <w:t xml:space="preserve">Moat Assessment: Tempus's core moats — patient data gravity (400+ PB multimodal), clinical workflow embedding (5,500 hospitals, Tempus One EHR integration), provider network effects (two-sided network connecting hospitals and pharma), and regulatory clearances (multiple FDA 510(k)s) — create a defensive position that AI strengthens rather than weakens. The data-diagnostics flywheel is the most durable moat: more tests generate more data, which trains better AI models, which attract more hospitals and pharma partners.</w:t>
      </w:r>
    </w:p>
    <w:p>
      <w:pPr>
        <w:pStyle w:val="Heading2"/>
        <w:spacing w:after="120" w:before="240"/>
      </w:pPr>
      <w:r>
        <w:t xml:space="preserve">Key Strengths</w:t>
      </w:r>
    </w:p>
    <w:p>
      <w:pPr>
        <w:pStyle w:val="ListParagraph"/>
        <w:pStyle w:val="Normal"/>
        <w:numPr>
          <w:ilvl w:val="0"/>
          <w:numId w:val="1"/>
        </w:numPr>
        <w:spacing w:after="100"/>
      </w:pPr>
      <w:r>
        <w:t xml:space="preserve">Largest multimodal clinical dataset in precision medicine (400+ PB, 45M records) with published evidence of data-driven model improvement (~700 peer-reviewed articles)</w:t>
      </w:r>
    </w:p>
    <w:p>
      <w:pPr>
        <w:pStyle w:val="ListParagraph"/>
        <w:pStyle w:val="Normal"/>
        <w:numPr>
          <w:ilvl w:val="0"/>
          <w:numId w:val="1"/>
        </w:numPr>
        <w:spacing w:after="100"/>
      </w:pPr>
      <w:r>
        <w:t xml:space="preserve">Dual-engine revenue model (diagnostics + data licensing) with gross margins expanding to ~64%</w:t>
      </w:r>
    </w:p>
    <w:p>
      <w:pPr>
        <w:pStyle w:val="ListParagraph"/>
        <w:pStyle w:val="Normal"/>
        <w:numPr>
          <w:ilvl w:val="0"/>
          <w:numId w:val="1"/>
        </w:numPr>
        <w:spacing w:after="100"/>
      </w:pPr>
      <w:r>
        <w:t xml:space="preserve">Multiple FDA 510(k) clearances with ADLT migration catalyst for ASP improvement</w:t>
      </w:r>
    </w:p>
    <w:p>
      <w:pPr>
        <w:pStyle w:val="ListParagraph"/>
        <w:pStyle w:val="Normal"/>
        <w:numPr>
          <w:ilvl w:val="0"/>
          <w:numId w:val="1"/>
        </w:numPr>
        <w:spacing w:after="100"/>
      </w:pPr>
      <w:r>
        <w:t xml:space="preserve">Tempus One EHR integration embedding Tempus in clinical workflows beyond test ordering</w:t>
      </w:r>
    </w:p>
    <w:p>
      <w:pPr>
        <w:pStyle w:val="ListParagraph"/>
        <w:pStyle w:val="Normal"/>
        <w:numPr>
          <w:ilvl w:val="0"/>
          <w:numId w:val="1"/>
        </w:numPr>
        <w:spacing w:after="100"/>
      </w:pPr>
      <w:r>
        <w:t xml:space="preserve">Two-sided network effects (5,500 hospitals + 70+ pharma customers) with NRR 126%</w:t>
      </w:r>
    </w:p>
    <w:p/>
    <w:p>
      <w:pPr>
        <w:pStyle w:val="Heading2"/>
        <w:spacing w:after="120" w:before="240"/>
      </w:pPr>
      <w:r>
        <w:t xml:space="preserve">Key Risks</w:t>
      </w:r>
    </w:p>
    <w:p>
      <w:pPr>
        <w:pStyle w:val="ListParagraph"/>
        <w:pStyle w:val="Normal"/>
        <w:numPr>
          <w:ilvl w:val="0"/>
          <w:numId w:val="1"/>
        </w:numPr>
        <w:spacing w:after="100"/>
      </w:pPr>
      <w:r>
        <w:t xml:space="preserve">ASP still ~$1,600 vs. peer average of $3,500+ — reimbursement gap is the single biggest financial risk</w:t>
      </w:r>
    </w:p>
    <w:p>
      <w:pPr>
        <w:pStyle w:val="ListParagraph"/>
        <w:pStyle w:val="Normal"/>
        <w:numPr>
          <w:ilvl w:val="0"/>
          <w:numId w:val="1"/>
        </w:numPr>
        <w:spacing w:after="100"/>
      </w:pPr>
      <w:r>
        <w:t xml:space="preserve">Customer concentration: ~60% of Insights revenue from top 3 pharma clients</w:t>
      </w:r>
    </w:p>
    <w:p>
      <w:pPr>
        <w:pStyle w:val="ListParagraph"/>
        <w:pStyle w:val="Normal"/>
        <w:numPr>
          <w:ilvl w:val="0"/>
          <w:numId w:val="1"/>
        </w:numPr>
        <w:spacing w:after="100"/>
      </w:pPr>
      <w:r>
        <w:t xml:space="preserve">GAAP net loss of $245M in FY2025; only marginal adjusted EBITDA positive ($65M guided for 2026)</w:t>
      </w:r>
    </w:p>
    <w:p>
      <w:pPr>
        <w:pStyle w:val="ListParagraph"/>
        <w:pStyle w:val="Normal"/>
        <w:numPr>
          <w:ilvl w:val="0"/>
          <w:numId w:val="1"/>
        </w:numPr>
        <w:spacing w:after="100"/>
      </w:pPr>
      <w:r>
        <w:t xml:space="preserve">Competition from Foundation Medicine (Roche), Guardant Health, and Caris</w:t>
      </w:r>
    </w:p>
    <w:p>
      <w:pPr>
        <w:pStyle w:val="ListParagraph"/>
        <w:pStyle w:val="Normal"/>
        <w:numPr>
          <w:ilvl w:val="0"/>
          <w:numId w:val="1"/>
        </w:numPr>
        <w:spacing w:after="100"/>
      </w:pPr>
      <w:r>
        <w:t xml:space="preserve">Health system disintermediation risk if major systems pool data internally</w:t>
      </w:r>
    </w:p>
    <w:p/>
    <w:p>
      <w:pPr>
        <w:pStyle w:val="Heading2"/>
        <w:spacing w:after="120" w:before="240"/>
      </w:pPr>
      <w:r>
        <w:t xml:space="preserve">Bear Case (Summary)</w:t>
      </w:r>
    </w:p>
    <w:p>
      <w:pPr>
        <w:pStyle w:val="Normal"/>
        <w:spacing w:after="240"/>
        <w:jc w:val="left"/>
      </w:pPr>
      <w:r>
        <w:t xml:space="preserve">The strongest bear case is that ADLT migration stalls, ASP stays at ~$1,600, and Tempus cannot close the reimbursement gap to peers — meaning the company remains a high-growth but structurally low-margin diagnostic business that never achieves the profitability the market is pricing in. Combined with customer concentration (~60% of Insights from top 3 pharma), a pharma R&amp;D downturn could simultaneously compress both revenue engines. Estimated probability of this bear case materializing: 20-25%.</w:t>
      </w:r>
    </w:p>
    <w:p>
      <w:pPr>
        <w:pStyle w:val="Heading2"/>
        <w:spacing w:after="120" w:before="240"/>
      </w:pPr>
      <w:r>
        <w:t xml:space="preserve">Valuation</w:t>
      </w:r>
    </w:p>
    <w:p>
      <w:pPr>
        <w:pStyle w:val="ListParagraph"/>
        <w:pStyle w:val="Normal"/>
        <w:numPr>
          <w:ilvl w:val="0"/>
          <w:numId w:val="1"/>
        </w:numPr>
        <w:spacing w:after="100"/>
      </w:pPr>
      <w:r>
        <w:t xml:space="preserve">Current: ~6.2x NTM Revenue ($1.59B 2026 guidance)</w:t>
      </w:r>
    </w:p>
    <w:p>
      <w:pPr>
        <w:pStyle w:val="ListParagraph"/>
        <w:pStyle w:val="Normal"/>
        <w:numPr>
          <w:ilvl w:val="0"/>
          <w:numId w:val="1"/>
        </w:numPr>
        <w:spacing w:after="100"/>
      </w:pPr>
      <w:r>
        <w:t xml:space="preserve">Band: 4-10x for ANTIFRAGILE</w:t>
      </w:r>
    </w:p>
    <w:p>
      <w:pPr>
        <w:pStyle w:val="ListParagraph"/>
        <w:pStyle w:val="Normal"/>
        <w:numPr>
          <w:ilvl w:val="0"/>
          <w:numId w:val="1"/>
        </w:numPr>
        <w:spacing w:after="100"/>
      </w:pPr>
      <w:r>
        <w:t xml:space="preserve">Implied Assumptions: ~25-30% revenue CAGR, terminal gross margins 65-70%, EBITDA margins 15-20%</w:t>
      </w:r>
    </w:p>
    <w:p>
      <w:pPr>
        <w:pStyle w:val="ListParagraph"/>
        <w:pStyle w:val="Normal"/>
        <w:numPr>
          <w:ilvl w:val="0"/>
          <w:numId w:val="1"/>
        </w:numPr>
        <w:spacing w:after="100"/>
      </w:pPr>
      <w:r>
        <w:t xml:space="preserve">Assessment: FAIR — mid-range of band, prices in management guidance but not beyond it</w:t>
      </w:r>
    </w:p>
    <w:p/>
    <w:p>
      <w:pPr>
        <w:pStyle w:val="Heading2"/>
        <w:spacing w:after="120" w:before="240"/>
      </w:pPr>
      <w:r>
        <w:t xml:space="preserve">Recommendation</w:t>
      </w:r>
    </w:p>
    <w:p>
      <w:pPr>
        <w:pStyle w:val="Normal"/>
        <w:spacing w:after="120"/>
        <w:jc w:val="left"/>
      </w:pPr>
      <w:r>
        <w:t xml:space="preserve">BUY at $55 | Position Size: 2-3% of portfolio | Conviction: Medium-High</w:t>
      </w:r>
    </w:p>
    <w:p/>
    <w:p>
      <w:pPr>
        <w:pStyle w:val="Normal"/>
        <w:spacing w:after="240"/>
        <w:jc w:val="left"/>
      </w:pPr>
      <w:r>
        <w:t xml:space="preserve">The data moat and AI integration position Tempus as one of the few healthcare companies that genuinely benefits from AI disruption rather than being threatened by it. The ADLT migration and Tempus One EHR adoption are the key 2026 catalysts. Position sizing reflects the reimbursement execution risk and customer concentration.</w:t>
      </w:r>
    </w:p>
    <w:p>
      <w:pPr>
        <w:pStyle w:val="Normal"/>
        <w:spacing w:after="120"/>
        <w:jc w:val="left"/>
      </w:pPr>
      <w:r>
        <w:t xml:space="preserve">Key Monitoring Metrics: (1) ASP trajectory toward $2,000+ by end 2026, (2) NRR staying above 110%, (3) Organic revenue growth maintaining ≥20%</w:t>
      </w:r>
    </w:p>
    <w:p/>
    <w:p>
      <w:pPr>
        <w:pStyle w:val="Normal"/>
        <w:spacing w:after="120"/>
        <w:jc w:val="left"/>
      </w:pPr>
      <w:r>
        <w:t xml:space="preserve">Review Date: After Q2 2026 earnings (August 2026) — assess ADLT migration progress and Tempus One adoption metrics.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2026-02-28T03:09:48.392Z</dcterms:created>
  <dcterms:modified xsi:type="dcterms:W3CDTF">2026-02-28T03:09:48.392Z</dcterms:modified>
</cp:coreProperties>
</file>

<file path=docProps/custom.xml><?xml version="1.0" encoding="utf-8"?>
<Properties xmlns="http://schemas.openxmlformats.org/officeDocument/2006/custom-properties" xmlns:vt="http://schemas.openxmlformats.org/officeDocument/2006/docPropsVTypes"/>
</file>