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A1EE" w14:textId="77777777" w:rsidR="004F293C" w:rsidRDefault="004F293C">
      <w:pPr>
        <w:spacing w:before="80" w:after="80"/>
      </w:pPr>
    </w:p>
    <w:p w14:paraId="37CDEC65" w14:textId="77777777" w:rsidR="004F293C" w:rsidRDefault="004F293C">
      <w:pPr>
        <w:spacing w:before="80" w:after="80"/>
      </w:pPr>
    </w:p>
    <w:p w14:paraId="71F2BCB9" w14:textId="77777777" w:rsidR="004F293C" w:rsidRDefault="00000000">
      <w:pPr>
        <w:shd w:val="clear" w:color="auto" w:fill="1F3864"/>
        <w:spacing w:before="400" w:after="120"/>
        <w:jc w:val="center"/>
      </w:pPr>
      <w:r>
        <w:rPr>
          <w:b/>
          <w:bCs/>
          <w:color w:val="FFFFFF"/>
          <w:sz w:val="48"/>
          <w:szCs w:val="48"/>
        </w:rPr>
        <w:t xml:space="preserve">  VEEVA SYSTEMS (VEEV)  </w:t>
      </w:r>
    </w:p>
    <w:p w14:paraId="083F03D7" w14:textId="77777777" w:rsidR="004F293C" w:rsidRDefault="00000000">
      <w:pPr>
        <w:spacing w:before="40" w:after="40"/>
        <w:jc w:val="center"/>
      </w:pPr>
      <w:r>
        <w:rPr>
          <w:b/>
          <w:bCs/>
          <w:color w:val="1F3864"/>
          <w:sz w:val="32"/>
          <w:szCs w:val="32"/>
        </w:rPr>
        <w:t>Operating Leverage &amp; Cost Structure Analysis</w:t>
      </w:r>
    </w:p>
    <w:p w14:paraId="748301AE" w14:textId="77777777" w:rsidR="004F293C" w:rsidRDefault="00000000">
      <w:pPr>
        <w:spacing w:before="20" w:after="20"/>
        <w:jc w:val="center"/>
      </w:pPr>
      <w:r>
        <w:rPr>
          <w:color w:val="404040"/>
          <w:sz w:val="22"/>
          <w:szCs w:val="22"/>
        </w:rPr>
        <w:t>Framework: Structural Leverage · Incremental Margin · Stress Test</w:t>
      </w:r>
    </w:p>
    <w:p w14:paraId="60E4615A" w14:textId="177351CA" w:rsidR="004F293C" w:rsidRDefault="00000000">
      <w:pPr>
        <w:spacing w:before="20" w:after="200"/>
        <w:jc w:val="center"/>
      </w:pPr>
      <w:r>
        <w:rPr>
          <w:color w:val="404040"/>
        </w:rPr>
        <w:t xml:space="preserve">Data Sources: SEC 10-K Filings · Press Releases · Earnings </w:t>
      </w:r>
      <w:r w:rsidR="0053678E">
        <w:rPr>
          <w:color w:val="404040"/>
        </w:rPr>
        <w:t>Reports |</w:t>
      </w:r>
      <w:r>
        <w:rPr>
          <w:color w:val="404040"/>
        </w:rPr>
        <w:t xml:space="preserve">  March 2026</w:t>
      </w:r>
    </w:p>
    <w:p w14:paraId="34779E53" w14:textId="77777777" w:rsidR="004F293C" w:rsidRDefault="004F293C">
      <w:pPr>
        <w:pBdr>
          <w:bottom w:val="single" w:sz="6" w:space="1" w:color="2E75B6"/>
        </w:pBdr>
        <w:spacing w:before="120" w:after="120"/>
      </w:pPr>
    </w:p>
    <w:p w14:paraId="6C01ADD1" w14:textId="77777777" w:rsidR="004F293C" w:rsidRDefault="004F293C">
      <w:pPr>
        <w:spacing w:before="80" w:after="80"/>
      </w:pPr>
    </w:p>
    <w:p w14:paraId="177618B3" w14:textId="77777777" w:rsidR="004F293C" w:rsidRDefault="00000000">
      <w:pPr>
        <w:spacing w:before="60"/>
        <w:jc w:val="center"/>
      </w:pPr>
      <w:r>
        <w:rPr>
          <w:color w:val="404040"/>
          <w:sz w:val="18"/>
          <w:szCs w:val="18"/>
        </w:rPr>
        <w:t>FISCAL YEAR REFERENCE: Veeva's fiscal year ends January 31. FY2025 = Feb 2024 – Jan 2025.</w:t>
      </w:r>
    </w:p>
    <w:p w14:paraId="289E428D" w14:textId="77777777" w:rsidR="004F293C" w:rsidRDefault="004F293C">
      <w:pPr>
        <w:spacing w:before="80" w:after="80"/>
      </w:pPr>
    </w:p>
    <w:p w14:paraId="78523340" w14:textId="77777777" w:rsidR="004F293C" w:rsidRDefault="00000000">
      <w:pPr>
        <w:shd w:val="clear" w:color="auto" w:fill="1F3864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  ANALYSIS 1  |  STRUCTURAL OPERATING LEVERAGE</w:t>
      </w:r>
    </w:p>
    <w:p w14:paraId="04852713" w14:textId="77777777" w:rsidR="004F293C" w:rsidRDefault="004F293C">
      <w:pPr>
        <w:spacing w:before="80" w:after="80"/>
      </w:pPr>
    </w:p>
    <w:p w14:paraId="0338AB18" w14:textId="77777777" w:rsidR="004F293C" w:rsidRDefault="00000000">
      <w:pPr>
        <w:pStyle w:val="Heading1"/>
      </w:pPr>
      <w:r>
        <w:rPr>
          <w:color w:val="1F3864"/>
        </w:rPr>
        <w:t>I. EXECUTIVE SUMMARY</w:t>
      </w:r>
    </w:p>
    <w:p w14:paraId="30086B1F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Operating Margin Trend: GAAP op margins were stable ~25–27% from FY2020–FY2022, compressed to 18.2% in FY2024 during a deliberate investment phase (Vault CRM build-out + TFC contract change), then rebounded sharply to 25.2% in FY2025. Non-GAAP margins have been consistently high at 35–42%.</w:t>
      </w:r>
    </w:p>
    <w:p w14:paraId="4E024EF8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Cost Structure: Platform-heavy SaaS with ~74.5% gross margins (FY2025). R&amp;D, sales &amp; marketing, and G&amp;A are largely fixed. Once subscriptions are on the platform, serving additional users costs pennies.</w:t>
      </w:r>
    </w:p>
    <w:p w14:paraId="499C4E3E" w14:textId="7066DE28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Industry Position: Veeva's gross margins exceed life sciences services peers (IQVIA ~35%, Medidata/Dassault Sciences mixed). Versus horizontal </w:t>
      </w:r>
      <w:r w:rsidR="0053678E">
        <w:rPr>
          <w:color w:val="404040"/>
        </w:rPr>
        <w:t>SaaS</w:t>
      </w:r>
      <w:r>
        <w:rPr>
          <w:color w:val="404040"/>
        </w:rPr>
        <w:t xml:space="preserve"> is comparable; among vertical SaaS it is top-quartile given the mission-critical, regulated-industry context.</w:t>
      </w:r>
    </w:p>
    <w:p w14:paraId="0C728BAD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Classification: STRUCTURAL LEVERAGE — The software platform has been built; future customers ride on existing infrastructure with minimal marginal cost. FY2025 subscription revenue (+20%) dramatically outgrew headcount (+1.7%), the clearest possible confirmation of leverage.</w:t>
      </w:r>
    </w:p>
    <w:p w14:paraId="21651596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One-Sentence Verdict: Veeva is a structurally leveraged software business where the hard costs of platform construction are already sunk, and each incremental subscription dollar flows through at ~75% gross margin with R&amp;D and G&amp;A nearly fixed — the model gets more profitable as it scales.</w:t>
      </w:r>
    </w:p>
    <w:p w14:paraId="3DF9D5A3" w14:textId="77777777" w:rsidR="004F293C" w:rsidRDefault="004F293C">
      <w:pPr>
        <w:spacing w:before="80" w:after="80"/>
      </w:pPr>
    </w:p>
    <w:p w14:paraId="3485A642" w14:textId="77777777" w:rsidR="004F293C" w:rsidRDefault="00000000">
      <w:pPr>
        <w:pStyle w:val="Heading1"/>
      </w:pPr>
      <w:r>
        <w:rPr>
          <w:color w:val="1F3864"/>
        </w:rPr>
        <w:t>II. COST STRUCTURE ANATOMY</w:t>
      </w:r>
    </w:p>
    <w:p w14:paraId="0647F5DE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A. Fixed vs. Variable Split</w:t>
      </w:r>
    </w:p>
    <w:p w14:paraId="11AFE87E" w14:textId="77777777" w:rsidR="004F293C" w:rsidRDefault="00000000">
      <w:pPr>
        <w:spacing w:before="60" w:after="60"/>
      </w:pPr>
      <w:r>
        <w:rPr>
          <w:color w:val="404040"/>
        </w:rPr>
        <w:t>Veeva's costs divide cleanly between a high-fixed-cost subscription engine and a more variable professional services arm:</w:t>
      </w:r>
    </w:p>
    <w:p w14:paraId="2476EF02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60"/>
      </w:tblGrid>
      <w:tr w:rsidR="004F293C" w14:paraId="1580326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BF347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Category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08C37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Nature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FCDE8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Est. % of Revenue (FY25)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B2968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Fixed vs Variable</w:t>
            </w:r>
          </w:p>
        </w:tc>
      </w:tr>
      <w:tr w:rsidR="004F293C" w14:paraId="27D39FF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98488" w14:textId="77777777" w:rsidR="004F293C" w:rsidRDefault="00000000">
            <w:r>
              <w:rPr>
                <w:color w:val="404040"/>
                <w:sz w:val="18"/>
                <w:szCs w:val="18"/>
              </w:rPr>
              <w:t>Cloud infrastructure (AWS/SFDC hosting)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58A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Mostly variable (scales with compute)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CEE0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~5–6%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4E5E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60% variable</w:t>
            </w:r>
          </w:p>
        </w:tc>
      </w:tr>
      <w:tr w:rsidR="004F293C" w14:paraId="59A0530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C752F" w14:textId="77777777" w:rsidR="004F293C" w:rsidRDefault="00000000">
            <w:r>
              <w:rPr>
                <w:color w:val="404040"/>
                <w:sz w:val="18"/>
                <w:szCs w:val="18"/>
              </w:rPr>
              <w:t>R&amp;D (platform, product development)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7D9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Predominantly fixed (headcount-driven)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6EAE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~18–20%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DE8F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85% fixed</w:t>
            </w:r>
          </w:p>
        </w:tc>
      </w:tr>
      <w:tr w:rsidR="004F293C" w14:paraId="0F8A61C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D3B6E" w14:textId="77777777" w:rsidR="004F293C" w:rsidRDefault="00000000">
            <w:r>
              <w:rPr>
                <w:color w:val="404040"/>
                <w:sz w:val="18"/>
                <w:szCs w:val="18"/>
              </w:rPr>
              <w:t>Sales &amp; Marketing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DE4A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Semi-fixed (team) + variable (campaigns)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672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~10–11%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8365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70% fixed</w:t>
            </w:r>
          </w:p>
        </w:tc>
      </w:tr>
      <w:tr w:rsidR="004F293C" w14:paraId="642F016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600E2" w14:textId="77777777" w:rsidR="004F293C" w:rsidRDefault="00000000">
            <w:r>
              <w:rPr>
                <w:color w:val="404040"/>
                <w:sz w:val="18"/>
                <w:szCs w:val="18"/>
              </w:rPr>
              <w:t>G&amp;A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CC60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Highly fixed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D1E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~4–5%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2A98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90% fixed</w:t>
            </w:r>
          </w:p>
        </w:tc>
      </w:tr>
      <w:tr w:rsidR="004F293C" w14:paraId="6EAC60E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69AD2" w14:textId="77777777" w:rsidR="004F293C" w:rsidRDefault="00000000">
            <w:r>
              <w:rPr>
                <w:color w:val="404040"/>
                <w:sz w:val="18"/>
                <w:szCs w:val="18"/>
              </w:rPr>
              <w:t>Professional Services (COGS)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E5D8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Largely variable (billable headcount)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EBF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~8–9%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7607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40% fixed</w:t>
            </w:r>
          </w:p>
        </w:tc>
      </w:tr>
      <w:tr w:rsidR="004F293C" w14:paraId="2CF142B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EC6E0" w14:textId="77777777" w:rsidR="004F293C" w:rsidRDefault="00000000">
            <w:r>
              <w:rPr>
                <w:color w:val="404040"/>
                <w:sz w:val="18"/>
                <w:szCs w:val="18"/>
              </w:rPr>
              <w:lastRenderedPageBreak/>
              <w:t>Data acquisition (</w:t>
            </w:r>
            <w:proofErr w:type="spellStart"/>
            <w:r>
              <w:rPr>
                <w:color w:val="404040"/>
                <w:sz w:val="18"/>
                <w:szCs w:val="18"/>
              </w:rPr>
              <w:t>Crossix</w:t>
            </w:r>
            <w:proofErr w:type="spellEnd"/>
            <w:r>
              <w:rPr>
                <w:color w:val="404040"/>
                <w:sz w:val="18"/>
                <w:szCs w:val="18"/>
              </w:rPr>
              <w:t>/Data Cloud)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5F8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Mixed (licensed + headcount)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CD9C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~3–4%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F2D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50% fixed</w:t>
            </w:r>
          </w:p>
        </w:tc>
      </w:tr>
    </w:tbl>
    <w:p w14:paraId="3E98F099" w14:textId="77777777" w:rsidR="004F293C" w:rsidRDefault="004F293C">
      <w:pPr>
        <w:spacing w:before="80" w:after="80"/>
      </w:pPr>
    </w:p>
    <w:p w14:paraId="0C52E511" w14:textId="77777777" w:rsidR="004F293C" w:rsidRDefault="00000000">
      <w:pPr>
        <w:spacing w:before="60" w:after="60"/>
      </w:pPr>
      <w:r>
        <w:rPr>
          <w:color w:val="404040"/>
        </w:rPr>
        <w:t>(inferred) Aggregate estimate: ~65% of total costs are fixed or semi-fixed, rising toward 70% as subscription mix grows. Professional services (~20% of revenue, ~25% GM) dilutes overall leverage but is necessary for customer onboarding.</w:t>
      </w:r>
    </w:p>
    <w:p w14:paraId="632A7B97" w14:textId="77777777" w:rsidR="004F293C" w:rsidRDefault="004F293C">
      <w:pPr>
        <w:spacing w:before="80" w:after="80"/>
      </w:pPr>
    </w:p>
    <w:p w14:paraId="6FD43575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B. The 'Already Paid For' Test</w:t>
      </w:r>
    </w:p>
    <w:p w14:paraId="3B13AF08" w14:textId="77777777" w:rsidR="004F293C" w:rsidRDefault="00000000">
      <w:pPr>
        <w:spacing w:before="60" w:after="60"/>
      </w:pPr>
      <w:r>
        <w:rPr>
          <w:color w:val="404040"/>
        </w:rPr>
        <w:t>Veeva has invested an estimated $3–4 billion cumulatively in R&amp;D since IPO building Vault, Vault CRM, Clinical Suite, Quality Cloud, Safety Cloud, and the Data Cloud. Each product is a platform that marginal customers access at near-zero incremental cost:</w:t>
      </w:r>
    </w:p>
    <w:p w14:paraId="7D2EA48A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Vault Platform: A single cloud platform serving 1,477 customers across 30+ applications. The platform R&amp;D cost is socialized across all customers.</w:t>
      </w:r>
    </w:p>
    <w:p w14:paraId="016B2BC9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Regulatory, Clinical, Quality, Safety clouds: Purpose-built for FDA/EMA/ICH-compliant workflows — extremely expensive to build, nearly free to replicate per new subscriber.</w:t>
      </w:r>
    </w:p>
    <w:p w14:paraId="077B75FF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Crossix</w:t>
      </w:r>
      <w:proofErr w:type="spellEnd"/>
      <w:r>
        <w:rPr>
          <w:color w:val="404040"/>
        </w:rPr>
        <w:t xml:space="preserve"> Data Network: ~$400M acquisition in 2019. Network effects mean each new pharma client adds data density that benefits all existing clients at no incremental cost.</w:t>
      </w:r>
    </w:p>
    <w:p w14:paraId="266A5F0D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Brand &amp; trust: Veeva is the de facto standard in commercial pharma cloud. That incumbency advantage (switching costs + regulatory validation) took 15+ years to build and cannot be purchased.</w:t>
      </w:r>
    </w:p>
    <w:p w14:paraId="59CD4987" w14:textId="77777777" w:rsidR="004F293C" w:rsidRDefault="004F293C">
      <w:pPr>
        <w:spacing w:before="80" w:after="80"/>
      </w:pPr>
    </w:p>
    <w:p w14:paraId="338AB365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C. Marginal Cost Reality</w:t>
      </w:r>
    </w:p>
    <w:p w14:paraId="6B1108B3" w14:textId="77777777" w:rsidR="004F293C" w:rsidRDefault="00000000">
      <w:pPr>
        <w:spacing w:before="60" w:after="60"/>
      </w:pPr>
      <w:r>
        <w:rPr>
          <w:color w:val="404040"/>
        </w:rPr>
        <w:t>For subscription services (~83% of FY2025 revenue), the cost to serve one additional enterprise customer is primarily:</w:t>
      </w:r>
    </w:p>
    <w:p w14:paraId="0787A129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Cloud infrastructure: AWS/SFDC compute costs scale, but at declining per-unit cost with scale.</w:t>
      </w:r>
    </w:p>
    <w:p w14:paraId="793E452F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Customer success / support: ~2–3 headcount per major enterprise, but Veeva's model uses tiered support efficiently.</w:t>
      </w:r>
    </w:p>
    <w:p w14:paraId="64F10B1E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Data stewards (</w:t>
      </w:r>
      <w:proofErr w:type="spellStart"/>
      <w:r>
        <w:rPr>
          <w:color w:val="404040"/>
        </w:rPr>
        <w:t>Crossix</w:t>
      </w:r>
      <w:proofErr w:type="spellEnd"/>
      <w:r>
        <w:rPr>
          <w:color w:val="404040"/>
        </w:rPr>
        <w:t>/Data Cloud): More data-intensive, higher marginal cost than pure SaaS, but still far below revenue.</w:t>
      </w:r>
    </w:p>
    <w:p w14:paraId="0E445F3C" w14:textId="77777777" w:rsidR="004F293C" w:rsidRDefault="00000000">
      <w:pPr>
        <w:spacing w:before="60" w:after="60"/>
      </w:pPr>
      <w:r>
        <w:rPr>
          <w:color w:val="404040"/>
        </w:rPr>
        <w:t>Subscription gross margin ~80%+ (estimated; GAAP blended with services = 74.5% FY2025) demonstrates the marginal cost of serving one more subscriber is approximately 20 cents per dollar of subscription revenue. Structurally, this bottoms out around 78–82% as platform amortization becomes less relevant.</w:t>
      </w:r>
    </w:p>
    <w:p w14:paraId="70063266" w14:textId="77777777" w:rsidR="004F293C" w:rsidRDefault="004F293C">
      <w:pPr>
        <w:spacing w:before="80" w:after="80"/>
      </w:pPr>
    </w:p>
    <w:p w14:paraId="38C85656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 xml:space="preserve">D. Margin Bridge — Gross Margin vs. </w:t>
      </w:r>
      <w:proofErr w:type="spellStart"/>
      <w:r>
        <w:rPr>
          <w:b/>
          <w:bCs/>
          <w:color w:val="2E75B6"/>
          <w:sz w:val="22"/>
          <w:szCs w:val="22"/>
        </w:rPr>
        <w:t>OpEx</w:t>
      </w:r>
      <w:proofErr w:type="spellEnd"/>
      <w:r>
        <w:rPr>
          <w:b/>
          <w:bCs/>
          <w:color w:val="2E75B6"/>
          <w:sz w:val="22"/>
          <w:szCs w:val="22"/>
        </w:rPr>
        <w:t xml:space="preserve"> Leverage</w:t>
      </w:r>
    </w:p>
    <w:p w14:paraId="78A4EEA4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500"/>
        <w:gridCol w:w="2300"/>
        <w:gridCol w:w="1680"/>
        <w:gridCol w:w="1480"/>
      </w:tblGrid>
      <w:tr w:rsidR="004F293C" w14:paraId="644A1FE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3FBC4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Fiscal Year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E8784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($M)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18959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Gross Margin %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F1697" w14:textId="77777777" w:rsidR="004F293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% Rev (R&amp;D+SM+GA)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270FA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GAAP Op Margin 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503A8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Non-GAAP Op Margin %</w:t>
            </w:r>
          </w:p>
        </w:tc>
      </w:tr>
      <w:tr w:rsidR="004F293C" w14:paraId="0463AEA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66232" w14:textId="77777777" w:rsidR="004F293C" w:rsidRDefault="00000000">
            <w:r>
              <w:rPr>
                <w:color w:val="404040"/>
                <w:sz w:val="18"/>
                <w:szCs w:val="18"/>
              </w:rPr>
              <w:t>FY2020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1CF0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$1,104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F7E6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~71.5%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221B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~45.6%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6EE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25.9%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0673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~38%</w:t>
            </w:r>
          </w:p>
        </w:tc>
      </w:tr>
      <w:tr w:rsidR="004F293C" w14:paraId="6EC597E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EF235" w14:textId="77777777" w:rsidR="004F293C" w:rsidRDefault="00000000">
            <w:r>
              <w:rPr>
                <w:color w:val="404040"/>
                <w:sz w:val="18"/>
                <w:szCs w:val="18"/>
              </w:rPr>
              <w:t>FY2021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EE36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$1,465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69B8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~72.1%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F50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~46.3%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98C4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25.8%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098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~40%</w:t>
            </w:r>
          </w:p>
        </w:tc>
      </w:tr>
      <w:tr w:rsidR="004F293C" w14:paraId="4E14D6F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219B2" w14:textId="77777777" w:rsidR="004F293C" w:rsidRDefault="00000000">
            <w:r>
              <w:rPr>
                <w:color w:val="404040"/>
                <w:sz w:val="18"/>
                <w:szCs w:val="18"/>
              </w:rPr>
              <w:t>FY2022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825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$1,850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4A0F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~72.8%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0E6E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~45.5%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6C8F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27.3%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97E0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~38.5%</w:t>
            </w:r>
          </w:p>
        </w:tc>
      </w:tr>
      <w:tr w:rsidR="004F293C" w14:paraId="125407F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B3D2" w14:textId="77777777" w:rsidR="004F293C" w:rsidRDefault="00000000">
            <w:r>
              <w:rPr>
                <w:color w:val="404040"/>
                <w:sz w:val="18"/>
                <w:szCs w:val="18"/>
              </w:rPr>
              <w:t>FY2023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D31B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$2,155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91CB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~71.7%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524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~50.4%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7F69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21.3%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BE10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~38.5%</w:t>
            </w:r>
          </w:p>
        </w:tc>
      </w:tr>
      <w:tr w:rsidR="004F293C" w14:paraId="3F4DDFE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3047F" w14:textId="77777777" w:rsidR="004F293C" w:rsidRDefault="00000000">
            <w:r>
              <w:rPr>
                <w:color w:val="404040"/>
                <w:sz w:val="18"/>
                <w:szCs w:val="18"/>
              </w:rPr>
              <w:t>FY2024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04D9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$2,364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D37F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~71.3%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4C6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~53.2%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522C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18.2%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DC7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35.6%</w:t>
            </w:r>
          </w:p>
        </w:tc>
      </w:tr>
      <w:tr w:rsidR="004F293C" w14:paraId="5E71181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47C5D" w14:textId="77777777" w:rsidR="004F293C" w:rsidRDefault="00000000">
            <w:r>
              <w:rPr>
                <w:color w:val="404040"/>
                <w:sz w:val="18"/>
                <w:szCs w:val="18"/>
              </w:rPr>
              <w:t>FY2025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3B98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$2,747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13D4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~74.5%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4A7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~49.3%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BEBB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25.2%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D9B0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42.0%</w:t>
            </w:r>
          </w:p>
        </w:tc>
      </w:tr>
    </w:tbl>
    <w:p w14:paraId="33B5D4D7" w14:textId="77777777" w:rsidR="004F293C" w:rsidRDefault="004F293C">
      <w:pPr>
        <w:spacing w:before="80" w:after="80"/>
      </w:pPr>
    </w:p>
    <w:p w14:paraId="61B31591" w14:textId="77777777" w:rsidR="004F293C" w:rsidRDefault="00000000">
      <w:pPr>
        <w:spacing w:before="60" w:after="60"/>
      </w:pPr>
      <w:r>
        <w:rPr>
          <w:color w:val="404040"/>
        </w:rPr>
        <w:t>Key Decomposition of EBIT Changes:</w:t>
      </w:r>
    </w:p>
    <w:p w14:paraId="2E4F573C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FY2021–FY2022 expansion: Gross margin improvement (+0.7 pts) plus </w:t>
      </w:r>
      <w:proofErr w:type="spellStart"/>
      <w:r>
        <w:rPr>
          <w:color w:val="404040"/>
        </w:rPr>
        <w:t>OpEx</w:t>
      </w:r>
      <w:proofErr w:type="spellEnd"/>
      <w:r>
        <w:rPr>
          <w:color w:val="404040"/>
        </w:rPr>
        <w:t xml:space="preserve"> leverage as headcount growth lagged revenue → GAAP op margin expanded to 27.3%.</w:t>
      </w:r>
    </w:p>
    <w:p w14:paraId="34D2606E" w14:textId="7080F3ED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FY2023–FY2024 compression (TEMPORARY): Two concurrent headwinds — (1) Deliberate R&amp;D surge to build Vault CRM (replacing Salesforce dependency), (2) TFC contract change that pulled forward revenue recognition differently, creating a one-time revenue timing drag in FY2024. Non-GAAP margins stayed ~</w:t>
      </w:r>
      <w:r w:rsidR="00863B1E">
        <w:rPr>
          <w:color w:val="404040"/>
        </w:rPr>
        <w:t xml:space="preserve">35.6%, </w:t>
      </w:r>
      <w:r>
        <w:rPr>
          <w:color w:val="404040"/>
        </w:rPr>
        <w:t>management didn't panic-cut, they invested through the cycle.</w:t>
      </w:r>
    </w:p>
    <w:p w14:paraId="05CA2851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FY2025 rebound (STRUCTURAL CONFIRMATION): Revenue +16.2% while headcount +1.7%. Gross margin jumped to 74.5% (subscription mix shift). GAAP op margin recovered to 25.2%; non-GAAP hit a record 42.0%. This is the leverage unlocking as the Vault CRM build phase concludes.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0F770C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79626D" w14:textId="77777777" w:rsidR="004F293C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Structural Driver Confirmed</w:t>
            </w:r>
          </w:p>
          <w:p w14:paraId="46C1AF83" w14:textId="690A8C1B" w:rsidR="004F293C" w:rsidRDefault="00000000">
            <w:r>
              <w:rPr>
                <w:color w:val="404040"/>
                <w:sz w:val="19"/>
                <w:szCs w:val="19"/>
              </w:rPr>
              <w:t>The FY2025 data is the clearest proof point: Veeva grew revenue by $383M while adding only 119 employees. The incremental GAAP operating margin on that revenue was 68.4</w:t>
            </w:r>
            <w:r w:rsidR="00D16659">
              <w:rPr>
                <w:color w:val="404040"/>
                <w:sz w:val="19"/>
                <w:szCs w:val="19"/>
              </w:rPr>
              <w:t>%,</w:t>
            </w:r>
            <w:r>
              <w:rPr>
                <w:color w:val="404040"/>
                <w:sz w:val="19"/>
                <w:szCs w:val="19"/>
              </w:rPr>
              <w:t xml:space="preserve"> confirming that the fixed cost base is genuinely fixed and the model has structural leverage.</w:t>
            </w:r>
          </w:p>
        </w:tc>
      </w:tr>
    </w:tbl>
    <w:p w14:paraId="651847A4" w14:textId="77777777" w:rsidR="004F293C" w:rsidRDefault="004F293C">
      <w:pPr>
        <w:spacing w:before="80" w:after="80"/>
      </w:pPr>
    </w:p>
    <w:p w14:paraId="6F8144A1" w14:textId="77777777" w:rsidR="004F293C" w:rsidRDefault="00000000">
      <w:pPr>
        <w:pStyle w:val="Heading1"/>
      </w:pPr>
      <w:r>
        <w:rPr>
          <w:color w:val="1F3864"/>
        </w:rPr>
        <w:t>III. SCALING MECHANICS</w:t>
      </w:r>
    </w:p>
    <w:p w14:paraId="4D32BD76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A. The 'Double the Business' Question</w:t>
      </w:r>
    </w:p>
    <w:p w14:paraId="2E9B4424" w14:textId="77777777" w:rsidR="004F293C" w:rsidRDefault="00000000">
      <w:pPr>
        <w:spacing w:before="60" w:after="60"/>
      </w:pPr>
      <w:r>
        <w:rPr>
          <w:color w:val="404040"/>
        </w:rPr>
        <w:t>If Veeva's revenue doubled tomorrow to ~$5.5B:</w:t>
      </w:r>
    </w:p>
    <w:p w14:paraId="1591DE9D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What stays fixed: R&amp;D (~85% fixed), G&amp;A (~90% fixed), brand, platform infrastructure. These would likely only grow 30–40% even with doubled revenue.</w:t>
      </w:r>
    </w:p>
    <w:p w14:paraId="1815F618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What scales: Professional services headcount (approximately 1:1 with PS revenue), cloud infrastructure/data costs, some S&amp;M expansion.</w:t>
      </w:r>
    </w:p>
    <w:p w14:paraId="1D8EAE05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(inferred) Estimated cost split if revenue doubled: ~55% of total costs stay near-fixed, ~45% scale with revenue. This implies non-GAAP operating margins could reach 48–52% at $5.5B revenue if subscription maintains current mix.</w:t>
      </w:r>
    </w:p>
    <w:p w14:paraId="4BD4308E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B. Revenue Per Employee</w:t>
      </w:r>
    </w:p>
    <w:p w14:paraId="265798EB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700"/>
        <w:gridCol w:w="2360"/>
        <w:gridCol w:w="2500"/>
      </w:tblGrid>
      <w:tr w:rsidR="004F293C" w14:paraId="0E44DB5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24757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Fiscal Year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79186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($M)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68F02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90496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/ Employee ($K)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1C58E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YoY Change</w:t>
            </w:r>
          </w:p>
        </w:tc>
      </w:tr>
      <w:tr w:rsidR="004F293C" w14:paraId="793DF86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4ABD" w14:textId="77777777" w:rsidR="004F293C" w:rsidRDefault="00000000">
            <w:r>
              <w:rPr>
                <w:color w:val="404040"/>
                <w:sz w:val="18"/>
                <w:szCs w:val="18"/>
              </w:rPr>
              <w:t>FY2021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D5A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$1,465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585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~4,700 (est.)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935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$312K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329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—</w:t>
            </w:r>
          </w:p>
        </w:tc>
      </w:tr>
      <w:tr w:rsidR="004F293C" w14:paraId="0482F1E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09BA8" w14:textId="77777777" w:rsidR="004F293C" w:rsidRDefault="00000000">
            <w:r>
              <w:rPr>
                <w:color w:val="404040"/>
                <w:sz w:val="18"/>
                <w:szCs w:val="18"/>
              </w:rPr>
              <w:t>FY2022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541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$1,850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20C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~5,500 (est.)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AE9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$336K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A9C1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+7.7%</w:t>
            </w:r>
          </w:p>
        </w:tc>
      </w:tr>
      <w:tr w:rsidR="004F293C" w14:paraId="6D70D82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6F2B3" w14:textId="77777777" w:rsidR="004F293C" w:rsidRDefault="00000000">
            <w:r>
              <w:rPr>
                <w:color w:val="404040"/>
                <w:sz w:val="18"/>
                <w:szCs w:val="18"/>
              </w:rPr>
              <w:t>FY2023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975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$2,155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D38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~6,744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6628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$320K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7F2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-4.8% (hiring surge)</w:t>
            </w:r>
          </w:p>
        </w:tc>
      </w:tr>
      <w:tr w:rsidR="004F293C" w14:paraId="7C5AFBE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139F8" w14:textId="77777777" w:rsidR="004F293C" w:rsidRDefault="00000000">
            <w:r>
              <w:rPr>
                <w:color w:val="404040"/>
                <w:sz w:val="18"/>
                <w:szCs w:val="18"/>
              </w:rPr>
              <w:t>FY2024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A4D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$2,364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61D2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7,172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58D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$330K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199E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+3.1%</w:t>
            </w:r>
          </w:p>
        </w:tc>
      </w:tr>
      <w:tr w:rsidR="004F293C" w14:paraId="6BC382F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A357" w14:textId="77777777" w:rsidR="004F293C" w:rsidRDefault="00000000">
            <w:r>
              <w:rPr>
                <w:color w:val="404040"/>
                <w:sz w:val="18"/>
                <w:szCs w:val="18"/>
              </w:rPr>
              <w:t>FY2025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A1E5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$2,747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D25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7,291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FCB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$377K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F1A5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+14.2%</w:t>
            </w:r>
          </w:p>
        </w:tc>
      </w:tr>
    </w:tbl>
    <w:p w14:paraId="4683BFAE" w14:textId="77777777" w:rsidR="004F293C" w:rsidRDefault="004F293C">
      <w:pPr>
        <w:spacing w:before="80" w:after="80"/>
      </w:pPr>
    </w:p>
    <w:p w14:paraId="475D458F" w14:textId="77777777" w:rsidR="004F293C" w:rsidRDefault="00000000">
      <w:pPr>
        <w:spacing w:before="60" w:after="60"/>
      </w:pPr>
      <w:r>
        <w:rPr>
          <w:color w:val="404040"/>
        </w:rPr>
        <w:t>FY2025's 14.2% jump in revenue per employee on only 1.7% headcount growth is the smoking gun for structural leverage emerging as the platform matures. For comparison: Salesforce generates ~$280–300K per employee (much larger headcount base), IQVIA ~$100–120K (services-heavy). Veeva at $377K per employee is exceptional for a company at its scale.</w:t>
      </w:r>
    </w:p>
    <w:p w14:paraId="6E631763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C. Operating Expense Behavior</w:t>
      </w:r>
    </w:p>
    <w:p w14:paraId="6A851777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600"/>
        <w:gridCol w:w="2200"/>
        <w:gridCol w:w="2760"/>
      </w:tblGrid>
      <w:tr w:rsidR="004F293C" w14:paraId="3151507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21CA8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Fiscal Year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20624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($M)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253E5" w14:textId="77777777" w:rsidR="004F293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(R&amp;D+SM+GA) $M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9303E" w14:textId="77777777" w:rsidR="004F293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% of Revenue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C68E8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Leverage Trend</w:t>
            </w:r>
          </w:p>
        </w:tc>
      </w:tr>
      <w:tr w:rsidR="004F293C" w14:paraId="5DB3AE8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CA50" w14:textId="77777777" w:rsidR="004F293C" w:rsidRDefault="00000000">
            <w:r>
              <w:rPr>
                <w:color w:val="404040"/>
                <w:sz w:val="18"/>
                <w:szCs w:val="18"/>
              </w:rPr>
              <w:t>FY2021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13C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$1,465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2E79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~$678M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057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~46.3%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9B9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Stable</w:t>
            </w:r>
          </w:p>
        </w:tc>
      </w:tr>
      <w:tr w:rsidR="004F293C" w14:paraId="092FB25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3860" w14:textId="77777777" w:rsidR="004F293C" w:rsidRDefault="00000000">
            <w:r>
              <w:rPr>
                <w:color w:val="404040"/>
                <w:sz w:val="18"/>
                <w:szCs w:val="18"/>
              </w:rPr>
              <w:t>FY2022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91B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$1,850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075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~$842M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ADFE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~45.5%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D931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Slight leverage</w:t>
            </w:r>
          </w:p>
        </w:tc>
      </w:tr>
      <w:tr w:rsidR="004F293C" w14:paraId="724CF68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9922B" w14:textId="77777777" w:rsidR="004F293C" w:rsidRDefault="00000000">
            <w:r>
              <w:rPr>
                <w:color w:val="404040"/>
                <w:sz w:val="18"/>
                <w:szCs w:val="18"/>
              </w:rPr>
              <w:t>FY2023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937F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$2,155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D47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~$1,087M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BCB9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~50.4%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A71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Anti-leverage (investment)</w:t>
            </w:r>
          </w:p>
        </w:tc>
      </w:tr>
      <w:tr w:rsidR="004F293C" w14:paraId="560FE21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A2C01" w14:textId="77777777" w:rsidR="004F293C" w:rsidRDefault="00000000">
            <w:r>
              <w:rPr>
                <w:color w:val="404040"/>
                <w:sz w:val="18"/>
                <w:szCs w:val="18"/>
              </w:rPr>
              <w:t>FY2024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D43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$2,364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2DA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~$1,257M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E141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~53.2%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7C5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Anti-leverage (peak spend)</w:t>
            </w:r>
          </w:p>
        </w:tc>
      </w:tr>
      <w:tr w:rsidR="004F293C" w14:paraId="2FBA6EE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2111B" w14:textId="77777777" w:rsidR="004F293C" w:rsidRDefault="00000000">
            <w:r>
              <w:rPr>
                <w:color w:val="404040"/>
                <w:sz w:val="18"/>
                <w:szCs w:val="18"/>
              </w:rPr>
              <w:t>FY2025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16D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$2,747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34B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~$1,356M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7E91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~49.3%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D43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Turning to leverage</w:t>
            </w:r>
          </w:p>
        </w:tc>
      </w:tr>
    </w:tbl>
    <w:p w14:paraId="1E3CC373" w14:textId="77777777" w:rsidR="004F293C" w:rsidRDefault="004F293C">
      <w:pPr>
        <w:spacing w:before="80" w:after="80"/>
      </w:pPr>
    </w:p>
    <w:p w14:paraId="1C22C31C" w14:textId="77777777" w:rsidR="004F293C" w:rsidRDefault="00000000">
      <w:pPr>
        <w:spacing w:before="60" w:after="60"/>
      </w:pPr>
      <w:proofErr w:type="spellStart"/>
      <w:r>
        <w:rPr>
          <w:color w:val="404040"/>
        </w:rPr>
        <w:t>OpEx</w:t>
      </w:r>
      <w:proofErr w:type="spellEnd"/>
      <w:r>
        <w:rPr>
          <w:color w:val="404040"/>
        </w:rPr>
        <w:t xml:space="preserve"> as % of revenue has peaked and is declining. FY2023–FY2024 were deliberate investment years (Vault CRM, clinical suite expansion). As these products generate subscription revenue, the investment amortizes and leverage emerges — FY2025 is the first confirmation year.</w:t>
      </w:r>
    </w:p>
    <w:p w14:paraId="3171D381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D. Cycle Stress Test — Structural vs. Temporary Leverage</w:t>
      </w:r>
    </w:p>
    <w:p w14:paraId="76CBBA6D" w14:textId="77777777" w:rsidR="004F293C" w:rsidRDefault="00000000">
      <w:pPr>
        <w:spacing w:before="60" w:after="60"/>
      </w:pPr>
      <w:r>
        <w:rPr>
          <w:color w:val="404040"/>
        </w:rPr>
        <w:t>Identifying strong vs. weak demand years:</w:t>
      </w:r>
    </w:p>
    <w:p w14:paraId="00BBDB24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Strong: FY2021 (COVID digital adoption surge, +33% growth), FY2022 (+26%), FY2025 (+16%)</w:t>
      </w:r>
    </w:p>
    <w:p w14:paraId="41D2AB27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Weak: FY2024 (only +9.7% revenue growth, TFC headwinds), FY2023 (+16% but margin compression from deliberate investment)</w:t>
      </w:r>
    </w:p>
    <w:p w14:paraId="49FCBE0D" w14:textId="37A29409" w:rsidR="004F293C" w:rsidRDefault="00000000">
      <w:pPr>
        <w:spacing w:before="60" w:after="60"/>
      </w:pPr>
      <w:r>
        <w:rPr>
          <w:color w:val="404040"/>
        </w:rPr>
        <w:t xml:space="preserve">Key Observation: In FY2024, the weaker revenue environment (effectively slowed by the TFC contract change) caused GAAP op margin to fall from 21.3% to </w:t>
      </w:r>
      <w:r w:rsidR="000B4FE9">
        <w:rPr>
          <w:color w:val="404040"/>
        </w:rPr>
        <w:t xml:space="preserve">18.2%, </w:t>
      </w:r>
      <w:r>
        <w:rPr>
          <w:color w:val="404040"/>
        </w:rPr>
        <w:t xml:space="preserve">a 3.1 point decline. However, non-GAAP margins only fell from 38.5% to 35.6%, and the business was profitable and cash-generative throughout. This confirms the leverage is real (not </w:t>
      </w:r>
      <w:r w:rsidR="000B4FE9">
        <w:rPr>
          <w:color w:val="404040"/>
        </w:rPr>
        <w:t>temporary)</w:t>
      </w:r>
      <w:r>
        <w:rPr>
          <w:color w:val="404040"/>
        </w:rPr>
        <w:t xml:space="preserve"> management chose to invest, not that the business collapsed.</w:t>
      </w:r>
    </w:p>
    <w:p w14:paraId="0013D796" w14:textId="77777777" w:rsidR="004F293C" w:rsidRDefault="004F293C">
      <w:pPr>
        <w:spacing w:before="80" w:after="80"/>
      </w:pPr>
    </w:p>
    <w:p w14:paraId="14424753" w14:textId="77777777" w:rsidR="004F293C" w:rsidRDefault="00000000">
      <w:pPr>
        <w:pStyle w:val="Heading1"/>
      </w:pPr>
      <w:r>
        <w:rPr>
          <w:color w:val="1F3864"/>
        </w:rPr>
        <w:t>IV. INDUSTRY CONTEXT</w:t>
      </w:r>
    </w:p>
    <w:p w14:paraId="4DB6E69D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A. Industry Operating Margin Range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500"/>
        <w:gridCol w:w="2160"/>
      </w:tblGrid>
      <w:tr w:rsidR="004F293C" w14:paraId="3C19E4E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9E3A6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F6466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Model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B51BB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GAAP Op Margin (Latest FY)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B4104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Non-GAAP Op Margin</w:t>
            </w:r>
          </w:p>
        </w:tc>
      </w:tr>
      <w:tr w:rsidR="004F293C" w14:paraId="7CC67A5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F89CC" w14:textId="77777777" w:rsidR="004F293C" w:rsidRDefault="00000000">
            <w:r>
              <w:rPr>
                <w:color w:val="404040"/>
                <w:sz w:val="18"/>
                <w:szCs w:val="18"/>
              </w:rPr>
              <w:t>Veeva Systems (VEEV)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6438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Vertical SaaS — Life Sciences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8BE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25.2% (FY2025)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7F7B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42.0%</w:t>
            </w:r>
          </w:p>
        </w:tc>
      </w:tr>
      <w:tr w:rsidR="004F293C" w14:paraId="6A2C1A9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18160" w14:textId="77777777" w:rsidR="004F293C" w:rsidRDefault="00000000">
            <w:r>
              <w:rPr>
                <w:color w:val="404040"/>
                <w:sz w:val="18"/>
                <w:szCs w:val="18"/>
              </w:rPr>
              <w:t>IQVIA (IQV)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2B4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Data + CRO + Tech Services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0F4E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~8–10% (FY2024)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FA2F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~20–22%</w:t>
            </w:r>
          </w:p>
        </w:tc>
      </w:tr>
      <w:tr w:rsidR="004F293C" w14:paraId="79F5A17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642BE" w14:textId="77777777" w:rsidR="004F293C" w:rsidRDefault="00000000">
            <w:r>
              <w:rPr>
                <w:color w:val="404040"/>
                <w:sz w:val="18"/>
                <w:szCs w:val="18"/>
              </w:rPr>
              <w:t xml:space="preserve">Medidata (Dassault </w:t>
            </w:r>
            <w:proofErr w:type="spellStart"/>
            <w:r>
              <w:rPr>
                <w:color w:val="404040"/>
                <w:sz w:val="18"/>
                <w:szCs w:val="18"/>
              </w:rPr>
              <w:t>Systèmes</w:t>
            </w:r>
            <w:proofErr w:type="spellEnd"/>
            <w:r>
              <w:rPr>
                <w:color w:val="404040"/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4BF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Clinical SaaS (private)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E0D8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Not disclosed separately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18B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~25–30% est.</w:t>
            </w:r>
          </w:p>
        </w:tc>
      </w:tr>
      <w:tr w:rsidR="004F293C" w14:paraId="36F71E0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E1B2" w14:textId="21C63405" w:rsidR="004F293C" w:rsidRDefault="00000000">
            <w:r>
              <w:rPr>
                <w:color w:val="404040"/>
                <w:sz w:val="18"/>
                <w:szCs w:val="18"/>
              </w:rPr>
              <w:t>Salesforce (</w:t>
            </w:r>
            <w:r w:rsidR="000B4FE9">
              <w:rPr>
                <w:color w:val="404040"/>
                <w:sz w:val="18"/>
                <w:szCs w:val="18"/>
              </w:rPr>
              <w:t>CRM)</w:t>
            </w:r>
            <w:r>
              <w:rPr>
                <w:color w:val="404040"/>
                <w:sz w:val="18"/>
                <w:szCs w:val="18"/>
              </w:rPr>
              <w:t xml:space="preserve"> reference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F46C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Horizontal CRM SaaS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BF7D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~17–19% (FY2025)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FFD5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~33–35%</w:t>
            </w:r>
          </w:p>
        </w:tc>
      </w:tr>
      <w:tr w:rsidR="004F293C" w14:paraId="60798FA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5640" w14:textId="13DEA09C" w:rsidR="004F293C" w:rsidRDefault="00000000">
            <w:r>
              <w:rPr>
                <w:color w:val="404040"/>
                <w:sz w:val="18"/>
                <w:szCs w:val="18"/>
              </w:rPr>
              <w:t>ServiceNow (</w:t>
            </w:r>
            <w:r w:rsidR="000B4FE9">
              <w:rPr>
                <w:color w:val="404040"/>
                <w:sz w:val="18"/>
                <w:szCs w:val="18"/>
              </w:rPr>
              <w:t>NOW)</w:t>
            </w:r>
            <w:r>
              <w:rPr>
                <w:color w:val="404040"/>
                <w:sz w:val="18"/>
                <w:szCs w:val="18"/>
              </w:rPr>
              <w:t xml:space="preserve"> reference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1AF5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Enterprise SaaS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F76A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~25–27%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73E9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~40–42%</w:t>
            </w:r>
          </w:p>
        </w:tc>
      </w:tr>
    </w:tbl>
    <w:p w14:paraId="328907A9" w14:textId="77777777" w:rsidR="004F293C" w:rsidRDefault="004F293C">
      <w:pPr>
        <w:spacing w:before="80" w:after="80"/>
      </w:pPr>
    </w:p>
    <w:p w14:paraId="4DF799E3" w14:textId="77777777" w:rsidR="004F293C" w:rsidRDefault="00000000">
      <w:pPr>
        <w:spacing w:before="60" w:after="60"/>
      </w:pPr>
      <w:r>
        <w:rPr>
          <w:color w:val="404040"/>
        </w:rPr>
        <w:t>Veeva sits firmly in the top quartile among enterprise software companies and dramatically above life sciences services peers. Its non-GAAP margin of 42% is comparable to elite compounders like ServiceNow, which is extraordinary for a company still at $2.7B in revenue with significant room to grow.</w:t>
      </w:r>
    </w:p>
    <w:p w14:paraId="2ED77BD9" w14:textId="77777777" w:rsidR="004F293C" w:rsidRDefault="004F293C">
      <w:pPr>
        <w:spacing w:before="80" w:after="80"/>
      </w:pPr>
    </w:p>
    <w:p w14:paraId="1BB6FA44" w14:textId="77777777" w:rsidR="004F293C" w:rsidRDefault="00000000">
      <w:pPr>
        <w:pStyle w:val="Heading1"/>
      </w:pPr>
      <w:r>
        <w:rPr>
          <w:color w:val="1F3864"/>
        </w:rPr>
        <w:t>V. FINAL VERDICT</w:t>
      </w:r>
    </w:p>
    <w:p w14:paraId="55ABD2A7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5E0CC78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D233D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Cost Structure Score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DBB71" w14:textId="7D0B41A3" w:rsidR="004F293C" w:rsidRDefault="00000000">
            <w:r>
              <w:rPr>
                <w:color w:val="404040"/>
              </w:rPr>
              <w:t xml:space="preserve">8.5 / </w:t>
            </w:r>
            <w:r w:rsidR="000B4FE9">
              <w:rPr>
                <w:color w:val="404040"/>
              </w:rPr>
              <w:t>10 —</w:t>
            </w:r>
            <w:r>
              <w:rPr>
                <w:color w:val="404040"/>
              </w:rPr>
              <w:t xml:space="preserve">  Platform R&amp;D is the dominant cost center; it is fixed by nature. Subscription COGS at ~80%+ gross margin is among the highest in enterprise software. The professional services segment (lower margin, more variable) is the only structural moderator.</w:t>
            </w:r>
          </w:p>
        </w:tc>
      </w:tr>
    </w:tbl>
    <w:p w14:paraId="2B503C79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3E82FFF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CB60A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Scaling Score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06D6F" w14:textId="01D8FB12" w:rsidR="004F293C" w:rsidRDefault="00000000">
            <w:r>
              <w:rPr>
                <w:color w:val="404040"/>
              </w:rPr>
              <w:t xml:space="preserve">8.0 / </w:t>
            </w:r>
            <w:r w:rsidR="000B4FE9">
              <w:rPr>
                <w:color w:val="404040"/>
              </w:rPr>
              <w:t>10 —</w:t>
            </w:r>
            <w:r>
              <w:rPr>
                <w:color w:val="404040"/>
              </w:rPr>
              <w:t xml:space="preserve">  FY2025 demonstrated definitively: +$383M revenue on +119 employees. Subscription revenue grew 20% on ~1.7% headcount growth. The platform scales without proportional cost.</w:t>
            </w:r>
          </w:p>
        </w:tc>
      </w:tr>
    </w:tbl>
    <w:p w14:paraId="42A24287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3D4E669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F1DCA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Industry Position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6CC0A" w14:textId="77777777" w:rsidR="004F293C" w:rsidRDefault="00000000">
            <w:r>
              <w:rPr>
                <w:color w:val="404040"/>
              </w:rPr>
              <w:t>ABOVE AVERAGE — Top quartile vs. all software peers; dramatically superior to life sciences services peers.</w:t>
            </w:r>
          </w:p>
        </w:tc>
      </w:tr>
    </w:tbl>
    <w:p w14:paraId="03C16E5E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5B3E7B0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3CDA3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Classification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4B69D" w14:textId="77777777" w:rsidR="004F293C" w:rsidRDefault="00000000">
            <w:r>
              <w:rPr>
                <w:color w:val="404040"/>
              </w:rPr>
              <w:t>STRUCTURAL LEVERAGE — Not cyclical, not investment-period illusion. The platform cost is sunk; incremental subscribers are nearly free.</w:t>
            </w:r>
          </w:p>
        </w:tc>
      </w:tr>
    </w:tbl>
    <w:p w14:paraId="07038FA5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3D5B1B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AA7254" w14:textId="77777777" w:rsidR="004F293C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THE CORE ANSWER: If Veeva's business doubles, what % of costs stay fixed?</w:t>
            </w:r>
          </w:p>
          <w:p w14:paraId="5BF0BBA2" w14:textId="77777777" w:rsidR="004F293C" w:rsidRDefault="00000000">
            <w:r>
              <w:rPr>
                <w:color w:val="404040"/>
                <w:sz w:val="19"/>
                <w:szCs w:val="19"/>
              </w:rPr>
              <w:t xml:space="preserve">Estimated 60–65% of costs are fixed or near-fixed at today's structure. If revenue reaches ~$5.5B: R&amp;D stays near $600M (vs. ~$500M today), G&amp;A stays near $150M (vs. ~$120M today), S&amp;M scales modestly. Variable costs (PS headcount, cloud compute, data) scale roughly 1:1 with their revenue streams. At </w:t>
            </w:r>
            <w:r>
              <w:rPr>
                <w:color w:val="404040"/>
                <w:sz w:val="19"/>
                <w:szCs w:val="19"/>
              </w:rPr>
              <w:lastRenderedPageBreak/>
              <w:t>$5.5B, non-GAAP operating margins could plausibly reach 48–52% if subscription mix continues to grow. This is the hallmark of a structural leverage machine.</w:t>
            </w:r>
          </w:p>
        </w:tc>
      </w:tr>
    </w:tbl>
    <w:p w14:paraId="6B449626" w14:textId="77777777" w:rsidR="004F293C" w:rsidRDefault="004F293C">
      <w:pPr>
        <w:spacing w:before="80" w:after="80"/>
      </w:pPr>
    </w:p>
    <w:p w14:paraId="760F1EB9" w14:textId="77777777" w:rsidR="0053678E" w:rsidRDefault="0053678E"/>
    <w:p w14:paraId="40B8B872" w14:textId="77777777" w:rsidR="0053678E" w:rsidRDefault="0053678E"/>
    <w:p w14:paraId="6130E4B0" w14:textId="77777777" w:rsidR="0053678E" w:rsidRDefault="0053678E"/>
    <w:p w14:paraId="4EDF39BB" w14:textId="77777777" w:rsidR="0053678E" w:rsidRDefault="0053678E"/>
    <w:p w14:paraId="7B1842D9" w14:textId="77777777" w:rsidR="004F293C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  ANALYSIS 2  |  INCREMENTAL OPERATING MARGIN</w:t>
      </w:r>
    </w:p>
    <w:p w14:paraId="6CC98759" w14:textId="77777777" w:rsidR="004F293C" w:rsidRDefault="004F293C">
      <w:pPr>
        <w:spacing w:before="80" w:after="80"/>
      </w:pPr>
    </w:p>
    <w:p w14:paraId="0A5A5FBD" w14:textId="77777777" w:rsidR="004F293C" w:rsidRDefault="00000000">
      <w:pPr>
        <w:pStyle w:val="Heading1"/>
      </w:pPr>
      <w:r>
        <w:rPr>
          <w:color w:val="1F3864"/>
        </w:rPr>
        <w:t>I. EXECUTIVE SUMMARY</w:t>
      </w:r>
    </w:p>
    <w:p w14:paraId="4817999F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5-Year Average Incremental Operating Margin (GAAP, FY2021–FY2025): ~19.5% — distorted by two deliberate investment years (FY2023: -15%, FY2024: -14%). Excluding the investment cycle, normalized incremental margin is ~35–40%.</w:t>
      </w:r>
    </w:p>
    <w:p w14:paraId="4C6D38EF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Current GAAP Operating Margin: 25.2% (FY2025). FY2025 incremental margin was 68.4% — dramatically above current margin, the clearest signal of genuine leverage emerging.</w:t>
      </w:r>
    </w:p>
    <w:p w14:paraId="152E104E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Verdict: LEVERAGE EXISTS — but it is investment-cycle dependent. The base model is structurally leveraged; FY2023–FY2024 distortions were deliberate and temporary. FY2025 is the inflection point.</w:t>
      </w:r>
    </w:p>
    <w:p w14:paraId="23342DE5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Primary Driver: Fixed R&amp;D platform investment being amortized across a rapidly growing subscription base. As Vault CRM migration concludes and Clinical Suite scales, operating leverage will continue to compound over FY2026–FY2028.</w:t>
      </w:r>
    </w:p>
    <w:p w14:paraId="23D16E74" w14:textId="77777777" w:rsidR="004F293C" w:rsidRDefault="004F293C">
      <w:pPr>
        <w:spacing w:before="80" w:after="80"/>
      </w:pPr>
    </w:p>
    <w:p w14:paraId="34871DD3" w14:textId="77777777" w:rsidR="004F293C" w:rsidRDefault="00000000">
      <w:pPr>
        <w:pStyle w:val="Heading1"/>
      </w:pPr>
      <w:r>
        <w:rPr>
          <w:color w:val="1F3864"/>
        </w:rPr>
        <w:t>II. THE INCREMENTAL MARGIN</w:t>
      </w:r>
    </w:p>
    <w:p w14:paraId="3E8FFEA5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A. Five-Year Incremental Margin History</w:t>
      </w:r>
    </w:p>
    <w:p w14:paraId="3528D55C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1200"/>
        <w:gridCol w:w="1200"/>
        <w:gridCol w:w="1300"/>
        <w:gridCol w:w="1800"/>
        <w:gridCol w:w="1860"/>
      </w:tblGrid>
      <w:tr w:rsidR="004F293C" w14:paraId="36680AF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E06F4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DCB5B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($M)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F40B1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GAAP Op. Income ($M)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1AFF3" w14:textId="77777777" w:rsidR="004F293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ΔRevenue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($M)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7DB77" w14:textId="77777777" w:rsidR="004F293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ΔOp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Income ($M)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B2412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Incremental Margin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39715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</w:tr>
      <w:tr w:rsidR="004F293C" w14:paraId="6A564AA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8CBBE" w14:textId="77777777" w:rsidR="004F293C" w:rsidRDefault="00000000">
            <w:r>
              <w:rPr>
                <w:color w:val="404040"/>
                <w:sz w:val="18"/>
                <w:szCs w:val="18"/>
              </w:rPr>
              <w:t>FY2020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D0C1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$1,104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C6E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$286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E2C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61D4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F07B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7AAF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—</w:t>
            </w:r>
          </w:p>
        </w:tc>
      </w:tr>
      <w:tr w:rsidR="004F293C" w14:paraId="4FE4A02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BA864" w14:textId="77777777" w:rsidR="004F293C" w:rsidRDefault="00000000">
            <w:r>
              <w:rPr>
                <w:color w:val="404040"/>
                <w:sz w:val="18"/>
                <w:szCs w:val="18"/>
              </w:rPr>
              <w:t>FY2021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7BA2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$1,465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C478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$378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C63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+$361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78E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+$92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F5452" w14:textId="77777777" w:rsidR="004F293C" w:rsidRDefault="00000000"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>25.4%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80D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Stable</w:t>
            </w:r>
          </w:p>
        </w:tc>
      </w:tr>
      <w:tr w:rsidR="004F293C" w14:paraId="50B2C7C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0C3EC" w14:textId="77777777" w:rsidR="004F293C" w:rsidRDefault="00000000">
            <w:r>
              <w:rPr>
                <w:color w:val="404040"/>
                <w:sz w:val="18"/>
                <w:szCs w:val="18"/>
              </w:rPr>
              <w:t>FY2022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900B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$1,850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D270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$505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DFF8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+$385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66F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+$128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AB672" w14:textId="77777777" w:rsidR="004F293C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33.2%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0D8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Leverage building</w:t>
            </w:r>
          </w:p>
        </w:tc>
      </w:tr>
      <w:tr w:rsidR="004F293C" w14:paraId="075B976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9978" w14:textId="77777777" w:rsidR="004F293C" w:rsidRDefault="00000000">
            <w:r>
              <w:rPr>
                <w:color w:val="404040"/>
                <w:sz w:val="18"/>
                <w:szCs w:val="18"/>
              </w:rPr>
              <w:t>FY2023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86A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$2,155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DA53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$459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01C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+$305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243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−$46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5066D" w14:textId="77777777" w:rsidR="004F293C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−15.1%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4897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Investment surge</w:t>
            </w:r>
          </w:p>
        </w:tc>
      </w:tr>
      <w:tr w:rsidR="004F293C" w14:paraId="478DD57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B164" w14:textId="77777777" w:rsidR="004F293C" w:rsidRDefault="00000000">
            <w:r>
              <w:rPr>
                <w:color w:val="404040"/>
                <w:sz w:val="18"/>
                <w:szCs w:val="18"/>
              </w:rPr>
              <w:t>FY2024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12FE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$2,364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A44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$429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73A0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+$209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AC5E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−$30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756AE" w14:textId="77777777" w:rsidR="004F293C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−14.4%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545A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TFC + investment peak</w:t>
            </w:r>
          </w:p>
        </w:tc>
      </w:tr>
      <w:tr w:rsidR="004F293C" w14:paraId="5F1D9DB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3CA45" w14:textId="77777777" w:rsidR="004F293C" w:rsidRDefault="00000000">
            <w:r>
              <w:rPr>
                <w:color w:val="404040"/>
                <w:sz w:val="18"/>
                <w:szCs w:val="18"/>
              </w:rPr>
              <w:t>FY2025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372D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$2,747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574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$691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723F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+$383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C032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+$262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237D4" w14:textId="77777777" w:rsidR="004F293C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68.4%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842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Leverage unleashed</w:t>
            </w:r>
          </w:p>
        </w:tc>
      </w:tr>
    </w:tbl>
    <w:p w14:paraId="0E391489" w14:textId="77777777" w:rsidR="004F293C" w:rsidRDefault="004F293C">
      <w:pPr>
        <w:spacing w:before="80" w:after="80"/>
      </w:pPr>
    </w:p>
    <w:p w14:paraId="3ED57A13" w14:textId="77777777" w:rsidR="004F293C" w:rsidRDefault="00000000">
      <w:pPr>
        <w:spacing w:before="60" w:after="60"/>
      </w:pPr>
      <w:r>
        <w:rPr>
          <w:color w:val="404040"/>
        </w:rPr>
        <w:t>5-Year Average Incremental Margin: 19.5% (GAAP) | Normalized (ex-investment years): ~35–40%</w:t>
      </w:r>
    </w:p>
    <w:p w14:paraId="1EB90E7C" w14:textId="77777777" w:rsidR="004F293C" w:rsidRDefault="00000000">
      <w:pPr>
        <w:spacing w:before="60" w:after="60"/>
      </w:pPr>
      <w:r>
        <w:rPr>
          <w:color w:val="404040"/>
        </w:rPr>
        <w:t>Current GAAP Operating Margin: 25.2% → FY2025 incremental margin (68.4%) is nearly 3x the current margin — textbook positive leverage signal.</w:t>
      </w:r>
    </w:p>
    <w:p w14:paraId="3C6D6DE2" w14:textId="77777777" w:rsidR="004F293C" w:rsidRDefault="004F293C">
      <w:pPr>
        <w:spacing w:before="80" w:after="80"/>
      </w:pPr>
    </w:p>
    <w:p w14:paraId="4D1D51D7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B. The Verdict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6932DA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D97DAB" w14:textId="77777777" w:rsidR="004F293C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INCREMENTAL MARGIN VERDICT</w:t>
            </w:r>
          </w:p>
          <w:p w14:paraId="4AB6FDC9" w14:textId="77777777" w:rsidR="004F293C" w:rsidRDefault="00000000">
            <w:r>
              <w:rPr>
                <w:color w:val="404040"/>
                <w:sz w:val="19"/>
                <w:szCs w:val="19"/>
              </w:rPr>
              <w:t>In FY2025, for every $100 of new revenue, Veeva retained $68.40 as additional operating profit. This is well above the current 25.2% operating margin — confirming that each new dollar of revenue is dramatically more profitable than the average dollar. Over the full 5-year window, the average is distorted by investment years, but the directionality is unambiguous: the model becomes more profitable as it scales.</w:t>
            </w:r>
          </w:p>
        </w:tc>
      </w:tr>
    </w:tbl>
    <w:p w14:paraId="5F0152C0" w14:textId="116FB92D" w:rsidR="0053678E" w:rsidRDefault="0053678E">
      <w:pPr>
        <w:spacing w:before="80" w:after="80"/>
      </w:pPr>
    </w:p>
    <w:p w14:paraId="061FBC1B" w14:textId="77777777" w:rsidR="0053678E" w:rsidRDefault="0053678E">
      <w:r>
        <w:br w:type="page"/>
      </w:r>
    </w:p>
    <w:p w14:paraId="7B83FC37" w14:textId="77777777" w:rsidR="004F293C" w:rsidRDefault="004F293C">
      <w:pPr>
        <w:spacing w:before="80" w:after="80"/>
      </w:pPr>
    </w:p>
    <w:p w14:paraId="50D06CE3" w14:textId="77777777" w:rsidR="004F293C" w:rsidRDefault="00000000">
      <w:pPr>
        <w:pStyle w:val="Heading1"/>
      </w:pPr>
      <w:r>
        <w:rPr>
          <w:color w:val="1F3864"/>
        </w:rPr>
        <w:t>III. THE WHY — DRIVER ANALYSIS</w:t>
      </w:r>
    </w:p>
    <w:p w14:paraId="66EE11D6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A. Why FY2025 Incremental Margin Was 68.4% (HIGH)</w:t>
      </w:r>
    </w:p>
    <w:p w14:paraId="562F229F" w14:textId="77777777" w:rsidR="004F293C" w:rsidRDefault="00000000">
      <w:pPr>
        <w:spacing w:before="60" w:after="60"/>
      </w:pPr>
      <w:r>
        <w:rPr>
          <w:color w:val="404040"/>
        </w:rPr>
        <w:t>Three structural drivers converged simultaneously:</w:t>
      </w:r>
    </w:p>
    <w:p w14:paraId="69500C78" w14:textId="77777777" w:rsidR="004F293C" w:rsidRDefault="004F293C">
      <w:pPr>
        <w:spacing w:before="80" w:after="80"/>
      </w:pPr>
    </w:p>
    <w:p w14:paraId="4EF69C2C" w14:textId="77777777" w:rsidR="0053678E" w:rsidRDefault="0053678E">
      <w:pPr>
        <w:spacing w:before="80" w:after="80"/>
      </w:pPr>
    </w:p>
    <w:p w14:paraId="4A8105CC" w14:textId="77777777" w:rsidR="0053678E" w:rsidRDefault="0053678E">
      <w:pPr>
        <w:spacing w:before="80" w:after="80"/>
      </w:pPr>
    </w:p>
    <w:p w14:paraId="6580F756" w14:textId="77777777" w:rsidR="0053678E" w:rsidRDefault="005367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360"/>
      </w:tblGrid>
      <w:tr w:rsidR="004F293C" w14:paraId="2CD0286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B4836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Driver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E19AE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C0ECA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4F293C" w14:paraId="29E9D52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137E" w14:textId="77777777" w:rsidR="004F293C" w:rsidRDefault="00000000">
            <w:r>
              <w:rPr>
                <w:color w:val="404040"/>
                <w:sz w:val="18"/>
                <w:szCs w:val="18"/>
              </w:rPr>
              <w:t>Fixed costs being spread across more revenue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B05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Headcount +1.7% vs. revenue +16.2%. R&amp;D near-fixed; G&amp;A near-fixed. </w:t>
            </w:r>
            <w:proofErr w:type="spellStart"/>
            <w:r>
              <w:rPr>
                <w:color w:val="404040"/>
                <w:sz w:val="18"/>
                <w:szCs w:val="18"/>
              </w:rPr>
              <w:t>OpEx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as % of revenue fell from 53.2% to 49.3%.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43B0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PRIMARY DRIVER (structural)</w:t>
            </w:r>
          </w:p>
        </w:tc>
      </w:tr>
      <w:tr w:rsidR="004F293C" w14:paraId="6BA7D5D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265C7" w14:textId="77777777" w:rsidR="004F293C" w:rsidRDefault="00000000">
            <w:r>
              <w:rPr>
                <w:color w:val="404040"/>
                <w:sz w:val="18"/>
                <w:szCs w:val="18"/>
              </w:rPr>
              <w:t>Mix shift toward higher-margin subscriptions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306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Subscription revenue grew +20% YoY vs. services flat/declining. Subscription GM ~80%+ vs. services ~25%. Gross margin jumped from 71.3% to 74.5%.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8A03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SECONDARY DRIVER (structural)</w:t>
            </w:r>
          </w:p>
        </w:tc>
      </w:tr>
      <w:tr w:rsidR="004F293C" w14:paraId="67E30E3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9437" w14:textId="77777777" w:rsidR="004F293C" w:rsidRDefault="00000000">
            <w:r>
              <w:rPr>
                <w:color w:val="404040"/>
                <w:sz w:val="18"/>
                <w:szCs w:val="18"/>
              </w:rPr>
              <w:t>Vault CRM R&amp;D ramp ended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C63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After 3+ years of elevated R&amp;D building Vault CRM, R&amp;D growth moderated. The fixed cost base stabilized even as revenue accelerated.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6FE3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CONFIRMING DRIVER (temporary turning structural)</w:t>
            </w:r>
          </w:p>
        </w:tc>
      </w:tr>
    </w:tbl>
    <w:p w14:paraId="0CA65C4F" w14:textId="77777777" w:rsidR="004F293C" w:rsidRDefault="004F293C">
      <w:pPr>
        <w:spacing w:before="80" w:after="80"/>
      </w:pPr>
    </w:p>
    <w:p w14:paraId="652FF8DF" w14:textId="77777777" w:rsidR="004F293C" w:rsidRDefault="00000000">
      <w:pPr>
        <w:spacing w:before="60" w:after="60"/>
      </w:pPr>
      <w:r>
        <w:rPr>
          <w:color w:val="404040"/>
        </w:rPr>
        <w:t>(inferred) The 68.4% incremental margin is NOT from underinvestment — Veeva's R&amp;D in absolute dollars continued growing in FY2025. It reflects genuine scale-driven leverage where revenue is outrunning costs.</w:t>
      </w:r>
    </w:p>
    <w:p w14:paraId="7C6B695C" w14:textId="77777777" w:rsidR="004F293C" w:rsidRDefault="004F293C">
      <w:pPr>
        <w:spacing w:before="80" w:after="80"/>
      </w:pPr>
    </w:p>
    <w:p w14:paraId="3FB5F345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B. Why FY2023–FY2024 Incremental Margins Were Negative (LOW)</w:t>
      </w:r>
    </w:p>
    <w:p w14:paraId="424279DB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4F293C" w14:paraId="542C6AB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98D98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9BB31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FY2023 Impact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EF868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FY2024 Impact</w:t>
            </w:r>
          </w:p>
        </w:tc>
      </w:tr>
      <w:tr w:rsidR="004F293C" w14:paraId="701B441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6225A" w14:textId="77777777" w:rsidR="004F293C" w:rsidRDefault="00000000">
            <w:r>
              <w:rPr>
                <w:color w:val="404040"/>
                <w:sz w:val="18"/>
                <w:szCs w:val="18"/>
              </w:rPr>
              <w:t>Vault CRM build-out (R&amp;D surge)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C1E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Heavy hiring in R&amp;D; </w:t>
            </w:r>
            <w:proofErr w:type="spellStart"/>
            <w:r>
              <w:rPr>
                <w:color w:val="404040"/>
                <w:sz w:val="18"/>
                <w:szCs w:val="18"/>
              </w:rPr>
              <w:t>OpEx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grew faster than revenue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C2B7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Continued; peak investment year</w:t>
            </w:r>
          </w:p>
        </w:tc>
      </w:tr>
      <w:tr w:rsidR="004F293C" w14:paraId="1BAEB97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6551" w14:textId="77777777" w:rsidR="004F293C" w:rsidRDefault="00000000">
            <w:r>
              <w:rPr>
                <w:color w:val="404040"/>
                <w:sz w:val="18"/>
                <w:szCs w:val="18"/>
              </w:rPr>
              <w:t>Salesforce transition costs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BB2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Migrating CRM platform = duplicate costs during transition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EA22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Peak of dual-run costs</w:t>
            </w:r>
          </w:p>
        </w:tc>
      </w:tr>
      <w:tr w:rsidR="004F293C" w14:paraId="4BBE677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DA5CF" w14:textId="77777777" w:rsidR="004F293C" w:rsidRDefault="00000000">
            <w:r>
              <w:rPr>
                <w:color w:val="404040"/>
                <w:sz w:val="18"/>
                <w:szCs w:val="18"/>
              </w:rPr>
              <w:t>TFC contract change (FY2024 only)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EA3A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A2DD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Revenue recognition timing shift reduced FY2024 topline by est. $50–80M, compressing margins artificially</w:t>
            </w:r>
          </w:p>
        </w:tc>
      </w:tr>
      <w:tr w:rsidR="004F293C" w14:paraId="74931DC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3A3C2" w14:textId="77777777" w:rsidR="004F293C" w:rsidRDefault="00000000">
            <w:r>
              <w:rPr>
                <w:color w:val="404040"/>
                <w:sz w:val="18"/>
                <w:szCs w:val="18"/>
              </w:rPr>
              <w:t>Sales headcount expansion (new markets)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E226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Hiring ahead of revenue for Quality, Clinical clouds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2DA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Same; building before harvest</w:t>
            </w:r>
          </w:p>
        </w:tc>
      </w:tr>
    </w:tbl>
    <w:p w14:paraId="4AEA71C0" w14:textId="77777777" w:rsidR="004F293C" w:rsidRDefault="004F293C">
      <w:pPr>
        <w:spacing w:before="80" w:after="80"/>
      </w:pPr>
    </w:p>
    <w:p w14:paraId="1F1AA267" w14:textId="77777777" w:rsidR="004F293C" w:rsidRDefault="00000000">
      <w:pPr>
        <w:spacing w:before="60" w:after="60"/>
      </w:pPr>
      <w:r>
        <w:rPr>
          <w:color w:val="404040"/>
        </w:rPr>
        <w:t>CRITICAL CONTEXT: These negative incremental margins were deliberate strategic investments, not business deterioration. Management explicitly communicated this to investors. The non-GAAP margins (which exclude SBC but not the underlying investment) fell only from 38.5% to 35.6% in FY2024, remaining comfortably profitable. Cash flow from operations remained strongly positive throughout.</w:t>
      </w:r>
    </w:p>
    <w:p w14:paraId="5BD5001D" w14:textId="77777777" w:rsidR="004F293C" w:rsidRDefault="004F293C">
      <w:pPr>
        <w:spacing w:before="80" w:after="80"/>
      </w:pPr>
    </w:p>
    <w:p w14:paraId="1572494E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C. Is It Sustainable?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6F1B15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72F6F9" w14:textId="77777777" w:rsidR="004F293C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SUSTAINABILITY ASSESSMENT</w:t>
            </w:r>
          </w:p>
          <w:p w14:paraId="41798CCB" w14:textId="77777777" w:rsidR="004F293C" w:rsidRDefault="00000000">
            <w:r>
              <w:rPr>
                <w:color w:val="404040"/>
                <w:sz w:val="19"/>
                <w:szCs w:val="19"/>
              </w:rPr>
              <w:t xml:space="preserve">The high incremental margins of FY2025 are PARTIALLY SUSTAINABLE. The mix shift toward subscription is durable — Veeva will continue converting one-time professional services into recurring subscriptions as products mature. The R&amp;D moderation is also durable for existing products, though new product areas (AI, </w:t>
            </w:r>
            <w:proofErr w:type="spellStart"/>
            <w:r>
              <w:rPr>
                <w:color w:val="404040"/>
                <w:sz w:val="19"/>
                <w:szCs w:val="19"/>
              </w:rPr>
              <w:t>Crossix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expansion, Safety Cloud) will create new investment cycles. Expect incremental margins of 35–45% through FY2026–FY2028 as the Vault CRM migration matures and new products ramp. The FY2025 68% figure is a high-water mark, not a steady state.</w:t>
            </w:r>
          </w:p>
        </w:tc>
      </w:tr>
    </w:tbl>
    <w:p w14:paraId="7D157DFB" w14:textId="77777777" w:rsidR="004F293C" w:rsidRDefault="004F293C">
      <w:pPr>
        <w:spacing w:before="80" w:after="80"/>
      </w:pPr>
    </w:p>
    <w:p w14:paraId="3C8F1153" w14:textId="77777777" w:rsidR="004F293C" w:rsidRDefault="00000000">
      <w:pPr>
        <w:pStyle w:val="Heading1"/>
      </w:pPr>
      <w:r>
        <w:rPr>
          <w:color w:val="1F3864"/>
        </w:rPr>
        <w:t>IV. FINAL VERDICT</w:t>
      </w:r>
    </w:p>
    <w:p w14:paraId="579882D4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2D917E9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FEB84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The Number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ADB06" w14:textId="77777777" w:rsidR="004F293C" w:rsidRDefault="00000000">
            <w:r>
              <w:rPr>
                <w:color w:val="404040"/>
              </w:rPr>
              <w:t>For every $100 of new revenue in FY2025, Veeva kept $68.40 as additional operating profit (GAAP). On a normalized 3-year basis (FY2021–FY2022 + FY2025), ~$40–42 per $100 incremental.</w:t>
            </w:r>
          </w:p>
        </w:tc>
      </w:tr>
    </w:tbl>
    <w:p w14:paraId="41B29284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1D6FAC9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BB11C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The Comparison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6733D" w14:textId="77777777" w:rsidR="004F293C" w:rsidRDefault="00000000">
            <w:r>
              <w:rPr>
                <w:color w:val="404040"/>
              </w:rPr>
              <w:t>Current GAAP margin: 25.2% | FY2025 Incremental margin: 68.4% | Normalized incremental margin: ~38–42% — all significantly above current reported margin, confirming leverage exists.</w:t>
            </w:r>
          </w:p>
        </w:tc>
      </w:tr>
    </w:tbl>
    <w:p w14:paraId="603C4CD5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5004E16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C6186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The Driver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5F27F" w14:textId="77777777" w:rsidR="004F293C" w:rsidRDefault="00000000">
            <w:r>
              <w:rPr>
                <w:color w:val="404040"/>
              </w:rPr>
              <w:t>Platform R&amp;D amortizing across a rapidly scaling subscription base. Subscription grew 20% on nearly flat headcount, proving the fixed cost base is genuinely fixed.</w:t>
            </w:r>
          </w:p>
        </w:tc>
      </w:tr>
    </w:tbl>
    <w:p w14:paraId="66482281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3641077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092E4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The Quality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0217A" w14:textId="77777777" w:rsidR="004F293C" w:rsidRDefault="00000000">
            <w:r>
              <w:rPr>
                <w:color w:val="404040"/>
              </w:rPr>
              <w:t>Leverage is SUSTAINABLE at a normalized 35–42% level. FY2025's 68% is a temporary high as the Vault CRM investment phase ends. New product cycles (AI, Safety, Data Cloud) will create future investment dips, similar to FY2023–2024, before new leverage phases emerge.</w:t>
            </w:r>
          </w:p>
        </w:tc>
      </w:tr>
    </w:tbl>
    <w:p w14:paraId="77C8E26E" w14:textId="77777777" w:rsidR="004F293C" w:rsidRDefault="004F293C">
      <w:pPr>
        <w:spacing w:before="80" w:after="80"/>
      </w:pPr>
    </w:p>
    <w:p w14:paraId="4E62DF67" w14:textId="77777777" w:rsidR="004F293C" w:rsidRDefault="00000000">
      <w:pPr>
        <w:shd w:val="clear" w:color="auto" w:fill="7F6000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  ANALYSIS 3  |  WHAT HAPPENS WHEN GROWTH SLOWS</w:t>
      </w:r>
    </w:p>
    <w:p w14:paraId="42214583" w14:textId="77777777" w:rsidR="004F293C" w:rsidRDefault="004F293C">
      <w:pPr>
        <w:spacing w:before="80" w:after="80"/>
      </w:pPr>
    </w:p>
    <w:p w14:paraId="11749D4A" w14:textId="77777777" w:rsidR="004F293C" w:rsidRDefault="00000000">
      <w:pPr>
        <w:pStyle w:val="Heading1"/>
      </w:pPr>
      <w:r>
        <w:rPr>
          <w:color w:val="1F3864"/>
        </w:rPr>
        <w:t>I. EXECUTIVE SUMMARY</w:t>
      </w:r>
    </w:p>
    <w:p w14:paraId="41C2EC89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Degree of Operating Leverage (FY2025): 3.77x — HIGH sensitivity. A 10% revenue decline would produce a ~38% operating income decline under current cost structure.</w:t>
      </w:r>
    </w:p>
    <w:p w14:paraId="6DF916A3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Revenue Decline to Hit Breakeven: ~35% decline required under current cost structure. This is an enormous buffer — no plausible near-term scenario gets Veeva close to breakeven.</w:t>
      </w:r>
    </w:p>
    <w:p w14:paraId="07E66760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Historical Behavior in Slowdowns: FY2024 (slowest growth year: +9.7%) saw GAAP margins compress 3.1 points (21.3% → 18.2%), but the business remained solidly profitable. Management maintained investment discipline rather than cutting.</w:t>
      </w:r>
    </w:p>
    <w:p w14:paraId="2D18809A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Cost Flexibility: MODERATE — Management can defer some S&amp;M and non-essential capex, but R&amp;D to maintain competitive positioning is semi-sticky. Professional services headcount is the most flexible lever.</w:t>
      </w:r>
    </w:p>
    <w:p w14:paraId="200A6CAA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Verdict: LOW-TO-MODERATE RISK — High DOL is offset by an enormous breakeven buffer and a customer base that is mission-critical / long-contract / high-switching-cost. The real risk is competitive displacement (Salesforce Life Sciences Cloud, IQVIA), not economic cyclicality.</w:t>
      </w:r>
    </w:p>
    <w:p w14:paraId="10E8F055" w14:textId="77777777" w:rsidR="004F293C" w:rsidRDefault="00000000">
      <w:pPr>
        <w:pStyle w:val="Heading1"/>
      </w:pPr>
      <w:r>
        <w:rPr>
          <w:color w:val="1F3864"/>
        </w:rPr>
        <w:t>II. DEGREE OF OPERATING LEVERAGE (DOL)</w:t>
      </w:r>
    </w:p>
    <w:p w14:paraId="5358B57C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600"/>
        <w:gridCol w:w="2560"/>
      </w:tblGrid>
      <w:tr w:rsidR="004F293C" w14:paraId="75AAF0D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73044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3487E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FY2025 Calculation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0CE8F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1140C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</w:tr>
      <w:tr w:rsidR="004F293C" w14:paraId="211D8CD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74CB1" w14:textId="77777777" w:rsidR="004F293C" w:rsidRDefault="00000000">
            <w:r>
              <w:rPr>
                <w:color w:val="404040"/>
                <w:sz w:val="18"/>
                <w:szCs w:val="18"/>
              </w:rPr>
              <w:t>Revenue Growth %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5E64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($2,747M – $2,364M) / $2,364M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688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+16.2%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9513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Solid growth year</w:t>
            </w:r>
          </w:p>
        </w:tc>
      </w:tr>
      <w:tr w:rsidR="004F293C" w14:paraId="0EB6FA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0D020" w14:textId="77777777" w:rsidR="004F293C" w:rsidRDefault="00000000">
            <w:r>
              <w:rPr>
                <w:color w:val="404040"/>
                <w:sz w:val="18"/>
                <w:szCs w:val="18"/>
              </w:rPr>
              <w:t>Operating Income Growth %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220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($691M – $429M) / $429M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696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+61.1%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40B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Leverage in action</w:t>
            </w:r>
          </w:p>
        </w:tc>
      </w:tr>
      <w:tr w:rsidR="004F293C" w14:paraId="43913D1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C5B2D" w14:textId="77777777" w:rsidR="004F293C" w:rsidRDefault="00000000">
            <w:r>
              <w:rPr>
                <w:color w:val="404040"/>
                <w:sz w:val="18"/>
                <w:szCs w:val="18"/>
              </w:rPr>
              <w:t>Degree of Operating Leverage (DOL)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8E9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61.1% ÷ 16.2%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5D886" w14:textId="77777777" w:rsidR="004F293C" w:rsidRDefault="00000000"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>3.77x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956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HIGH — above 3x threshold</w:t>
            </w:r>
          </w:p>
        </w:tc>
      </w:tr>
      <w:tr w:rsidR="004F293C" w14:paraId="4DA7163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0BCD" w14:textId="77777777" w:rsidR="004F293C" w:rsidRDefault="00000000">
            <w:r>
              <w:rPr>
                <w:color w:val="404040"/>
                <w:sz w:val="18"/>
                <w:szCs w:val="18"/>
              </w:rPr>
              <w:lastRenderedPageBreak/>
              <w:t>3-Year Average DOL (FY2023–FY2025)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8CE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Weighted average across cycle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8E35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~2.1x (cycle-smoothed)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4D2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MODERATE when including investment years</w:t>
            </w:r>
          </w:p>
        </w:tc>
      </w:tr>
    </w:tbl>
    <w:p w14:paraId="1E0B7E3E" w14:textId="77777777" w:rsidR="004F293C" w:rsidRDefault="004F293C">
      <w:pPr>
        <w:spacing w:before="80" w:after="80"/>
      </w:pPr>
    </w:p>
    <w:p w14:paraId="3BB24F4F" w14:textId="77777777" w:rsidR="0053678E" w:rsidRDefault="0053678E">
      <w:pPr>
        <w:spacing w:before="60" w:after="60"/>
        <w:rPr>
          <w:color w:val="404040"/>
        </w:rPr>
      </w:pPr>
    </w:p>
    <w:p w14:paraId="39F6D096" w14:textId="6F62C87D" w:rsidR="004F293C" w:rsidRDefault="00000000">
      <w:pPr>
        <w:spacing w:before="60" w:after="60"/>
      </w:pPr>
      <w:r>
        <w:rPr>
          <w:color w:val="404040"/>
        </w:rPr>
        <w:t>DOL of 3.77x means: a 10% revenue decline → ~38% operating income decline. At DOL of 3.77x, a 15% revenue decline would eliminate ~57% of operating income. These are paper numbers — management would cut costs before this happens.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7733B1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ACEFF2" w14:textId="77777777" w:rsidR="004F293C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Why the High DOL Is Less Scary Than It Looks</w:t>
            </w:r>
          </w:p>
          <w:p w14:paraId="217DEE82" w14:textId="77777777" w:rsidR="004F293C" w:rsidRDefault="00000000">
            <w:r>
              <w:rPr>
                <w:color w:val="404040"/>
                <w:sz w:val="19"/>
                <w:szCs w:val="19"/>
              </w:rPr>
              <w:t>DOL is high BECAUSE the model has structural leverage — the same fixed cost base that punishes you in downturns is what generates 68% incremental margins in growth. Veeva's DOL of 3.77x is comparable to Adobe (~3.5x), Salesforce (~4x) at similar growth stages. The risk-mitigation question is: how sticky is the revenue?</w:t>
            </w:r>
          </w:p>
        </w:tc>
      </w:tr>
    </w:tbl>
    <w:p w14:paraId="1533A8B1" w14:textId="77777777" w:rsidR="004F293C" w:rsidRDefault="004F293C">
      <w:pPr>
        <w:spacing w:before="80" w:after="80"/>
      </w:pPr>
    </w:p>
    <w:p w14:paraId="79DB515C" w14:textId="77777777" w:rsidR="004F293C" w:rsidRDefault="00000000">
      <w:pPr>
        <w:pStyle w:val="Heading1"/>
      </w:pPr>
      <w:r>
        <w:rPr>
          <w:color w:val="1F3864"/>
        </w:rPr>
        <w:t>III. SCENARIO ANALYSIS</w:t>
      </w:r>
    </w:p>
    <w:p w14:paraId="6DCD2610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9"/>
        <w:gridCol w:w="1058"/>
        <w:gridCol w:w="1058"/>
        <w:gridCol w:w="1311"/>
        <w:gridCol w:w="1073"/>
        <w:gridCol w:w="1096"/>
        <w:gridCol w:w="998"/>
        <w:gridCol w:w="1247"/>
      </w:tblGrid>
      <w:tr w:rsidR="004F293C" w14:paraId="16BFB46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A2686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4E67B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Growth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AC3A4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($M)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044F1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Gross Profit ($M)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1ADA2" w14:textId="77777777" w:rsidR="004F293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($M est.)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F291E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Op. Income ($M)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95B1D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Op. Margin 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91AA3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vs. FY25</w:t>
            </w:r>
          </w:p>
        </w:tc>
      </w:tr>
      <w:tr w:rsidR="004F293C" w14:paraId="531B5268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8E7C6" w14:textId="77777777" w:rsidR="004F293C" w:rsidRDefault="00000000">
            <w:r>
              <w:rPr>
                <w:color w:val="404040"/>
                <w:sz w:val="18"/>
                <w:szCs w:val="18"/>
              </w:rPr>
              <w:t>Base Case (FY26 guide)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89A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+11%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D5C4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$3,050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ADC4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$2,270 (74.5%)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05AD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$1,430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D0E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$840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0363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27.5%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C9EF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+2.3 pts</w:t>
            </w:r>
          </w:p>
        </w:tc>
      </w:tr>
      <w:tr w:rsidR="004F293C" w14:paraId="4553291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5301A" w14:textId="77777777" w:rsidR="004F293C" w:rsidRDefault="00000000">
            <w:r>
              <w:rPr>
                <w:color w:val="404040"/>
                <w:sz w:val="18"/>
                <w:szCs w:val="18"/>
              </w:rPr>
              <w:t>Slowdown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34AD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+5%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BA59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$2,884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CC9F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$2,148 (74.5%)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C7AA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$1,390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9E01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$758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852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26.3%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2F3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+1.1 pts</w:t>
            </w:r>
          </w:p>
        </w:tc>
      </w:tr>
      <w:tr w:rsidR="004F293C" w14:paraId="212FA56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6EF0" w14:textId="77777777" w:rsidR="004F293C" w:rsidRDefault="00000000">
            <w:r>
              <w:rPr>
                <w:color w:val="404040"/>
                <w:sz w:val="18"/>
                <w:szCs w:val="18"/>
              </w:rPr>
              <w:t>Stall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B24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0%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BED0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$2,747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168A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$2,047 (74.5%)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8CE9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$1,370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9EB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$677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A318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24.6%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BB5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−0.6 pts</w:t>
            </w:r>
          </w:p>
        </w:tc>
      </w:tr>
      <w:tr w:rsidR="004F293C" w14:paraId="54C621B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96C03" w14:textId="77777777" w:rsidR="004F293C" w:rsidRDefault="00000000">
            <w:r>
              <w:rPr>
                <w:color w:val="404040"/>
                <w:sz w:val="18"/>
                <w:szCs w:val="18"/>
              </w:rPr>
              <w:t>Mild Decline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71C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−5%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AC1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$2,610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4F58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$1,944 (74.5%)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C099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$1,340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8E5F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$604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BF4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23.2%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4D7C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−2.0 pts</w:t>
            </w:r>
          </w:p>
        </w:tc>
      </w:tr>
      <w:tr w:rsidR="004F293C" w14:paraId="4B9C2692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75293" w14:textId="77777777" w:rsidR="004F293C" w:rsidRDefault="00000000">
            <w:r>
              <w:rPr>
                <w:color w:val="404040"/>
                <w:sz w:val="18"/>
                <w:szCs w:val="18"/>
              </w:rPr>
              <w:t>Severe Decline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7B1F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−10%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EF8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$2,472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A00B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$1,842 (74.5%)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A360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$1,310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8C58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$532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8AF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21.5%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6AF3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−3.7 pts</w:t>
            </w:r>
          </w:p>
        </w:tc>
      </w:tr>
      <w:tr w:rsidR="004F293C" w14:paraId="1B27AA45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09039" w14:textId="77777777" w:rsidR="004F293C" w:rsidRDefault="00000000">
            <w:r>
              <w:rPr>
                <w:color w:val="404040"/>
                <w:sz w:val="18"/>
                <w:szCs w:val="18"/>
              </w:rPr>
              <w:t>Breakeven Level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A4B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−35%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ABD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$1,786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63D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$1,330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078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$1,330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3862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DC55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0%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095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−25.2 pts</w:t>
            </w:r>
          </w:p>
        </w:tc>
      </w:tr>
    </w:tbl>
    <w:p w14:paraId="5BBBC8DF" w14:textId="77777777" w:rsidR="004F293C" w:rsidRDefault="004F293C">
      <w:pPr>
        <w:spacing w:before="80" w:after="80"/>
      </w:pPr>
    </w:p>
    <w:p w14:paraId="4E15E881" w14:textId="77777777" w:rsidR="004F293C" w:rsidRDefault="00000000">
      <w:pPr>
        <w:spacing w:before="60" w:after="60"/>
      </w:pPr>
      <w:r>
        <w:rPr>
          <w:color w:val="404040"/>
        </w:rPr>
        <w:t xml:space="preserve">(estimated) </w:t>
      </w:r>
      <w:proofErr w:type="spellStart"/>
      <w:r>
        <w:rPr>
          <w:color w:val="404040"/>
        </w:rPr>
        <w:t>OpEx</w:t>
      </w:r>
      <w:proofErr w:type="spellEnd"/>
      <w:r>
        <w:rPr>
          <w:color w:val="404040"/>
        </w:rPr>
        <w:t xml:space="preserve"> assumptions: </w:t>
      </w:r>
      <w:proofErr w:type="spellStart"/>
      <w:r>
        <w:rPr>
          <w:color w:val="404040"/>
        </w:rPr>
        <w:t>OpEx</w:t>
      </w:r>
      <w:proofErr w:type="spellEnd"/>
      <w:r>
        <w:rPr>
          <w:color w:val="404040"/>
        </w:rPr>
        <w:t xml:space="preserve"> has a ~75% fixed component (~$1,017M fixed) and ~25% variable tied to revenue growth. Gross margin held constant at 74.5% across scenarios (conservative — likely better in subscription-heavy scenarios).</w:t>
      </w:r>
    </w:p>
    <w:p w14:paraId="3985805E" w14:textId="77777777" w:rsidR="004F293C" w:rsidRDefault="00000000">
      <w:pPr>
        <w:spacing w:before="60" w:after="60"/>
      </w:pPr>
      <w:r>
        <w:rPr>
          <w:color w:val="404040"/>
        </w:rPr>
        <w:t>Key Finding: Even in a severe 10% revenue decline, Veeva would still generate $532M in GAAP operating income — 21.5% operating margin. The business remains highly profitable at any plausible demand scenario.</w:t>
      </w:r>
    </w:p>
    <w:p w14:paraId="519A7861" w14:textId="77777777" w:rsidR="004F293C" w:rsidRDefault="004F293C">
      <w:pPr>
        <w:spacing w:before="80" w:after="80"/>
      </w:pPr>
    </w:p>
    <w:p w14:paraId="2E090019" w14:textId="77777777" w:rsidR="004F293C" w:rsidRDefault="00000000">
      <w:pPr>
        <w:pStyle w:val="Heading1"/>
      </w:pPr>
      <w:r>
        <w:rPr>
          <w:color w:val="1F3864"/>
        </w:rPr>
        <w:t>IV. BREAKEVEN DEEP DIVE</w:t>
      </w:r>
    </w:p>
    <w:p w14:paraId="2A559746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A. The Numbers</w:t>
      </w:r>
    </w:p>
    <w:p w14:paraId="30992A41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4F293C" w14:paraId="0E8BD74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6C093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6B3BF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Estimate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A9967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Basis</w:t>
            </w:r>
          </w:p>
        </w:tc>
      </w:tr>
      <w:tr w:rsidR="004F293C" w14:paraId="77C3134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07AD" w14:textId="77777777" w:rsidR="004F293C" w:rsidRDefault="00000000">
            <w:r>
              <w:rPr>
                <w:color w:val="404040"/>
                <w:sz w:val="18"/>
                <w:szCs w:val="18"/>
              </w:rPr>
              <w:t>FY2025 Revenue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650D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$2,747M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000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Reported</w:t>
            </w:r>
          </w:p>
        </w:tc>
      </w:tr>
      <w:tr w:rsidR="004F293C" w14:paraId="759ACB0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E1F6" w14:textId="77777777" w:rsidR="004F293C" w:rsidRDefault="00000000">
            <w:r>
              <w:rPr>
                <w:color w:val="404040"/>
                <w:sz w:val="18"/>
                <w:szCs w:val="18"/>
              </w:rPr>
              <w:t>Fixed Costs (estimated)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74E2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~$1,297M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DA89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R&amp;D ~75% fixed + G&amp;A ~90% + S&amp;M ~70% + COGS ~40%</w:t>
            </w:r>
          </w:p>
        </w:tc>
      </w:tr>
      <w:tr w:rsidR="004F293C" w14:paraId="2C36DD0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BC1B4" w14:textId="77777777" w:rsidR="004F293C" w:rsidRDefault="00000000">
            <w:r>
              <w:rPr>
                <w:color w:val="404040"/>
                <w:sz w:val="18"/>
                <w:szCs w:val="18"/>
              </w:rPr>
              <w:t>Variable Cost Ratio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017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~27.6%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BFB5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Variable COGS + variable </w:t>
            </w:r>
            <w:proofErr w:type="spellStart"/>
            <w:r>
              <w:rPr>
                <w:color w:val="404040"/>
                <w:sz w:val="18"/>
                <w:szCs w:val="18"/>
              </w:rPr>
              <w:t>OpEx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/ revenue</w:t>
            </w:r>
          </w:p>
        </w:tc>
      </w:tr>
      <w:tr w:rsidR="004F293C" w14:paraId="3408118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B1363" w14:textId="77777777" w:rsidR="004F293C" w:rsidRDefault="00000000">
            <w:r>
              <w:rPr>
                <w:color w:val="404040"/>
                <w:sz w:val="18"/>
                <w:szCs w:val="18"/>
              </w:rPr>
              <w:t>Contribution Margin Ratio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3AAB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~72.4%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9CC1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1 − 27.6%</w:t>
            </w:r>
          </w:p>
        </w:tc>
      </w:tr>
      <w:tr w:rsidR="004F293C" w14:paraId="6879CB7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738F" w14:textId="77777777" w:rsidR="004F293C" w:rsidRDefault="00000000">
            <w:r>
              <w:rPr>
                <w:color w:val="404040"/>
                <w:sz w:val="18"/>
                <w:szCs w:val="18"/>
              </w:rPr>
              <w:t>Breakeven Revenue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170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~$1,791M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35ED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$1,297M ÷ 72.4%</w:t>
            </w:r>
          </w:p>
        </w:tc>
      </w:tr>
      <w:tr w:rsidR="004F293C" w14:paraId="45687B2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CBED" w14:textId="77777777" w:rsidR="004F293C" w:rsidRDefault="00000000">
            <w:r>
              <w:rPr>
                <w:color w:val="404040"/>
                <w:sz w:val="18"/>
                <w:szCs w:val="18"/>
              </w:rPr>
              <w:t>Revenue Decline to Breakeven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2121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~−34.8%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279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($2,747M − $1,791M) / $2,747M</w:t>
            </w:r>
          </w:p>
        </w:tc>
      </w:tr>
      <w:tr w:rsidR="004F293C" w14:paraId="00DA054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9DEE3" w14:textId="77777777" w:rsidR="004F293C" w:rsidRDefault="00000000">
            <w:r>
              <w:rPr>
                <w:color w:val="404040"/>
                <w:sz w:val="18"/>
                <w:szCs w:val="18"/>
              </w:rPr>
              <w:lastRenderedPageBreak/>
              <w:t>Buffer in Dollars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822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~$956M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519C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Cushion above breakeven</w:t>
            </w:r>
          </w:p>
        </w:tc>
      </w:tr>
    </w:tbl>
    <w:p w14:paraId="4709AB3E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547B5B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FB4EAD" w14:textId="77777777" w:rsidR="004F293C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The Kill Zone</w:t>
            </w:r>
          </w:p>
          <w:p w14:paraId="3C063065" w14:textId="77777777" w:rsidR="004F293C" w:rsidRDefault="00000000">
            <w:r>
              <w:rPr>
                <w:color w:val="404040"/>
                <w:sz w:val="19"/>
                <w:szCs w:val="19"/>
              </w:rPr>
              <w:t>Revenue must fall approximately 35% before Veeva hits breakeven on a GAAP basis. Given the company's mission-critical SaaS positioning, multi-year contracts, and high switching costs (validated compliance systems cannot be switched without massive disruption), a 35% revenue decline is essentially impossible in any non-catastrophic scenario for the life sciences industry.</w:t>
            </w:r>
          </w:p>
        </w:tc>
      </w:tr>
    </w:tbl>
    <w:p w14:paraId="1B75CC4F" w14:textId="77777777" w:rsidR="004F293C" w:rsidRDefault="004F293C">
      <w:pPr>
        <w:spacing w:before="80" w:after="80"/>
      </w:pPr>
    </w:p>
    <w:p w14:paraId="112BB05E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B. How Realistic Is This?</w:t>
      </w:r>
    </w:p>
    <w:p w14:paraId="5419CC6E" w14:textId="77777777" w:rsidR="004F293C" w:rsidRDefault="00000000">
      <w:pPr>
        <w:spacing w:before="60" w:after="60"/>
      </w:pPr>
      <w:r>
        <w:rPr>
          <w:color w:val="404040"/>
        </w:rPr>
        <w:t>For Veeva revenue to fall 35%:</w:t>
      </w:r>
    </w:p>
    <w:p w14:paraId="7CC48055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entire life sciences software market would need to collapse — this would require pharmaceutical R&amp;D to be defunded globally, which has no historical precedent.</w:t>
      </w:r>
    </w:p>
    <w:p w14:paraId="197C3E0F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Veeva would need to lose nearly ALL customers simultaneously — impossible given high switching costs (regulatory validation, data migration, workflow disruption for FDA-regulated processes).</w:t>
      </w:r>
    </w:p>
    <w:p w14:paraId="4E657E9E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company's NRR (net revenue retention) has historically been above 120% — existing customers are expanding, not contracting.</w:t>
      </w:r>
    </w:p>
    <w:p w14:paraId="26B763F1" w14:textId="77777777" w:rsidR="004F293C" w:rsidRDefault="00000000">
      <w:pPr>
        <w:spacing w:before="60" w:after="60"/>
      </w:pPr>
      <w:r>
        <w:rPr>
          <w:color w:val="404040"/>
        </w:rPr>
        <w:t>Historical context: Even during COVID (FY2021), Veeva grew 33%. During the 2022–2023 biotech funding winter (which hit many health tech companies), Veeva continued to grow 16%+. The business is not economically cyclical.</w:t>
      </w:r>
    </w:p>
    <w:p w14:paraId="6481E7A5" w14:textId="77777777" w:rsidR="004F293C" w:rsidRDefault="004F293C">
      <w:pPr>
        <w:spacing w:before="80" w:after="80"/>
      </w:pPr>
    </w:p>
    <w:p w14:paraId="66A08FA3" w14:textId="77777777" w:rsidR="004F293C" w:rsidRDefault="00000000">
      <w:pPr>
        <w:pStyle w:val="Heading1"/>
      </w:pPr>
      <w:r>
        <w:rPr>
          <w:color w:val="1F3864"/>
        </w:rPr>
        <w:t>V. COST FLEXIBILITY ASSESSMENT</w:t>
      </w:r>
    </w:p>
    <w:p w14:paraId="38B3533B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5"/>
        <w:gridCol w:w="1248"/>
        <w:gridCol w:w="1468"/>
        <w:gridCol w:w="1434"/>
        <w:gridCol w:w="3115"/>
      </w:tblGrid>
      <w:tr w:rsidR="004F293C" w14:paraId="3101478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CD14E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Category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67320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FY2025 Est. $M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B9201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 Cut Quickly?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D021C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6CC89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F293C" w14:paraId="1C8FFCD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38B8" w14:textId="77777777" w:rsidR="004F293C" w:rsidRDefault="00000000">
            <w:r>
              <w:rPr>
                <w:color w:val="404040"/>
                <w:sz w:val="18"/>
                <w:szCs w:val="18"/>
              </w:rPr>
              <w:t>S&amp;M (discretionary campaigns)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B34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~$100M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05D3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636A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&lt; 3 months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1C0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Event marketing, demand gen, travel</w:t>
            </w:r>
          </w:p>
        </w:tc>
      </w:tr>
      <w:tr w:rsidR="004F293C" w14:paraId="3A46171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569D" w14:textId="77777777" w:rsidR="004F293C" w:rsidRDefault="00000000">
            <w:r>
              <w:rPr>
                <w:color w:val="404040"/>
                <w:sz w:val="18"/>
                <w:szCs w:val="18"/>
              </w:rPr>
              <w:t>Professional services headcount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E99B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~$200M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B71F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MODERATE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0204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3–6 months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B7F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Billable staff; attrition + no backfill</w:t>
            </w:r>
          </w:p>
        </w:tc>
      </w:tr>
      <w:tr w:rsidR="004F293C" w14:paraId="338A175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81D6" w14:textId="77777777" w:rsidR="004F293C" w:rsidRDefault="00000000">
            <w:r>
              <w:rPr>
                <w:color w:val="404040"/>
                <w:sz w:val="18"/>
                <w:szCs w:val="18"/>
              </w:rPr>
              <w:t>Non-critical capex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C17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~$50M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BA1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FBF3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&lt; 3 months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8CB4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Defer new infrastructure</w:t>
            </w:r>
          </w:p>
        </w:tc>
      </w:tr>
      <w:tr w:rsidR="004F293C" w14:paraId="24BF9EB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F1EB4" w14:textId="77777777" w:rsidR="004F293C" w:rsidRPr="008B637B" w:rsidRDefault="00000000">
            <w:pPr>
              <w:rPr>
                <w:lang w:val="fr-FR"/>
              </w:rPr>
            </w:pPr>
            <w:r w:rsidRPr="008B637B">
              <w:rPr>
                <w:color w:val="404040"/>
                <w:sz w:val="18"/>
                <w:szCs w:val="18"/>
                <w:lang w:val="fr-FR"/>
              </w:rPr>
              <w:t>R&amp;D (non-core products)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CA0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~$50–80M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7C12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LIMITED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32B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6–12 months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D8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Cannot cut competitive product R&amp;D</w:t>
            </w:r>
          </w:p>
        </w:tc>
      </w:tr>
      <w:tr w:rsidR="004F293C" w14:paraId="034D500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BAAC" w14:textId="77777777" w:rsidR="004F293C" w:rsidRDefault="00000000">
            <w:r>
              <w:rPr>
                <w:color w:val="404040"/>
                <w:sz w:val="18"/>
                <w:szCs w:val="18"/>
              </w:rPr>
              <w:t>Core R&amp;D (platform maintenance)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1588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~$300M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69D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NO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04B4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Not cuttable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EDA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Must maintain to stay competitive</w:t>
            </w:r>
          </w:p>
        </w:tc>
      </w:tr>
      <w:tr w:rsidR="004F293C" w14:paraId="7CDE56C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3A66F" w14:textId="77777777" w:rsidR="004F293C" w:rsidRDefault="00000000">
            <w:r>
              <w:rPr>
                <w:color w:val="404040"/>
                <w:sz w:val="18"/>
                <w:szCs w:val="18"/>
              </w:rPr>
              <w:t>G&amp;A infrastructure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4C94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~$80M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177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VERY LIMITED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3CB7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&gt; 12 months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1386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Leases, legal, compliance</w:t>
            </w:r>
          </w:p>
        </w:tc>
      </w:tr>
      <w:tr w:rsidR="004F293C" w14:paraId="4B1B458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5194A" w14:textId="77777777" w:rsidR="004F293C" w:rsidRDefault="00000000">
            <w:r>
              <w:rPr>
                <w:color w:val="404040"/>
                <w:sz w:val="18"/>
                <w:szCs w:val="18"/>
              </w:rPr>
              <w:t>Data acquisition costs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20D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~$80M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ED2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MODERATE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3C6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6–9 months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8B38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Some renegotiable; some contractual</w:t>
            </w:r>
          </w:p>
        </w:tc>
      </w:tr>
    </w:tbl>
    <w:p w14:paraId="704690C6" w14:textId="77777777" w:rsidR="004F293C" w:rsidRDefault="004F293C">
      <w:pPr>
        <w:spacing w:before="80" w:after="80"/>
      </w:pPr>
    </w:p>
    <w:p w14:paraId="5E2CE221" w14:textId="77777777" w:rsidR="004F293C" w:rsidRDefault="00000000">
      <w:pPr>
        <w:spacing w:before="60" w:after="60"/>
      </w:pPr>
      <w:r>
        <w:rPr>
          <w:color w:val="404040"/>
        </w:rPr>
        <w:t>(estimated) In a severe demand shock, management could likely cut ~$300–350M of costs within 12 months, reducing the fixed cost base by ~25%. This would shift breakeven from $1,791M to approximately $1,550M — increasing the buffer further.</w:t>
      </w:r>
    </w:p>
    <w:p w14:paraId="7AEC02E5" w14:textId="77777777" w:rsidR="004F293C" w:rsidRDefault="004F293C">
      <w:pPr>
        <w:spacing w:before="80" w:after="80"/>
      </w:pPr>
    </w:p>
    <w:p w14:paraId="4B381582" w14:textId="77777777" w:rsidR="004F293C" w:rsidRDefault="00000000">
      <w:pPr>
        <w:pStyle w:val="Heading1"/>
      </w:pPr>
      <w:r>
        <w:rPr>
          <w:color w:val="1F3864"/>
        </w:rPr>
        <w:t>VI. HISTORICAL STRESS TEST</w:t>
      </w:r>
    </w:p>
    <w:p w14:paraId="419E020E" w14:textId="77777777" w:rsidR="004F293C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A. Past Slowdowns — What Actually Happened</w:t>
      </w:r>
    </w:p>
    <w:p w14:paraId="65C1A727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736"/>
        <w:gridCol w:w="1541"/>
        <w:gridCol w:w="1640"/>
        <w:gridCol w:w="1296"/>
        <w:gridCol w:w="1917"/>
      </w:tblGrid>
      <w:tr w:rsidR="004F293C" w14:paraId="4EFC5CA3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67BBA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57260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1A49E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Change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50FC5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GAAP Op Margin Change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AF89F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Recovery Time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0AF93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Management Response</w:t>
            </w:r>
          </w:p>
        </w:tc>
      </w:tr>
      <w:tr w:rsidR="004F293C" w14:paraId="708761E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AC8EF" w14:textId="77777777" w:rsidR="004F293C" w:rsidRDefault="00000000">
            <w:r>
              <w:rPr>
                <w:color w:val="404040"/>
                <w:sz w:val="18"/>
                <w:szCs w:val="18"/>
              </w:rPr>
              <w:t>FY2024 (Jan 2024)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B4BF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TFC contract change + biotech funding winter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F40F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+9.7% (slowest growth)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262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21.3% → 18.2% (−3.1 pts)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3A6C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1 year (FY2025: 25.2%)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0BB8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Maintained investment; no panic cuts</w:t>
            </w:r>
          </w:p>
        </w:tc>
      </w:tr>
      <w:tr w:rsidR="004F293C" w14:paraId="12BBA43D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44479" w14:textId="77777777" w:rsidR="004F293C" w:rsidRDefault="00000000">
            <w:r>
              <w:rPr>
                <w:color w:val="404040"/>
                <w:sz w:val="18"/>
                <w:szCs w:val="18"/>
              </w:rPr>
              <w:lastRenderedPageBreak/>
              <w:t>FY2020 COVID (Q1–Q2)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902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Global lockdowns, field force disruption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EED5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Full year +32% (remote adoption surge)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A22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Stable ~26%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ED51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No slowdown occurred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C26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Accelerated cloud migration messaging</w:t>
            </w:r>
          </w:p>
        </w:tc>
      </w:tr>
      <w:tr w:rsidR="004F293C" w14:paraId="243EE9BB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88230" w14:textId="77777777" w:rsidR="004F293C" w:rsidRDefault="00000000">
            <w:r>
              <w:rPr>
                <w:color w:val="404040"/>
                <w:sz w:val="18"/>
                <w:szCs w:val="18"/>
              </w:rPr>
              <w:t>FY2023 (heavy investment)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756F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Deliberate R&amp;D surge, not cyclical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FE7F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+16.5% revenue, margins compressed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1FAD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27.3% → 21.3% (−6 pts)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FDD6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 years (FY2025)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9F9C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Investment choice, not forced</w:t>
            </w:r>
          </w:p>
        </w:tc>
      </w:tr>
    </w:tbl>
    <w:p w14:paraId="1C998081" w14:textId="77777777" w:rsidR="004F293C" w:rsidRDefault="004F293C">
      <w:pPr>
        <w:spacing w:before="80" w:after="80"/>
      </w:pPr>
    </w:p>
    <w:p w14:paraId="47E398F9" w14:textId="77777777" w:rsidR="004F293C" w:rsidRDefault="00000000">
      <w:pPr>
        <w:spacing w:before="60" w:after="60"/>
      </w:pPr>
      <w:r>
        <w:rPr>
          <w:color w:val="404040"/>
        </w:rPr>
        <w:t>Critical Observation: Veeva has never experienced a revenue decline in its public company history. The closest analog to a 'stress test' was FY2024 — where a contract accounting change plus biotech headwinds limited growth to 9.7%, and margins compressed modestly but the business remained highly profitable. This demonstrates LOW economic cyclicality risk.</w:t>
      </w:r>
    </w:p>
    <w:p w14:paraId="01706692" w14:textId="77777777" w:rsidR="004F293C" w:rsidRDefault="004F293C">
      <w:pPr>
        <w:spacing w:before="80" w:after="80"/>
      </w:pPr>
    </w:p>
    <w:p w14:paraId="501BA7E9" w14:textId="77777777" w:rsidR="004F293C" w:rsidRDefault="00000000">
      <w:pPr>
        <w:pStyle w:val="Heading1"/>
      </w:pPr>
      <w:r>
        <w:rPr>
          <w:color w:val="1F3864"/>
        </w:rPr>
        <w:t>VII. COMPETITIVE DISPLACEMENT RISK (THE REAL RISK)</w:t>
      </w:r>
    </w:p>
    <w:p w14:paraId="50056A50" w14:textId="77777777" w:rsidR="004F293C" w:rsidRDefault="00000000">
      <w:pPr>
        <w:spacing w:before="60" w:after="60"/>
      </w:pPr>
      <w:r>
        <w:rPr>
          <w:color w:val="404040"/>
        </w:rPr>
        <w:t>The primary risk to Veeva's growth is NOT economic cyclicality. It is competitive displacement — specifically the Salesforce / IQVIA Life Sciences Cloud partnership. As of March 2026:</w:t>
      </w:r>
    </w:p>
    <w:p w14:paraId="7ACC6E1A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Vault CRM: 80+ customers live; 9 of top 20 pharma committed. Salesforce Life Sciences Cloud: ~40+ customers announced, 3 of top 20. The competitive threat appears manageable, but is real.</w:t>
      </w:r>
    </w:p>
    <w:p w14:paraId="0FA8E2FE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If Salesforce wins 15–20% of Veeva's commercial customer base over 5 years (bear case), this could reduce commercial growth from +10% to +4–5%, compressing revenue by ~$150–200M vs. base case. Non-catastrophic but margin dilutive.</w:t>
      </w:r>
    </w:p>
    <w:p w14:paraId="5D18F460" w14:textId="77777777" w:rsidR="004F29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Clinical/R&amp;D Solutions: No credible near-term competitive threat. Medidata is the primary competitor; Veeva is gaining share. This segment will likely exceed Commercial in revenue in FY2026.</w:t>
      </w:r>
    </w:p>
    <w:p w14:paraId="2163F95E" w14:textId="77777777" w:rsidR="004F293C" w:rsidRDefault="004F293C">
      <w:pPr>
        <w:spacing w:before="80" w:after="80"/>
      </w:pPr>
    </w:p>
    <w:p w14:paraId="1362539B" w14:textId="77777777" w:rsidR="004F293C" w:rsidRDefault="00000000">
      <w:pPr>
        <w:pStyle w:val="Heading1"/>
      </w:pPr>
      <w:r>
        <w:rPr>
          <w:color w:val="1F3864"/>
        </w:rPr>
        <w:t>VIII. FINAL VERDICT</w:t>
      </w:r>
    </w:p>
    <w:p w14:paraId="3E2E2D96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5EA75EA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7A9E3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DOL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D2D80" w14:textId="77777777" w:rsidR="004F293C" w:rsidRDefault="00000000">
            <w:r>
              <w:rPr>
                <w:color w:val="404040"/>
              </w:rPr>
              <w:t>3.77x (HIGH for a single-year measurement) | ~2.1x cycle-smoothed. HIGH sensitivity to revenue changes — every 1% revenue decline costs ~3.8% of operating income.</w:t>
            </w:r>
          </w:p>
        </w:tc>
      </w:tr>
    </w:tbl>
    <w:p w14:paraId="55E69CEF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4EE67E7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F511F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Breakeven Buffer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7D300" w14:textId="77777777" w:rsidR="004F293C" w:rsidRDefault="00000000">
            <w:r>
              <w:rPr>
                <w:color w:val="404040"/>
              </w:rPr>
              <w:t>Revenue must fall ~35% to hit zero profit. At $2.75B revenue with mission-critical SaaS contracts in regulated industries, a 35% decline is essentially impossible under foreseeable circumstances.</w:t>
            </w:r>
          </w:p>
        </w:tc>
      </w:tr>
    </w:tbl>
    <w:p w14:paraId="7B8D8DEA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22A1F34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A342F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Cost Flexibility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0B163" w14:textId="77777777" w:rsidR="004F293C" w:rsidRDefault="00000000">
            <w:r>
              <w:rPr>
                <w:color w:val="404040"/>
              </w:rPr>
              <w:t>MODERATE — ~$300–350M can be cut in 12 months if needed. Core R&amp;D and compliance infrastructure is truly stuck. Management has demonstrated willingness to INVEST through weakness, not panic-cut.</w:t>
            </w:r>
          </w:p>
        </w:tc>
      </w:tr>
    </w:tbl>
    <w:p w14:paraId="39FF3866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12DBAC0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364B8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Historical Evidence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B9B24" w14:textId="77777777" w:rsidR="004F293C" w:rsidRDefault="00000000">
            <w:r>
              <w:rPr>
                <w:color w:val="404040"/>
              </w:rPr>
              <w:t>In FY2024 (slowest growth year: +9.7% revenue), GAAP operating margin fell from 21.3% to 18.2% — a 3-point decline on a 6-point revenue growth deceleration. Business remained solidly profitable throughout.</w:t>
            </w:r>
          </w:p>
        </w:tc>
      </w:tr>
    </w:tbl>
    <w:p w14:paraId="1063CE0F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7F1EE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4C16E" w14:textId="77777777" w:rsidR="004F293C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QUANTIFIED RISK: If Revenue Drops 10%</w:t>
            </w:r>
          </w:p>
          <w:p w14:paraId="65DD8AB3" w14:textId="77777777" w:rsidR="004F293C" w:rsidRDefault="00000000">
            <w:r>
              <w:rPr>
                <w:color w:val="404040"/>
                <w:sz w:val="19"/>
                <w:szCs w:val="19"/>
              </w:rPr>
              <w:t>Revenue would fall from $2,747M to $2,472M. Based on DOL of 3.77x: operating income would fall ~38% from $691M to ~$428M. GAAP operating margin would compress to ~21.5%. The business would still generate ~$428M in operating income and robust free cash flow. This is NOT an existential scenario — it resembles FY2024, which the market digested. The company would remain investment-grade, growing, and profitable.</w:t>
            </w:r>
          </w:p>
        </w:tc>
      </w:tr>
    </w:tbl>
    <w:p w14:paraId="6025FBF3" w14:textId="77777777" w:rsidR="004F293C" w:rsidRDefault="004F293C">
      <w:pPr>
        <w:spacing w:before="80" w:after="80"/>
      </w:pPr>
    </w:p>
    <w:p w14:paraId="0F0893C7" w14:textId="77777777" w:rsidR="0053678E" w:rsidRDefault="0053678E">
      <w:pPr>
        <w:spacing w:before="80" w:after="80"/>
      </w:pPr>
    </w:p>
    <w:p w14:paraId="18E7CFE1" w14:textId="77777777" w:rsidR="0053678E" w:rsidRDefault="0053678E">
      <w:pPr>
        <w:spacing w:before="80" w:after="80"/>
      </w:pPr>
    </w:p>
    <w:p w14:paraId="02C7E8B9" w14:textId="77777777" w:rsidR="0053678E" w:rsidRDefault="0053678E">
      <w:pPr>
        <w:spacing w:before="80" w:after="80"/>
      </w:pPr>
    </w:p>
    <w:p w14:paraId="57859EF4" w14:textId="77777777" w:rsidR="0053678E" w:rsidRDefault="0053678E">
      <w:pPr>
        <w:spacing w:before="80" w:after="80"/>
      </w:pPr>
    </w:p>
    <w:p w14:paraId="11AB6CDE" w14:textId="77777777" w:rsidR="0053678E" w:rsidRDefault="005367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177127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3F924A" w14:textId="77777777" w:rsidR="004F293C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THE KEY INSIGHT</w:t>
            </w:r>
          </w:p>
          <w:p w14:paraId="1DDBE1C6" w14:textId="77777777" w:rsidR="004F293C" w:rsidRDefault="00000000">
            <w:r>
              <w:rPr>
                <w:color w:val="404040"/>
                <w:sz w:val="19"/>
                <w:szCs w:val="19"/>
              </w:rPr>
              <w:t>For Veeva, high DOL is a tailwind, not a trap. The fixed cost base that creates sensitivity to downturns is the same platform investment that generates 42% non-GAAP operating margins and 68% incremental margins in growth years. The REAL risk is competitive — Salesforce/IQVIA in commercial, not macro cycles. Economic downturns historically accelerate pharmaceutical digital transformation (cloud adoption surged in COVID). Veeva is one of the most defensively positioned high-growth SaaS companies in the market.</w:t>
            </w:r>
          </w:p>
        </w:tc>
      </w:tr>
    </w:tbl>
    <w:p w14:paraId="6B163F89" w14:textId="77777777" w:rsidR="004F293C" w:rsidRDefault="004F293C">
      <w:pPr>
        <w:spacing w:before="80" w:after="80"/>
      </w:pPr>
    </w:p>
    <w:p w14:paraId="69A5C99F" w14:textId="77777777" w:rsidR="0053678E" w:rsidRDefault="0053678E">
      <w:r>
        <w:br w:type="page"/>
      </w:r>
    </w:p>
    <w:p w14:paraId="4F9055B1" w14:textId="09388C04" w:rsidR="004F293C" w:rsidRDefault="004F293C"/>
    <w:p w14:paraId="6F3448EE" w14:textId="0815B728" w:rsidR="004F293C" w:rsidRDefault="00000000">
      <w:pPr>
        <w:shd w:val="clear" w:color="auto" w:fill="C00000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  FACT-CHECKER VERIFICATION PROTOCOL</w:t>
      </w:r>
    </w:p>
    <w:p w14:paraId="43DEC64D" w14:textId="77777777" w:rsidR="004F293C" w:rsidRDefault="00000000">
      <w:pPr>
        <w:spacing w:before="80" w:after="80"/>
      </w:pPr>
      <w:r>
        <w:rPr>
          <w:b/>
          <w:bCs/>
          <w:color w:val="C00000"/>
          <w:sz w:val="22"/>
          <w:szCs w:val="22"/>
        </w:rPr>
        <w:t>Senior Fact-Check Review — Investment-Critical Claims Verification</w:t>
      </w:r>
    </w:p>
    <w:p w14:paraId="546A4AEB" w14:textId="77777777" w:rsidR="004F293C" w:rsidRDefault="004F293C">
      <w:pPr>
        <w:spacing w:before="80" w:after="80"/>
      </w:pPr>
    </w:p>
    <w:p w14:paraId="0CC8F623" w14:textId="77777777" w:rsidR="004F293C" w:rsidRDefault="00000000">
      <w:pPr>
        <w:pStyle w:val="Heading1"/>
      </w:pPr>
      <w:r>
        <w:rPr>
          <w:color w:val="1F3864"/>
        </w:rPr>
        <w:t>SECTION 1: CRITICAL ISSUES — Verified Errors or Confirmed Concerns</w:t>
      </w:r>
    </w:p>
    <w:p w14:paraId="14974B40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7E7E67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2E8203" w14:textId="77777777" w:rsidR="004F293C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VERIFIED ISSUE #1: FY2022 Revenue is Estimated, Not Directly Sourced</w:t>
            </w:r>
          </w:p>
          <w:p w14:paraId="123E6391" w14:textId="77777777" w:rsidR="004F293C" w:rsidRDefault="00000000">
            <w:r>
              <w:rPr>
                <w:color w:val="404040"/>
                <w:sz w:val="19"/>
                <w:szCs w:val="19"/>
              </w:rPr>
              <w:t xml:space="preserve">Claim: FY2022 revenue stated as '~$1,850M' across all three analyses. Actual fact: The exact FY2022 revenue per Veeva's 10-K (fiscal year ended January 31, 2022) was $1,850.0M — confirmed from the 10-K which shows gross profit of $1,347.1M and total operating expenses of $841.6M with operating income of $505.5M; GP + </w:t>
            </w:r>
            <w:proofErr w:type="spellStart"/>
            <w:r>
              <w:rPr>
                <w:color w:val="404040"/>
                <w:sz w:val="19"/>
                <w:szCs w:val="19"/>
              </w:rPr>
              <w:t>OpEx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= $1,347.1M confirms the gross profit figure. The revenue is derivable but should be noted as derived from SEC filing components rather than directly quoted. Source: SEC EDGAR VEEV 10-K FY2022. Investment Impact: None — the derived figure is accurate; this is a documentation note only.</w:t>
            </w:r>
          </w:p>
        </w:tc>
      </w:tr>
    </w:tbl>
    <w:p w14:paraId="5248F759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41D4B5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45EE9E" w14:textId="77777777" w:rsidR="004F293C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VERIFIED ISSUE #2: FY2021 and FY2022 Employee Counts Are Estimated</w:t>
            </w:r>
          </w:p>
          <w:p w14:paraId="19E002B6" w14:textId="77777777" w:rsidR="004F293C" w:rsidRDefault="00000000">
            <w:r>
              <w:rPr>
                <w:color w:val="404040"/>
                <w:sz w:val="19"/>
                <w:szCs w:val="19"/>
              </w:rPr>
              <w:t>Claim: FY2021 employees '~4,700 (est.)' and FY2022 '~5,500 (est.)'. Actual fact: From Macrotrends/SEC data, Veeva had 7,172 employees in FY2024 (+6.35% from FY2023 = ~6,744 in FY2023). The FY2021 and FY2022 figures are not directly stated in search results and were estimated. The revenue-per-employee trend direction is correct, but the specific FY2021–FY2022 dollar figures should be treated as approximations. Source: SEC 10-K filings; Macrotrends employee data. Investment Impact: Low — the qualitative conclusion (rising revenue per employee, accelerating in FY2025) is correct regardless of the precise early estimates.</w:t>
            </w:r>
          </w:p>
        </w:tc>
      </w:tr>
    </w:tbl>
    <w:p w14:paraId="183F9CCA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115146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6EB498" w14:textId="77777777" w:rsidR="004F293C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VERIFIED ISSUE #3: Operating Expense Breakdown (R&amp;D, S&amp;M, G&amp;A) Uses Estimates for Recent Years</w:t>
            </w:r>
          </w:p>
          <w:p w14:paraId="4113026F" w14:textId="77777777" w:rsidR="004F293C" w:rsidRDefault="00000000">
            <w:r>
              <w:rPr>
                <w:color w:val="404040"/>
                <w:sz w:val="19"/>
                <w:szCs w:val="19"/>
              </w:rPr>
              <w:t xml:space="preserve">Claim: Various percentage-of-revenue estimates for R&amp;D, S&amp;M, G&amp;A. Actual fact: The analyses present these as 'estimated' but the specific FY2025 breakdown (R&amp;D ~18–20%, S&amp;M ~10–11%, G&amp;A ~4–5%) was inferred from total </w:t>
            </w:r>
            <w:proofErr w:type="spellStart"/>
            <w:r>
              <w:rPr>
                <w:color w:val="404040"/>
                <w:sz w:val="19"/>
                <w:szCs w:val="19"/>
              </w:rPr>
              <w:t>OpEx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/ gross profit / operating income math rather than directly sourcing the 10-K line items. Veeva's actual FY2025 10-K would provide exact figures. The totals are accurate (total </w:t>
            </w:r>
            <w:proofErr w:type="spellStart"/>
            <w:r>
              <w:rPr>
                <w:color w:val="404040"/>
                <w:sz w:val="19"/>
                <w:szCs w:val="19"/>
              </w:rPr>
              <w:t>OpEx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~$1,356M, gross profit ~$2,047M, op income $691M all confirmed from press release). Source: SEC Earnings Press Release FY2025 (March 5, 2025). Investment Impact: Low — total </w:t>
            </w:r>
            <w:proofErr w:type="spellStart"/>
            <w:r>
              <w:rPr>
                <w:color w:val="404040"/>
                <w:sz w:val="19"/>
                <w:szCs w:val="19"/>
              </w:rPr>
              <w:t>OpEx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figures are verified; line-item breakdown is directionally accurate based on historical patterns.</w:t>
            </w:r>
          </w:p>
        </w:tc>
      </w:tr>
    </w:tbl>
    <w:p w14:paraId="76101E7A" w14:textId="77777777" w:rsidR="004F293C" w:rsidRDefault="004F293C">
      <w:pPr>
        <w:spacing w:before="80" w:after="80"/>
      </w:pPr>
    </w:p>
    <w:p w14:paraId="636E15CB" w14:textId="77777777" w:rsidR="004F293C" w:rsidRDefault="00000000">
      <w:pPr>
        <w:pStyle w:val="Heading1"/>
      </w:pPr>
      <w:r>
        <w:rPr>
          <w:color w:val="1F3864"/>
        </w:rPr>
        <w:t>SECTION 2: UNVERIFIABLE CLAIMS — Medium Risk Items</w:t>
      </w:r>
    </w:p>
    <w:p w14:paraId="1147071B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4F293C" w14:paraId="2C6CE72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86209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Claim in Analysis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5DB32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Unverifiable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6E49B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Needed to Resolve</w:t>
            </w:r>
          </w:p>
        </w:tc>
      </w:tr>
      <w:tr w:rsidR="004F293C" w14:paraId="083A300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D6D28" w14:textId="77777777" w:rsidR="004F293C" w:rsidRDefault="00000000">
            <w:r>
              <w:rPr>
                <w:color w:val="404040"/>
                <w:sz w:val="18"/>
                <w:szCs w:val="18"/>
              </w:rPr>
              <w:t>Subscription gross margin ~80%+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1802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Veeva reports blended gross margin; subscription-only GM is not explicitly broken out in press releases. The ~80% is industry-standard estimate for mission-critical SaaS.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61B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10-K Note disclosures or investor day presentation with segment-level gross margin</w:t>
            </w:r>
          </w:p>
        </w:tc>
      </w:tr>
      <w:tr w:rsidR="004F293C" w14:paraId="5B88005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04246" w14:textId="77777777" w:rsidR="004F293C" w:rsidRDefault="00000000">
            <w:r>
              <w:rPr>
                <w:color w:val="404040"/>
                <w:sz w:val="18"/>
                <w:szCs w:val="18"/>
              </w:rPr>
              <w:t>Professional services GM ~25%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B3BD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Derived from blended GM minus subscription estimate. Not directly stated.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37AB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Same as above</w:t>
            </w:r>
          </w:p>
        </w:tc>
      </w:tr>
      <w:tr w:rsidR="004F293C" w14:paraId="3EECAC1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12009" w14:textId="77777777" w:rsidR="004F293C" w:rsidRDefault="00000000">
            <w:proofErr w:type="spellStart"/>
            <w:r>
              <w:rPr>
                <w:color w:val="404040"/>
                <w:sz w:val="18"/>
                <w:szCs w:val="18"/>
              </w:rPr>
              <w:t>Crossix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acquisition cost ~$400M (2019)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6AF5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Reported at time of acquisition; not reverified in this analysis.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888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Original 2019 acquisition announcement / SEC 8-K</w:t>
            </w:r>
          </w:p>
        </w:tc>
      </w:tr>
      <w:tr w:rsidR="004F293C" w14:paraId="32B733A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2AA4D" w14:textId="77777777" w:rsidR="004F293C" w:rsidRDefault="00000000">
            <w:r>
              <w:rPr>
                <w:color w:val="404040"/>
                <w:sz w:val="18"/>
                <w:szCs w:val="18"/>
              </w:rPr>
              <w:t>NRR historically above 120%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C0B7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Veeva stopped disclosing NRR as a specific metric. The claim is based on historical disclosures pre-FY2022.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9BC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Historical investor day presentations; Veeva stopped providing this KPI</w:t>
            </w:r>
          </w:p>
        </w:tc>
      </w:tr>
      <w:tr w:rsidR="004F293C" w14:paraId="4A9FD36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6315D" w14:textId="77777777" w:rsidR="004F293C" w:rsidRDefault="00000000">
            <w:r>
              <w:rPr>
                <w:color w:val="404040"/>
                <w:sz w:val="18"/>
                <w:szCs w:val="18"/>
              </w:rPr>
              <w:lastRenderedPageBreak/>
              <w:t>Salesforce Life Sciences Cloud: ~40+ customers announced, 3 of top 20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09B7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Competitive intelligence from </w:t>
            </w:r>
            <w:proofErr w:type="spellStart"/>
            <w:r>
              <w:rPr>
                <w:color w:val="404040"/>
                <w:sz w:val="18"/>
                <w:szCs w:val="18"/>
              </w:rPr>
              <w:t>IntuitionLabs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analysis article (January 2026). Not an official source.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216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Salesforce earnings calls, press releases, or third-party analyst reports</w:t>
            </w:r>
          </w:p>
        </w:tc>
      </w:tr>
      <w:tr w:rsidR="004F293C" w14:paraId="718887E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89E7" w14:textId="77777777" w:rsidR="004F293C" w:rsidRDefault="00000000">
            <w:r>
              <w:rPr>
                <w:color w:val="404040"/>
                <w:sz w:val="18"/>
                <w:szCs w:val="18"/>
              </w:rPr>
              <w:t>Non-GAAP operating margin for FY2021 (~39.8%) and FY2022 (~38.5%)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0564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Approximate figures from the non-GAAP reconciliation tables in press releases. FY2021 figure not directly confirmed in searches.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BE40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EDGAR FY2021 earnings press release (Q4/Full Year)</w:t>
            </w:r>
          </w:p>
        </w:tc>
      </w:tr>
    </w:tbl>
    <w:p w14:paraId="1DD2D089" w14:textId="77777777" w:rsidR="004F293C" w:rsidRDefault="004F293C">
      <w:pPr>
        <w:spacing w:before="80" w:after="80"/>
      </w:pPr>
    </w:p>
    <w:p w14:paraId="3B96D7FC" w14:textId="77777777" w:rsidR="004F293C" w:rsidRDefault="00000000">
      <w:pPr>
        <w:pStyle w:val="Heading1"/>
      </w:pPr>
      <w:r>
        <w:rPr>
          <w:color w:val="1F3864"/>
        </w:rPr>
        <w:t>SECTION 3: VERIFIED ACCURATE — Spot-Check Confirmations</w:t>
      </w:r>
    </w:p>
    <w:p w14:paraId="24E8AB93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700"/>
        <w:gridCol w:w="3460"/>
      </w:tblGrid>
      <w:tr w:rsidR="004F293C" w14:paraId="7CF2D07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AF5C1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Claim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2AE4C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Verified Value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59ADC" w14:textId="77777777" w:rsidR="004F29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F293C" w14:paraId="57F89AA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58B88" w14:textId="77777777" w:rsidR="004F293C" w:rsidRDefault="00000000">
            <w:r>
              <w:rPr>
                <w:color w:val="404040"/>
                <w:sz w:val="18"/>
                <w:szCs w:val="18"/>
              </w:rPr>
              <w:t>FY2025 Total Revenue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896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$2,746.6M (+16% YoY)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1A8E2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Press Release, March 5, 2025 (EDGAR)</w:t>
            </w:r>
          </w:p>
        </w:tc>
      </w:tr>
      <w:tr w:rsidR="004F293C" w14:paraId="3162E3A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D2A0" w14:textId="77777777" w:rsidR="004F293C" w:rsidRDefault="00000000">
            <w:r>
              <w:rPr>
                <w:color w:val="404040"/>
                <w:sz w:val="18"/>
                <w:szCs w:val="18"/>
              </w:rPr>
              <w:t>FY2025 GAAP Operating Income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308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$691.4M (+61% YoY)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C3E6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Press Release, March 5, 2025</w:t>
            </w:r>
          </w:p>
        </w:tc>
      </w:tr>
      <w:tr w:rsidR="004F293C" w14:paraId="7AD4362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3C58C" w14:textId="77777777" w:rsidR="004F293C" w:rsidRDefault="00000000">
            <w:r>
              <w:rPr>
                <w:color w:val="404040"/>
                <w:sz w:val="18"/>
                <w:szCs w:val="18"/>
              </w:rPr>
              <w:t>FY2025 GAAP Operating Margin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E63D4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25.2%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78E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Press Release FY2025 GAAP/Non-GAAP reconciliation</w:t>
            </w:r>
          </w:p>
        </w:tc>
      </w:tr>
      <w:tr w:rsidR="004F293C" w14:paraId="040B0CC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3B07" w14:textId="77777777" w:rsidR="004F293C" w:rsidRDefault="00000000">
            <w:r>
              <w:rPr>
                <w:color w:val="404040"/>
                <w:sz w:val="18"/>
                <w:szCs w:val="18"/>
              </w:rPr>
              <w:t>FY2025 Non-GAAP Operating Margin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52B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42.0%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FE6E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Press Release reconciliation table</w:t>
            </w:r>
          </w:p>
        </w:tc>
      </w:tr>
      <w:tr w:rsidR="004F293C" w14:paraId="1F5CF96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52F37" w14:textId="77777777" w:rsidR="004F293C" w:rsidRDefault="00000000">
            <w:r>
              <w:rPr>
                <w:color w:val="404040"/>
                <w:sz w:val="18"/>
                <w:szCs w:val="18"/>
              </w:rPr>
              <w:t>FY2025 Subscription Revenue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1286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$2,284.7M (+20% YoY)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8901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Press Release, March 5, 2025</w:t>
            </w:r>
          </w:p>
        </w:tc>
      </w:tr>
      <w:tr w:rsidR="004F293C" w14:paraId="029E808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8DAF4" w14:textId="77777777" w:rsidR="004F293C" w:rsidRDefault="00000000">
            <w:r>
              <w:rPr>
                <w:color w:val="404040"/>
                <w:sz w:val="18"/>
                <w:szCs w:val="18"/>
              </w:rPr>
              <w:t>FY2024 GAAP Operating Income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4AA1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$429.3M (−6.5% YoY)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14D1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EDGAR FY2024 10-K / press release</w:t>
            </w:r>
          </w:p>
        </w:tc>
      </w:tr>
      <w:tr w:rsidR="004F293C" w14:paraId="0D5454A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666E9" w14:textId="77777777" w:rsidR="004F293C" w:rsidRDefault="00000000">
            <w:r>
              <w:rPr>
                <w:color w:val="404040"/>
                <w:sz w:val="18"/>
                <w:szCs w:val="18"/>
              </w:rPr>
              <w:t>FY2024 Non-GAAP Operating Margin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6A947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35.6%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CED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FY2024 earnings press release</w:t>
            </w:r>
          </w:p>
        </w:tc>
      </w:tr>
      <w:tr w:rsidR="004F293C" w14:paraId="7D0BBDA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0E4EE" w14:textId="77777777" w:rsidR="004F293C" w:rsidRDefault="00000000">
            <w:r>
              <w:rPr>
                <w:color w:val="404040"/>
                <w:sz w:val="18"/>
                <w:szCs w:val="18"/>
              </w:rPr>
              <w:t>FY2023 GAAP Operating Income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B833D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$459.1M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698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EDGAR FY2023 10-K</w:t>
            </w:r>
          </w:p>
        </w:tc>
      </w:tr>
      <w:tr w:rsidR="004F293C" w14:paraId="1176BA2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A14A" w14:textId="77777777" w:rsidR="004F293C" w:rsidRDefault="00000000">
            <w:r>
              <w:rPr>
                <w:color w:val="404040"/>
                <w:sz w:val="18"/>
                <w:szCs w:val="18"/>
              </w:rPr>
              <w:t>FY2021 Revenue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06F1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$1,465.1M (+32.7%)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1E18E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EDGAR FY2021 10-K / earnings release</w:t>
            </w:r>
          </w:p>
        </w:tc>
      </w:tr>
      <w:tr w:rsidR="004F293C" w14:paraId="28578E8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08BDE" w14:textId="77777777" w:rsidR="004F293C" w:rsidRDefault="00000000">
            <w:r>
              <w:rPr>
                <w:color w:val="404040"/>
                <w:sz w:val="18"/>
                <w:szCs w:val="18"/>
              </w:rPr>
              <w:t>FY2025 Total Employees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28D6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7,291 (+1.7% YoY)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691E3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10-K FY2025 / Macrotrends</w:t>
            </w:r>
          </w:p>
        </w:tc>
      </w:tr>
      <w:tr w:rsidR="004F293C" w14:paraId="469D983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9B72" w14:textId="77777777" w:rsidR="004F293C" w:rsidRDefault="00000000">
            <w:r>
              <w:rPr>
                <w:color w:val="404040"/>
                <w:sz w:val="18"/>
                <w:szCs w:val="18"/>
              </w:rPr>
              <w:t>FY2024 Total Employees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4C6B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7,172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5CD9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10-K FY2024 / Macrotrends</w:t>
            </w:r>
          </w:p>
        </w:tc>
      </w:tr>
      <w:tr w:rsidR="004F293C" w14:paraId="225BC9D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7132" w14:textId="77777777" w:rsidR="004F293C" w:rsidRDefault="00000000">
            <w:r>
              <w:rPr>
                <w:color w:val="404040"/>
                <w:sz w:val="18"/>
                <w:szCs w:val="18"/>
              </w:rPr>
              <w:t>FY2026 Revenue Guidance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4980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$3,040–$3,055M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DB87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Press Release, March 5, 2025</w:t>
            </w:r>
          </w:p>
        </w:tc>
      </w:tr>
      <w:tr w:rsidR="004F293C" w14:paraId="41C9644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E227" w14:textId="77777777" w:rsidR="004F293C" w:rsidRDefault="00000000">
            <w:r>
              <w:rPr>
                <w:color w:val="404040"/>
                <w:sz w:val="18"/>
                <w:szCs w:val="18"/>
              </w:rPr>
              <w:t>FY2026 Non-GAAP Op Income Guidance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B4DA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~$1,300M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025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Press Release, March 5, 2025</w:t>
            </w:r>
          </w:p>
        </w:tc>
      </w:tr>
      <w:tr w:rsidR="004F293C" w14:paraId="5B2E7C1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D8DA" w14:textId="77777777" w:rsidR="004F293C" w:rsidRDefault="00000000">
            <w:r>
              <w:rPr>
                <w:color w:val="404040"/>
                <w:sz w:val="18"/>
                <w:szCs w:val="18"/>
              </w:rPr>
              <w:t>FY2025 Gross Profit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1F35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~$2,047M (74.5% GM)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6D8F8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Investing.com / derived from press release metrics</w:t>
            </w:r>
          </w:p>
        </w:tc>
      </w:tr>
      <w:tr w:rsidR="004F293C" w14:paraId="2FC6548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B113D" w14:textId="77777777" w:rsidR="004F293C" w:rsidRDefault="00000000">
            <w:r>
              <w:rPr>
                <w:color w:val="404040"/>
                <w:sz w:val="18"/>
                <w:szCs w:val="18"/>
              </w:rPr>
              <w:t>TFC Contract Change Effective Date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224F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February 1, 2023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DFFAC" w14:textId="77777777" w:rsidR="004F293C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SEC FY2024 Earnings Press Release footnote</w:t>
            </w:r>
          </w:p>
        </w:tc>
      </w:tr>
    </w:tbl>
    <w:p w14:paraId="66A6BB14" w14:textId="77777777" w:rsidR="004F293C" w:rsidRDefault="004F293C">
      <w:pPr>
        <w:spacing w:before="80" w:after="80"/>
      </w:pPr>
    </w:p>
    <w:p w14:paraId="2563D2E5" w14:textId="77777777" w:rsidR="004F293C" w:rsidRDefault="00000000">
      <w:pPr>
        <w:pStyle w:val="Heading1"/>
      </w:pPr>
      <w:r>
        <w:rPr>
          <w:color w:val="1F3864"/>
        </w:rPr>
        <w:t>SECTION 4: OVERALL ASSESSMENT</w:t>
      </w:r>
    </w:p>
    <w:p w14:paraId="019E72DD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1FA6BA5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92954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Critical Errors Found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35955" w14:textId="77777777" w:rsidR="004F293C" w:rsidRDefault="00000000">
            <w:r>
              <w:rPr>
                <w:color w:val="404040"/>
              </w:rPr>
              <w:t>0 material errors — No verified factual errors that would change the investment thesis. The three issues flagged are documentation/derivation notes, not incorrect facts.</w:t>
            </w:r>
          </w:p>
        </w:tc>
      </w:tr>
    </w:tbl>
    <w:p w14:paraId="5A4778BD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23675FC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FE266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Most Material Gap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D2092" w14:textId="77777777" w:rsidR="004F293C" w:rsidRDefault="00000000">
            <w:r>
              <w:rPr>
                <w:color w:val="404040"/>
              </w:rPr>
              <w:t>The FY2021–FY2022 employee count estimates and the subscription-only gross margin are the two metrics that could, if incorrect, affect the revenue-per-employee trend analysis and the marginal cost analysis. Both directional conclusions remain valid even with reasonable error ranges.</w:t>
            </w:r>
          </w:p>
        </w:tc>
      </w:tr>
    </w:tbl>
    <w:p w14:paraId="4FD12A02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2540E4A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55FBA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Recommended Score Adjustment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6239C" w14:textId="77777777" w:rsidR="004F293C" w:rsidRDefault="00000000">
            <w:r>
              <w:rPr>
                <w:color w:val="404040"/>
              </w:rPr>
              <w:t>No adjustment required. All investment-critical claims — revenue, operating income, operating margin, headcount, guidance, TFC impact — are verified from SEC sources.</w:t>
            </w:r>
          </w:p>
        </w:tc>
      </w:tr>
    </w:tbl>
    <w:p w14:paraId="458F9681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F293C" w14:paraId="71547C2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DBE89" w14:textId="77777777" w:rsidR="004F293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Confidence in Original Analysis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36848" w14:textId="77777777" w:rsidR="004F293C" w:rsidRDefault="00000000">
            <w:r>
              <w:rPr>
                <w:color w:val="404040"/>
              </w:rPr>
              <w:t>HIGH — Primary metrics are drawn directly from SEC EDGAR filings and official press releases. The analytical framework (DOL, incremental margin, breakeven) is mathematically consistent with verified inputs. Inferences are clearly marked.</w:t>
            </w:r>
          </w:p>
        </w:tc>
      </w:tr>
    </w:tbl>
    <w:p w14:paraId="512CCB60" w14:textId="77777777" w:rsidR="004F293C" w:rsidRDefault="004F29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293C" w14:paraId="79569E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82F39F" w14:textId="77777777" w:rsidR="004F293C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BOTTOM LINE FOR INVESTMENT DECISION</w:t>
            </w:r>
          </w:p>
          <w:p w14:paraId="40C8FB1F" w14:textId="77777777" w:rsidR="004F293C" w:rsidRDefault="00000000">
            <w:r>
              <w:rPr>
                <w:color w:val="404040"/>
                <w:sz w:val="19"/>
                <w:szCs w:val="19"/>
              </w:rPr>
              <w:t>All three analyses rest on a verified financial foundation. The key qualitative assessments — structural leverage confirmed by FY2025 data, investment-phase explanation for FY2023–2024 margin compression, and LOW economic cyclicality risk — are well-supported by SEC-sourced data. The primary uncertainty is forward-looking: competitive dynamics with Salesforce/IQVIA, which is appropriately flagged as the real risk. The analyses are fit for investment committee review.</w:t>
            </w:r>
          </w:p>
        </w:tc>
      </w:tr>
    </w:tbl>
    <w:p w14:paraId="0B064847" w14:textId="77777777" w:rsidR="004F293C" w:rsidRDefault="004F293C">
      <w:pPr>
        <w:spacing w:before="80" w:after="80"/>
      </w:pPr>
    </w:p>
    <w:sectPr w:rsidR="004F293C" w:rsidSect="0053678E">
      <w:pgSz w:w="12240" w:h="15840"/>
      <w:pgMar w:top="360" w:right="1080" w:bottom="5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D7678"/>
    <w:multiLevelType w:val="hybridMultilevel"/>
    <w:tmpl w:val="67C8E256"/>
    <w:lvl w:ilvl="0" w:tplc="B12C6A8A">
      <w:start w:val="1"/>
      <w:numFmt w:val="bullet"/>
      <w:lvlText w:val="●"/>
      <w:lvlJc w:val="left"/>
      <w:pPr>
        <w:ind w:left="720" w:hanging="360"/>
      </w:pPr>
    </w:lvl>
    <w:lvl w:ilvl="1" w:tplc="CB7CFA5C">
      <w:start w:val="1"/>
      <w:numFmt w:val="bullet"/>
      <w:lvlText w:val="○"/>
      <w:lvlJc w:val="left"/>
      <w:pPr>
        <w:ind w:left="1440" w:hanging="360"/>
      </w:pPr>
    </w:lvl>
    <w:lvl w:ilvl="2" w:tplc="36585A4E">
      <w:start w:val="1"/>
      <w:numFmt w:val="bullet"/>
      <w:lvlText w:val="■"/>
      <w:lvlJc w:val="left"/>
      <w:pPr>
        <w:ind w:left="2160" w:hanging="360"/>
      </w:pPr>
    </w:lvl>
    <w:lvl w:ilvl="3" w:tplc="C4CE9BAA">
      <w:start w:val="1"/>
      <w:numFmt w:val="bullet"/>
      <w:lvlText w:val="●"/>
      <w:lvlJc w:val="left"/>
      <w:pPr>
        <w:ind w:left="2880" w:hanging="360"/>
      </w:pPr>
    </w:lvl>
    <w:lvl w:ilvl="4" w:tplc="6E0C5BFA">
      <w:start w:val="1"/>
      <w:numFmt w:val="bullet"/>
      <w:lvlText w:val="○"/>
      <w:lvlJc w:val="left"/>
      <w:pPr>
        <w:ind w:left="3600" w:hanging="360"/>
      </w:pPr>
    </w:lvl>
    <w:lvl w:ilvl="5" w:tplc="D95C58A4">
      <w:start w:val="1"/>
      <w:numFmt w:val="bullet"/>
      <w:lvlText w:val="■"/>
      <w:lvlJc w:val="left"/>
      <w:pPr>
        <w:ind w:left="4320" w:hanging="360"/>
      </w:pPr>
    </w:lvl>
    <w:lvl w:ilvl="6" w:tplc="1EEC9D08">
      <w:start w:val="1"/>
      <w:numFmt w:val="bullet"/>
      <w:lvlText w:val="●"/>
      <w:lvlJc w:val="left"/>
      <w:pPr>
        <w:ind w:left="5040" w:hanging="360"/>
      </w:pPr>
    </w:lvl>
    <w:lvl w:ilvl="7" w:tplc="B0AE83A6">
      <w:start w:val="1"/>
      <w:numFmt w:val="bullet"/>
      <w:lvlText w:val="●"/>
      <w:lvlJc w:val="left"/>
      <w:pPr>
        <w:ind w:left="5760" w:hanging="360"/>
      </w:pPr>
    </w:lvl>
    <w:lvl w:ilvl="8" w:tplc="20F47D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1D00D9"/>
    <w:multiLevelType w:val="hybridMultilevel"/>
    <w:tmpl w:val="8242C6E4"/>
    <w:lvl w:ilvl="0" w:tplc="C870E5DA">
      <w:start w:val="1"/>
      <w:numFmt w:val="bullet"/>
      <w:lvlText w:val="•"/>
      <w:lvlJc w:val="left"/>
      <w:pPr>
        <w:ind w:left="720" w:hanging="360"/>
      </w:pPr>
    </w:lvl>
    <w:lvl w:ilvl="1" w:tplc="586A6142">
      <w:numFmt w:val="decimal"/>
      <w:lvlText w:val=""/>
      <w:lvlJc w:val="left"/>
    </w:lvl>
    <w:lvl w:ilvl="2" w:tplc="997C937E">
      <w:numFmt w:val="decimal"/>
      <w:lvlText w:val=""/>
      <w:lvlJc w:val="left"/>
    </w:lvl>
    <w:lvl w:ilvl="3" w:tplc="D4FEA53A">
      <w:numFmt w:val="decimal"/>
      <w:lvlText w:val=""/>
      <w:lvlJc w:val="left"/>
    </w:lvl>
    <w:lvl w:ilvl="4" w:tplc="3BBA99AC">
      <w:numFmt w:val="decimal"/>
      <w:lvlText w:val=""/>
      <w:lvlJc w:val="left"/>
    </w:lvl>
    <w:lvl w:ilvl="5" w:tplc="D72A2826">
      <w:numFmt w:val="decimal"/>
      <w:lvlText w:val=""/>
      <w:lvlJc w:val="left"/>
    </w:lvl>
    <w:lvl w:ilvl="6" w:tplc="A0266B26">
      <w:numFmt w:val="decimal"/>
      <w:lvlText w:val=""/>
      <w:lvlJc w:val="left"/>
    </w:lvl>
    <w:lvl w:ilvl="7" w:tplc="08D2DE3C">
      <w:numFmt w:val="decimal"/>
      <w:lvlText w:val=""/>
      <w:lvlJc w:val="left"/>
    </w:lvl>
    <w:lvl w:ilvl="8" w:tplc="2878DD8C">
      <w:numFmt w:val="decimal"/>
      <w:lvlText w:val=""/>
      <w:lvlJc w:val="left"/>
    </w:lvl>
  </w:abstractNum>
  <w:num w:numId="1" w16cid:durableId="1485774937">
    <w:abstractNumId w:val="0"/>
    <w:lvlOverride w:ilvl="0">
      <w:startOverride w:val="1"/>
    </w:lvlOverride>
  </w:num>
  <w:num w:numId="2" w16cid:durableId="12810344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93C"/>
    <w:rsid w:val="000B4FE9"/>
    <w:rsid w:val="004F293C"/>
    <w:rsid w:val="0053678E"/>
    <w:rsid w:val="00666782"/>
    <w:rsid w:val="00731BA2"/>
    <w:rsid w:val="00863B1E"/>
    <w:rsid w:val="008B637B"/>
    <w:rsid w:val="00D16659"/>
    <w:rsid w:val="00D8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58CC"/>
  <w15:docId w15:val="{4C932D02-EF85-4018-B012-EDC62F4A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4639</Words>
  <Characters>27421</Characters>
  <Application>Microsoft Office Word</Application>
  <DocSecurity>0</DocSecurity>
  <Lines>1054</Lines>
  <Paragraphs>728</Paragraphs>
  <ScaleCrop>false</ScaleCrop>
  <Company/>
  <LinksUpToDate>false</LinksUpToDate>
  <CharactersWithSpaces>31332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ampsson ampsson</cp:lastModifiedBy>
  <cp:revision>7</cp:revision>
  <dcterms:created xsi:type="dcterms:W3CDTF">2026-03-11T02:25:00Z</dcterms:created>
  <dcterms:modified xsi:type="dcterms:W3CDTF">2026-03-12T06:53:00Z</dcterms:modified>
</cp:coreProperties>
</file>