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60"/>
        <w:jc w:val="center"/>
      </w:pPr>
      <w:r>
        <w:rPr>
          <w:rFonts w:ascii="Arial" w:cs="Arial" w:eastAsia="Arial" w:hAnsi="Arial"/>
          <w:b/>
          <w:bCs/>
          <w:color w:val="1B3A5C"/>
          <w:sz w:val="48"/>
          <w:szCs w:val="48"/>
        </w:rPr>
        <w:t xml:space="preserve">WORKDAY, INC.</w:t>
      </w:r>
    </w:p>
    <w:p>
      <w:pPr>
        <w:spacing w:after="60"/>
        <w:jc w:val="center"/>
      </w:pPr>
      <w:r>
        <w:rPr>
          <w:rFonts w:ascii="Arial" w:cs="Arial" w:eastAsia="Arial" w:hAnsi="Arial"/>
          <w:color w:val="2E75B6"/>
          <w:sz w:val="32"/>
          <w:szCs w:val="32"/>
        </w:rPr>
        <w:t xml:space="preserve">NASDAQ: WDAY</w:t>
      </w:r>
    </w:p>
    <w:p>
      <w:pPr>
        <w:spacing w:after="120" w:before="120"/>
      </w:pPr>
    </w:p>
    <w:p>
      <w:pPr>
        <w:spacing w:after="120"/>
        <w:jc w:val="center"/>
      </w:pPr>
      <w:r>
        <w:rPr>
          <w:rFonts w:ascii="Arial" w:cs="Arial" w:eastAsia="Arial" w:hAnsi="Arial"/>
          <w:b/>
          <w:bCs/>
          <w:color w:val="4A4A4A"/>
          <w:sz w:val="28"/>
          <w:szCs w:val="28"/>
        </w:rPr>
        <w:t xml:space="preserve">SaaS Antifragility Framework v2.0</w:t>
      </w:r>
    </w:p>
    <w:p>
      <w:pPr>
        <w:spacing w:after="60"/>
        <w:jc w:val="center"/>
      </w:pPr>
      <w:r>
        <w:rPr>
          <w:rFonts w:ascii="Arial" w:cs="Arial" w:eastAsia="Arial" w:hAnsi="Arial"/>
          <w:color w:val="4A4A4A"/>
          <w:sz w:val="22"/>
          <w:szCs w:val="22"/>
        </w:rPr>
        <w:t xml:space="preserve">Stoffel-Feroldi × Bustamante</w:t>
      </w:r>
    </w:p>
    <w:p>
      <w:pPr>
        <w:jc w:val="center"/>
      </w:pPr>
      <w:r>
        <w:rPr>
          <w:rFonts w:ascii="Arial" w:cs="Arial" w:eastAsia="Arial" w:hAnsi="Arial"/>
          <w:color w:val="4A4A4A"/>
          <w:sz w:val="22"/>
          <w:szCs w:val="22"/>
        </w:rPr>
        <w:t xml:space="preserve">March 2026</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FY2026 Sub Rev</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~$38B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$8.83B (+16%)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$28.1B</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FY2027E Sub Rev</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ACV (Q4)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97%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$9.93B (+12–13%)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$100M+</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Stock Price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 Margin (Non-GAAP)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FCF 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~27%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~28%</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Pre-Screen Verdict: PROCEED WITH HIGH CONFIDENCE</w:t>
            </w:r>
          </w:p>
        </w:tc>
      </w:tr>
    </w:tbl>
    <w:p>
      <w:r>
        <w:br w:type="page"/>
      </w:r>
    </w:p>
    <w:p>
      <w:pPr>
        <w:pStyle w:val="Heading1"/>
      </w:pPr>
      <w:r>
        <w:t xml:space="preserve">STAGE 1: BUSTAMANTE MDI PRE-SCREEN</w:t>
      </w:r>
    </w:p>
    <w:p>
      <w:pPr>
        <w:spacing w:after="120" w:before="60"/>
      </w:pPr>
      <w:r>
        <w:rPr>
          <w:rFonts w:ascii="Arial" w:cs="Arial" w:eastAsia="Arial" w:hAnsi="Arial"/>
          <w:color w:val="4A4A4A"/>
          <w:sz w:val="22"/>
          <w:szCs w:val="22"/>
        </w:rPr>
        <w:t xml:space="preserve">Workday is the leading cloud-native Human Capital Management (HCM) and Enterprise Financial Management platform for large enterprises. The company serves 60%+ of Fortune 500 companies for HCM and is expanding aggressively into enterprise financial planning. Revenue is predominantly subscription-based (~90%) with professional services making up the balance. Co-founder Aneel Bhusri returned as sole CEO in late FY2026, signaling renewed product focus.</w:t>
      </w:r>
    </w:p>
    <w:p>
      <w:pPr>
        <w:spacing w:after="120" w:before="120"/>
      </w:pPr>
    </w:p>
    <w:p>
      <w:pPr>
        <w:pStyle w:val="Heading2"/>
      </w:pPr>
      <w:r>
        <w:t xml:space="preserve">Moats 1–5: Moats Being Destroyed by LLMs</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 Learned Interface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Partially Eroded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has a proprietary UI that HR administrators and finance teams learn over months. However, Workday itself is launching conversational AI interfaces (Workday Assistant, Illuminate AI). The learned interface moat is eroding as the company transitions to natural language interaction. Implementation partners (Accenture, Deloitte, etc.) create secondary interface knowledge lock-in.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2. Custom Workflows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Intact</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Enterprise HCM workflows are extraordinarily complex: compensation structures, benefits administration, payroll tax calculations across jurisdictions, performance review cycles, succession planning, org restructuring, union contract compliance. These workflows encode decades of employment law, tax code, and organizational logic. LLMs can’t replicate this — the workflows ARE the regulatory compliance. Unlike consumer SaaS, enterprise HCM workflows are not “business logic in code” but “regulatory compliance encoded in software.”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3. Public Data 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N/A</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Workday’s value is not derived from organizing public data. Not applicable.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4. Talent Scarcity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Intact</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Enterprise HCM/ERP replacement is not a market where small AI-native teams can compete. Implementations take 6–18 months, require deep integration expertise, and demand compliance validation. No credible AI-native competitor has entered enterprise HCM in 24 months. Rippling targets SMB/mid-market (different TAM). Deel targets global payroll (complementary/adjacent). The moat that was “inverted” in consumer SaaS remains intact in enterprise HCM.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5. Bundling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Strengthening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Workday’s HCM + Financials + Planning + Analytics bundle is strengthening, not weakening. Cross-selling from HCM into Financials is a key growth driver. The bundle creates data continuity (headcount planning flows into financial planning flows into workforce analytics). AI agents can’t easily unbundle this because the value is in cross-module data integration, not individual feature capability.</w:t>
            </w:r>
          </w:p>
        </w:tc>
      </w:tr>
    </w:tbl>
    <w:p>
      <w:pPr>
        <w:spacing w:after="120" w:before="120"/>
      </w:pPr>
    </w:p>
    <w:p>
      <w:pPr>
        <w:pStyle w:val="Heading2"/>
      </w:pPr>
      <w:r>
        <w:t xml:space="preserve">Moats 6–10: Structural Moats Assessment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6. Proprietary Data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Strengthening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holds employee data for 60%+ of Fortune 500: compensation benchmarks, attrition patterns, skills taxonomies, workforce demographics, performance distributions. This data powers Workday’s AI (Illuminate) with anonymized, aggregated workforce intelligence that no competitor can replicate. The data is genuinely proprietary — it was generated by customers using the platform over 20+ years.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7. Regulatory Lock-in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Structural</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processes payroll (tax withholding, W-2/1099 generation, ACA reporting, EEOC compliance, GDPR/privacy regulations for global workforce). The software itself IS regulatory compliance. Switching HCM systems requires re-validating every payroll calculation, every tax jurisdiction mapping, every benefits administration rule, every compliance report. A payroll error at scale (e.g., incorrect withholding for 50,000 employees) is a compliance catastrophe. SOC 1/SOC 2, FedRAMP authorized.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8. Network Effects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Partial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Not a classic two-sided network. However, Workday’s ecosystem of ~200+ implementation partners and 600,000+ certified consultants creates an indirect network effect. Workday Community (knowledge base, best practices) creates practitioner lock-in. The more companies on Workday, the more partners invest in Workday skills, the more attractive Workday becomes. This is a weaker network effect than BILL’s payment network but stronger than typical SaaS scale effects.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9. Transaction Embedding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Deeply Embedded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processes payroll — the most critical recurring financial transaction for any enterprise. Every pay cycle, Workday calculates gross-to-net pay, withholds taxes across multiple jurisdictions, processes direct deposits, and generates compliance reports. Turning off Workday means employees don’t get paid. This is arguably the deepest transaction embedding in enterprise SaaS: payroll failure is immediate, visible, and legally consequential.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10. System of Record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is THE system of record for employee data, payroll history, benefits enrollment, performance reviews, and organizational hierarchy for thousands of large enterprises. Migration risk is extreme: corrupted payroll records could result in incorrect tax filings (IRS penalties), lost benefits enrollment data (ERISA liability), or broken compliance audit trails. No enterprise takes this risk lightly. Agent memory risk: LOW (5–10 year horizon — employee data is too sensitive for agent memory layers).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MDI Score: 4.5/5 Intact Structural Moats — LOWER RISK</w:t>
            </w:r>
          </w:p>
        </w:tc>
      </w:tr>
    </w:tbl>
    <w:p>
      <w:pPr>
        <w:spacing w:after="120" w:before="120"/>
      </w:pPr>
    </w:p>
    <w:p>
      <w:pPr>
        <w:spacing w:after="120" w:before="60"/>
      </w:pPr>
      <w:r>
        <w:rPr>
          <w:rFonts w:ascii="Arial" w:cs="Arial" w:eastAsia="Arial" w:hAnsi="Arial"/>
          <w:color w:val="4A4A4A"/>
          <w:sz w:val="22"/>
          <w:szCs w:val="22"/>
        </w:rPr>
        <w:t xml:space="preserve">Network effects scored as 0.5 (partial) rather than a full moat. All other structural moats are fully intact or strengthening.</w:t>
      </w:r>
    </w:p>
    <w:p>
      <w:pPr>
        <w:spacing w:after="120" w:before="120"/>
      </w:pPr>
    </w:p>
    <w:p>
      <w:pPr>
        <w:pStyle w:val="Heading2"/>
      </w:pPr>
      <w:r>
        <w:t xml:space="preserve">MDI Three-Question Test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Q1: Is the core data proprietary?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Q2: Is there regulatory lock-in?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Q3: Is the software embedded in the transaction?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bl>
    <w:p>
      <w:pPr>
        <w:spacing w:after="120" w:before="120"/>
      </w:pPr>
    </w:p>
    <w:p>
      <w:pPr>
        <w:spacing w:after="120" w:before="60"/>
      </w:pPr>
      <w:r>
        <w:rPr>
          <w:rFonts w:ascii="Arial" w:cs="Arial" w:eastAsia="Arial" w:hAnsi="Arial"/>
          <w:b/>
          <w:bCs/>
          <w:color w:val="4A4A4A"/>
          <w:sz w:val="22"/>
          <w:szCs w:val="22"/>
        </w:rPr>
        <w:t xml:space="preserve">Three-Question Score: </w:t>
      </w:r>
      <w:r>
        <w:rPr>
          <w:rFonts w:ascii="Arial" w:cs="Arial" w:eastAsia="Arial" w:hAnsi="Arial"/>
          <w:color w:val="4A4A4A"/>
          <w:sz w:val="22"/>
          <w:szCs w:val="22"/>
        </w:rPr>
        <w:t xml:space="preserve">3/3 — LOWER RISK. Workday passes all three tests convincingly. Proprietary workforce data, payroll regulatory compliance, and deep payroll transaction embedding.</w:t>
      </w:r>
    </w:p>
    <w:p>
      <w:pPr>
        <w:spacing w:after="120" w:before="120"/>
      </w:pPr>
    </w:p>
    <w:p>
      <w:pPr>
        <w:pStyle w:val="Heading2"/>
      </w:pPr>
      <w:r>
        <w:t xml:space="preserve">Competitive Pressure Assessment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2660"/>
        <w:gridCol w:w="24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Funding/Val</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SAP SuccessFactors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Enterprise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$250B+ (SAP)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Full HCM + ERP suite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HIGH (primary rival)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Oracle HCM Cloud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Enterprise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$440B+ (ORCL)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HCM + ERP + database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HIGH (database lock-in)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Rippling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SMB/Mid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$13.5B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Unified HR + IT +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F57F17"/>
                <w:sz w:val="20"/>
                <w:szCs w:val="20"/>
              </w:rPr>
              <w:t xml:space="preserve">MEDIUM (diff. segment)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Deel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Global payroll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$12B</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Global payroll + EOR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LOW (complementary)</w:t>
            </w:r>
          </w:p>
        </w:tc>
      </w:tr>
    </w:tbl>
    <w:p>
      <w:pPr>
        <w:spacing w:after="120" w:before="120"/>
      </w:pPr>
    </w:p>
    <w:p>
      <w:pPr>
        <w:spacing w:after="120" w:before="60"/>
      </w:pPr>
      <w:r>
        <w:rPr>
          <w:rFonts w:ascii="Arial" w:cs="Arial" w:eastAsia="Arial" w:hAnsi="Arial"/>
          <w:color w:val="4A4A4A"/>
          <w:sz w:val="22"/>
          <w:szCs w:val="22"/>
        </w:rPr>
        <w:t xml:space="preserve">Estimated AI-native entrants targeting enterprise HCM in last 24 months: 0–2 credible. Disruption stage: EARLY. Enterprise HCM is structurally resistant to disruption from small teams. The competitors are legacy incumbents (SAP, Oracle), not AI-native startups. This is the opposite of the pattern seen in consumer SaaS, where dozens of AI-native entrants appear monthly.</w:t>
      </w:r>
    </w:p>
    <w:p>
      <w:pPr>
        <w:spacing w:after="120" w:before="120"/>
      </w:pPr>
    </w:p>
    <w:p>
      <w:pPr>
        <w:spacing w:after="120" w:before="60"/>
      </w:pPr>
      <w:r>
        <w:rPr>
          <w:rFonts w:ascii="Arial" w:cs="Arial" w:eastAsia="Arial" w:hAnsi="Arial"/>
          <w:color w:val="4A4A4A"/>
          <w:sz w:val="22"/>
          <w:szCs w:val="22"/>
        </w:rPr>
        <w:t xml:space="preserve">Horizontal platform threat: LOW-MEDIUM. Microsoft Copilot integrates with HR workflows but cannot replace the payroll engine, compliance layer, or system of record. Copilot enhances Workday (and Workday partners with Microsoft on integrations), it doesn’t compete with it. No AI horizontal platform is targeting enterprise payroll processing.</w:t>
      </w:r>
    </w:p>
    <w:p>
      <w:r>
        <w:br w:type="page"/>
      </w:r>
    </w:p>
    <w:p>
      <w:pPr>
        <w:pStyle w:val="Heading1"/>
      </w:pPr>
      <w:r>
        <w:t xml:space="preserve">STAGE 2: STOFFEL-FEROLDI DIMENSION SCORING</w:t>
      </w:r>
    </w:p>
    <w:p>
      <w:pPr>
        <w:spacing w:after="120" w:before="120"/>
      </w:pP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D1: Liability Shield (15%)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Payroll errors have immediate, measurable, and legally consequential impact. Incorrect tax withholding triggers IRS penalties. Missed payroll triggers Department of Labor investigations and potential lawsuits. Benefits administration errors create ERISA liability. The liability for switching to an unvalidated HCM system is existential for enterprise HR departments. No CHRO will risk a payroll system migration without 12+ months of parallel testing. Score: 9/10.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D2: Business Model (30%)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Subscription-based with 97% GRR — best-in-class retention. Revenue scales with headcount (more employees = higher subscription). AI features (Illuminate) are generating $100M+ ACV in Q4, showing monetization ability. $28.1B backlog provides multi-year visibility. However, growth is decelerating (16% → 12–13%), and the subscription model is not consumption-based. AI agents don’t generate incremental revenue the way they do for consumption models. FY2027 guidance of $9.93B at 12–13% growth. Score: 7/10.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D3: Physical Integration (15%)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Workday processes payroll — the most critical recurring financial operation for any enterprise. It calculates taxes, processes direct deposits, generates W-2s/1099s, administers benefits deductions, and files compliance reports. Turning off Workday means employees don’t get paid and the company falls out of tax compliance. This is infrastructure-level embedding comparable to BILL’s payment processing. Score: 9/10.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D4: Network &amp; Data Gravity (40%)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Proprietary workforce data from 60%+ of Fortune 500 is the most valuable HR dataset in existence. Powers Illuminate AI with compensation benchmarks, attrition prediction, skills gap analysis. Implementation partner ecosystem (200+ partners, 600K+ consultants) creates distribution network effects. Data gravity is high — 20+ years of payroll history, performance data, org charts cannot be easily migrated. However, the network effect is indirect (ecosystem), not direct (two-sided marketplace). Score: 7/10.</w:t>
            </w:r>
          </w:p>
        </w:tc>
      </w:tr>
    </w:tbl>
    <w:p>
      <w:pPr>
        <w:spacing w:after="120" w:before="120"/>
      </w:pPr>
    </w:p>
    <w:p>
      <w:pPr>
        <w:spacing w:after="120" w:before="60"/>
      </w:pPr>
      <w:r>
        <w:rPr>
          <w:rFonts w:ascii="Arial" w:cs="Arial" w:eastAsia="Arial" w:hAnsi="Arial"/>
          <w:b/>
          <w:bCs/>
          <w:color w:val="4A4A4A"/>
          <w:sz w:val="22"/>
          <w:szCs w:val="22"/>
        </w:rPr>
        <w:t xml:space="preserve">Raw Composite: </w:t>
      </w:r>
      <w:r>
        <w:rPr>
          <w:rFonts w:ascii="Arial" w:cs="Arial" w:eastAsia="Arial" w:hAnsi="Arial"/>
          <w:color w:val="4A4A4A"/>
          <w:sz w:val="22"/>
          <w:szCs w:val="22"/>
        </w:rPr>
        <w:t xml:space="preserve">(9 × 0.15) + (7 × 0.30) + (9 × 0.15) + (7 × 0.40) = 1.35 + 2.10 + 1.35 + 2.80 = 7.60 / 10</w:t>
      </w:r>
    </w:p>
    <w:p>
      <w:pPr>
        <w:spacing w:after="120" w:before="120"/>
      </w:pPr>
    </w:p>
    <w:p>
      <w:pPr>
        <w:pStyle w:val="Heading2"/>
      </w:pPr>
      <w:r>
        <w:t xml:space="preserve">Modifiers</w:t>
      </w:r>
    </w:p>
    <w:p>
      <w:pPr>
        <w:spacing w:after="120" w:before="60"/>
      </w:pPr>
      <w:r>
        <w:rPr>
          <w:rFonts w:ascii="Arial" w:cs="Arial" w:eastAsia="Arial" w:hAnsi="Arial"/>
          <w:b/>
          <w:bCs/>
          <w:color w:val="4A4A4A"/>
          <w:sz w:val="22"/>
          <w:szCs w:val="22"/>
        </w:rPr>
        <w:t xml:space="preserve">DIP (Data Integrity Premium): </w:t>
      </w:r>
      <w:r>
        <w:rPr>
          <w:rFonts w:ascii="Arial" w:cs="Arial" w:eastAsia="Arial" w:hAnsi="Arial"/>
          <w:color w:val="4A4A4A"/>
          <w:sz w:val="22"/>
          <w:szCs w:val="22"/>
        </w:rPr>
        <w:t xml:space="preserve">+1.0 — Payroll regulatory compliance is the strongest DIP in our coverage. SOC 1/SOC 2 Type II, FedRAMP authorized, GDPR compliant. Multi-jurisdiction payroll tax validation. ACA compliance reporting. EEOC reporting. The compliance validation required to switch HCM systems takes 12–18 months minimum. DIP Score: 4/5.</w:t>
      </w:r>
    </w:p>
    <w:p>
      <w:pPr>
        <w:spacing w:after="120" w:before="60"/>
      </w:pPr>
      <w:r>
        <w:rPr>
          <w:rFonts w:ascii="Arial" w:cs="Arial" w:eastAsia="Arial" w:hAnsi="Arial"/>
          <w:b/>
          <w:bCs/>
          <w:color w:val="4A4A4A"/>
          <w:sz w:val="22"/>
          <w:szCs w:val="22"/>
        </w:rPr>
        <w:t xml:space="preserve">CPP (Counter-Positioning Potential): </w:t>
      </w:r>
      <w:r>
        <w:rPr>
          <w:rFonts w:ascii="Arial" w:cs="Arial" w:eastAsia="Arial" w:hAnsi="Arial"/>
          <w:color w:val="4A4A4A"/>
          <w:sz w:val="22"/>
          <w:szCs w:val="22"/>
        </w:rPr>
        <w:t xml:space="preserve">+0.75 — Illuminate AI ($100M+ ACV in Q4) shows genuine AI monetization. Workday is uniquely positioned to offer AI-powered workforce insights because it has the proprietary data to train models that competitors cannot access. Workforce benchmarking and skills taxonomy AI are potential platform advantages. However, execution risk remains — $100M ACV is small relative to $9B+ subscription base. CPP Score: 6/12.</w:t>
      </w:r>
    </w:p>
    <w:p>
      <w:pPr>
        <w:spacing w:after="120" w:before="120"/>
      </w:pPr>
    </w:p>
    <w:p>
      <w:pPr>
        <w:spacing w:after="120" w:before="60"/>
      </w:pPr>
      <w:r>
        <w:rPr>
          <w:rFonts w:ascii="Arial" w:cs="Arial" w:eastAsia="Arial" w:hAnsi="Arial"/>
          <w:b/>
          <w:bCs/>
          <w:color w:val="4A4A4A"/>
          <w:sz w:val="22"/>
          <w:szCs w:val="22"/>
        </w:rPr>
        <w:t xml:space="preserve">Final Composite: </w:t>
      </w:r>
      <w:r>
        <w:rPr>
          <w:rFonts w:ascii="Arial" w:cs="Arial" w:eastAsia="Arial" w:hAnsi="Arial"/>
          <w:color w:val="4A4A4A"/>
          <w:sz w:val="22"/>
          <w:szCs w:val="22"/>
        </w:rPr>
        <w:t xml:space="preserve">7.60 + 1.0 + 0.75 = 9.35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FINAL CLASSIFICATION: ANTIFRAGILE (9.35/10)</w:t>
            </w:r>
          </w:p>
        </w:tc>
      </w:tr>
    </w:tbl>
    <w:p>
      <w:r>
        <w:br w:type="page"/>
      </w:r>
    </w:p>
    <w:p>
      <w:pPr>
        <w:pStyle w:val="Heading1"/>
      </w:pPr>
      <w:r>
        <w:t xml:space="preserve">VALUATION GATE</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 (Antifragile)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WDAY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NTM EV/Revenue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 15x (20x stretch w/ catalyst)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~3.5x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EV/Subscription Rev</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Context metric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~3.8x</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Valuation Gate: WIDE OPEN — Deeply undervalued for ANTIFRAGILE classification</w:t>
            </w:r>
          </w:p>
        </w:tc>
      </w:tr>
    </w:tbl>
    <w:p>
      <w:pPr>
        <w:spacing w:after="120" w:before="120"/>
      </w:pPr>
    </w:p>
    <w:p>
      <w:pPr>
        <w:spacing w:after="120" w:before="60"/>
      </w:pPr>
      <w:r>
        <w:rPr>
          <w:rFonts w:ascii="Arial" w:cs="Arial" w:eastAsia="Arial" w:hAnsi="Arial"/>
          <w:color w:val="4A4A4A"/>
          <w:sz w:val="22"/>
          <w:szCs w:val="22"/>
        </w:rPr>
        <w:t xml:space="preserve">At ~3.5x NTM EV/Revenue, Workday trades at a massive discount to the 15x ANTIFRAGILE threshold. A company with 97% GRR, $28.1B backlog, regulatory lock-in, and payroll transaction embedding is priced like a declining legacy vendor. The market is pricing the growth deceleration narrative (16% → 12–13%) without recognizing the structural moat quality and annuity-like revenue stream.</w:t>
      </w:r>
    </w:p>
    <w:p>
      <w:r>
        <w:br w:type="page"/>
      </w:r>
    </w:p>
    <w:p>
      <w:pPr>
        <w:pStyle w:val="Heading1"/>
      </w:pPr>
      <w:r>
        <w:t xml:space="preserve">SCENARIO MODELING</w:t>
      </w:r>
    </w:p>
    <w:p>
      <w:pPr>
        <w:spacing w:after="120" w:before="60"/>
      </w:pPr>
      <w:r>
        <w:rPr>
          <w:rFonts w:ascii="Arial" w:cs="Arial" w:eastAsia="Arial" w:hAnsi="Arial"/>
          <w:b/>
          <w:bCs/>
          <w:color w:val="4A4A4A"/>
          <w:sz w:val="22"/>
          <w:szCs w:val="22"/>
        </w:rPr>
        <w:t xml:space="preserve">Bull Case (30% probability): </w:t>
      </w:r>
      <w:r>
        <w:rPr>
          <w:rFonts w:ascii="Arial" w:cs="Arial" w:eastAsia="Arial" w:hAnsi="Arial"/>
          <w:color w:val="4A4A4A"/>
          <w:sz w:val="22"/>
          <w:szCs w:val="22"/>
        </w:rPr>
        <w:t xml:space="preserve">Illuminate AI accelerates cross-sell into Financials/Planning. AI ACV scales from $100M to $500M+ by FY2028. Bhusri’s return as CEO reinvigorates product innovation. Subscription revenue growth re-accelerates to 15%+ via expanded TAM. Multiple re-rates to 6–8x. 70–100% upside. Requires: Successful AI monetization, Financials cross-sell acceleration, margin expansion.</w:t>
      </w:r>
    </w:p>
    <w:p>
      <w:pPr>
        <w:spacing w:after="120" w:before="60"/>
      </w:pPr>
      <w:r>
        <w:rPr>
          <w:rFonts w:ascii="Arial" w:cs="Arial" w:eastAsia="Arial" w:hAnsi="Arial"/>
          <w:b/>
          <w:bCs/>
          <w:color w:val="4A4A4A"/>
          <w:sz w:val="22"/>
          <w:szCs w:val="22"/>
        </w:rPr>
        <w:t xml:space="preserve">Base Case (45% probability): </w:t>
      </w:r>
      <w:r>
        <w:rPr>
          <w:rFonts w:ascii="Arial" w:cs="Arial" w:eastAsia="Arial" w:hAnsi="Arial"/>
          <w:color w:val="4A4A4A"/>
          <w:sz w:val="22"/>
          <w:szCs w:val="22"/>
        </w:rPr>
        <w:t xml:space="preserve">Steady execution at 12–13% subscription growth. AI features enhance retention and modest upsell. Backlog converts predictably. Operating margins expand toward 30%+. Subscription revenue reaches $11B+ by FY2028. Multiple holds at 4–5x. 25–40% upside.</w:t>
      </w:r>
    </w:p>
    <w:p>
      <w:pPr>
        <w:spacing w:after="120" w:before="60"/>
      </w:pPr>
      <w:r>
        <w:rPr>
          <w:rFonts w:ascii="Arial" w:cs="Arial" w:eastAsia="Arial" w:hAnsi="Arial"/>
          <w:b/>
          <w:bCs/>
          <w:color w:val="4A4A4A"/>
          <w:sz w:val="22"/>
          <w:szCs w:val="22"/>
        </w:rPr>
        <w:t xml:space="preserve">Bear Case (25% probability): </w:t>
      </w:r>
      <w:r>
        <w:rPr>
          <w:rFonts w:ascii="Arial" w:cs="Arial" w:eastAsia="Arial" w:hAnsi="Arial"/>
          <w:color w:val="4A4A4A"/>
          <w:sz w:val="22"/>
          <w:szCs w:val="22"/>
        </w:rPr>
        <w:t xml:space="preserve">Growth decelerates further to 8–10%. Oracle/SAP win more competitive deals. AI features fail to generate meaningful incremental revenue. Multiple compresses to 3x or below. However, 97% GRR and $28.1B backlog create a floor — revenue erosion is structurally slow even in the worst case.</w:t>
      </w:r>
    </w:p>
    <w:p>
      <w:r>
        <w:br w:type="page"/>
      </w:r>
    </w:p>
    <w:p>
      <w:pPr>
        <w:pStyle w:val="Heading1"/>
      </w:pPr>
      <w:r>
        <w:t xml:space="preserve">FINAL VERDICT</w:t>
      </w:r>
    </w:p>
    <w:tbl>
      <w:tblPr>
        <w:tblW w:type="auto"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MDI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4.5/5 — Strong structural moats (partial network effects)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Three-Question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3/3 — LOWER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Final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9.35/10 — ANTIFRAGILE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Valuation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WIDE OPEN (~3.5x vs 15x max for Antifragile)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Investment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STRONG BUY — Fortress-class HCM moats at deeply discounted valuation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Position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3–5% — Highest-conviction ANTIFRAGILE in SaaS coverage</w:t>
            </w:r>
          </w:p>
        </w:tc>
      </w:tr>
    </w:tbl>
    <w:p>
      <w:pPr>
        <w:spacing w:after="120" w:before="120"/>
      </w:pPr>
    </w:p>
    <w:p>
      <w:pPr>
        <w:spacing w:after="120" w:before="60"/>
      </w:pPr>
      <w:r>
        <w:rPr>
          <w:rFonts w:ascii="Arial" w:cs="Arial" w:eastAsia="Arial" w:hAnsi="Arial"/>
          <w:b/>
          <w:bCs/>
          <w:color w:val="4A4A4A"/>
          <w:sz w:val="22"/>
          <w:szCs w:val="22"/>
        </w:rPr>
        <w:t xml:space="preserve">Thesis: </w:t>
      </w:r>
      <w:r>
        <w:rPr>
          <w:rFonts w:ascii="Arial" w:cs="Arial" w:eastAsia="Arial" w:hAnsi="Arial"/>
          <w:color w:val="4A4A4A"/>
          <w:sz w:val="22"/>
          <w:szCs w:val="22"/>
        </w:rPr>
        <w:t xml:space="preserve">Workday is the most structurally defended enterprise SaaS company in our coverage. Payroll processing creates the deepest possible transaction embedding (employees must get paid), regulatory compliance creates multi-year switching barriers, and proprietary workforce data from 60%+ of Fortune 500 companies creates an AI training advantage no competitor can replicate. At ~3.5x NTM revenue, the market is pricing Workday as if growth deceleration means moat erosion. It doesn’t. A company with 97% GRR and $28.1B backlog doesn’t lose customers — it grows slowly into a larger annuity. The risk/reward at this valuation is compelling.</w:t>
      </w:r>
    </w:p>
    <w:p>
      <w:pPr>
        <w:spacing w:after="120" w:before="120"/>
      </w:pPr>
    </w:p>
    <w:p>
      <w:pPr>
        <w:spacing w:after="120" w:before="60"/>
      </w:pPr>
      <w:r>
        <w:rPr>
          <w:rFonts w:ascii="Arial" w:cs="Arial" w:eastAsia="Arial" w:hAnsi="Arial"/>
          <w:b/>
          <w:bCs/>
          <w:color w:val="4A4A4A"/>
          <w:sz w:val="22"/>
          <w:szCs w:val="22"/>
        </w:rPr>
        <w:t xml:space="preserve">Key Risk: </w:t>
      </w:r>
      <w:r>
        <w:rPr>
          <w:rFonts w:ascii="Arial" w:cs="Arial" w:eastAsia="Arial" w:hAnsi="Arial"/>
          <w:color w:val="4A4A4A"/>
          <w:sz w:val="22"/>
          <w:szCs w:val="22"/>
        </w:rPr>
        <w:t xml:space="preserve">Growth deceleration continues below 10%, Oracle/SAP accelerate cloud HCM share gains, or Bhusri’s return fails to reinvigorate product velocity. At 97% GRR, these risks compress growth, not destroy the business.</w:t>
      </w:r>
    </w:p>
    <w:p>
      <w:pPr>
        <w:spacing w:after="120" w:before="120"/>
      </w:pPr>
    </w:p>
    <w:p>
      <w:pPr>
        <w:spacing w:after="120" w:before="60"/>
      </w:pPr>
      <w:r>
        <w:rPr>
          <w:rFonts w:ascii="Arial" w:cs="Arial" w:eastAsia="Arial" w:hAnsi="Arial"/>
          <w:b/>
          <w:bCs/>
          <w:color w:val="4A4A4A"/>
          <w:sz w:val="22"/>
          <w:szCs w:val="22"/>
        </w:rPr>
        <w:t xml:space="preserve">Kill Switch: </w:t>
      </w:r>
      <w:r>
        <w:rPr>
          <w:rFonts w:ascii="Arial" w:cs="Arial" w:eastAsia="Arial" w:hAnsi="Arial"/>
          <w:color w:val="4A4A4A"/>
          <w:sz w:val="22"/>
          <w:szCs w:val="22"/>
        </w:rPr>
        <w:t xml:space="preserve">Sell if GRR drops below 95%, if competitive losses to Oracle/SAP HCM accelerate (evidenced by declining backlog growth), or if AI ACV stalls below $200M by FY2028.</w:t>
      </w:r>
    </w:p>
    <w:p>
      <w:pPr>
        <w:spacing w:after="120" w:before="120"/>
      </w:pPr>
    </w:p>
    <w:p>
      <w:pPr>
        <w:pBdr>
          <w:top w:val="single" w:color="CCCCCC" w:sz="4" w:space="1"/>
        </w:pBdr>
        <w:spacing w:after="60" w:before="200"/>
      </w:pPr>
      <w:r>
        <w:rPr>
          <w:rFonts w:ascii="Arial" w:cs="Arial" w:eastAsia="Arial" w:hAnsi="Arial"/>
          <w:b/>
          <w:bCs/>
          <w:i/>
          <w:iCs/>
          <w:color w:val="4A4A4A"/>
          <w:sz w:val="18"/>
          <w:szCs w:val="18"/>
        </w:rPr>
        <w:t xml:space="preserve">Disclaimer: </w:t>
      </w:r>
      <w:r>
        <w:rPr>
          <w:rFonts w:ascii="Arial" w:cs="Arial" w:eastAsia="Arial" w:hAnsi="Arial"/>
          <w:i/>
          <w:iCs/>
          <w:color w:val="4A4A4A"/>
          <w:sz w:val="18"/>
          <w:szCs w:val="18"/>
        </w:rPr>
        <w:t xml:space="preserve">This analysis is for educational and research purposes only and does not constitute investment advice. All data sourced from publicly available information including SEC filings, earnings calls, and company press releases. Past performance is not indicative of future results.</w:t>
      </w:r>
    </w:p>
    <w:p>
      <w:pPr>
        <w:spacing w:before="120"/>
      </w:pPr>
      <w:r>
        <w:rPr>
          <w:rFonts w:ascii="Arial" w:cs="Arial" w:eastAsia="Arial" w:hAnsi="Arial"/>
          <w:i/>
          <w:iCs/>
          <w:color w:val="4A4A4A"/>
          <w:sz w:val="18"/>
          <w:szCs w:val="18"/>
        </w:rPr>
        <w:t xml:space="preserve">Analysis Date: March 25, 2026 | Framework: SaaS Antifragility Framework v2.0 (Stoffel-Feroldi × Bustamante) | Generated with AI assistance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4A4A4A"/>
        <w:sz w:val="16"/>
        <w:szCs w:val="16"/>
      </w:rPr>
      <w:t xml:space="preserve">Confidential — For Investment Research Purposes Only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WDAY | Workday Deep-Dive</w:t>
    </w:r>
    <w:r>
      <w:rPr>
        <w:rFonts w:ascii="Arial" w:cs="Arial" w:eastAsia="Arial" w:hAnsi="Arial"/>
        <w:color w:val="4A4A4A"/>
        <w:sz w:val="18"/>
        <w:szCs w:val="18"/>
      </w:rPr>
      <w:t xml:space="preserve">	Stoffel-Feroldi × Bustamante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2026-03-26T05:20:20.063Z</dcterms:created>
  <dcterms:modified xsi:type="dcterms:W3CDTF">2026-03-26T05:20:20.063Z</dcterms:modified>
</cp:coreProperties>
</file>

<file path=docProps/custom.xml><?xml version="1.0" encoding="utf-8"?>
<Properties xmlns="http://schemas.openxmlformats.org/officeDocument/2006/custom-properties" xmlns:vt="http://schemas.openxmlformats.org/officeDocument/2006/docPropsVTypes"/>
</file>