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0F2A44"/>
          <w:sz w:val="36"/>
          <w:szCs w:val="36"/>
        </w:rPr>
        <w:t xml:space="preserve">MEDPACE HOLDINGS, INC. — 10-K REALITY CHECK</w:t>
      </w:r>
    </w:p>
    <w:p>
      <w:r>
        <w:rPr>
          <w:i/>
          <w:iCs/>
          <w:color w:val="555555"/>
          <w:sz w:val="20"/>
          <w:szCs w:val="20"/>
        </w:rPr>
        <w:t xml:space="preserve">Source-locked forensic read of the FY2025 Form 10-K (filed February 10, 2026). Ticker: MEDP. For internal use.</w:t>
      </w:r>
    </w:p>
    <w:p>
      <w:pPr>
        <w:spacing w:after="200"/>
      </w:pPr>
      <w:r>
        <w:rPr>
          <w:color w:val="888888"/>
          <w:sz w:val="18"/>
          <w:szCs w:val="18"/>
        </w:rPr>
        <w:t xml:space="preserve">Prepared: 2026-04-20  |  Analyst: Cowork (Ann)  |  Basis: 10-K only (no cross-filing, no external estimates)</w:t>
      </w:r>
    </w:p>
    <w:p>
      <w:pPr>
        <w:pStyle w:val="Heading1"/>
        <w:spacing w:after="120" w:before="280"/>
      </w:pPr>
      <w:r>
        <w:rPr>
          <w:b/>
          <w:bCs/>
          <w:color w:val="0F2A44"/>
          <w:sz w:val="30"/>
          <w:szCs w:val="30"/>
        </w:rPr>
        <w:t xml:space="preserve">1. Financial lens stamp</w:t>
      </w:r>
    </w:p>
    <w:p>
      <w:pPr>
        <w:spacing w:after="60" w:before="60" w:line="300"/>
      </w:pPr>
      <w:r>
        <w:rPr>
          <w:sz w:val="22"/>
          <w:szCs w:val="22"/>
        </w:rPr>
        <w:t xml:space="preserve">Before reading, one frame: Medpace is a full-service CRO whose reported revenue is GROSS of reimbursed out-of-pocket pass-throughs. That single accounting fact drives most of what looks "off" in FY2025. It means a very good year for drug-company travel, site fees, and lab supplies flowing through Medpace's books looks like it is a very good year for Medpace the operating business. It is not the same thing.</w:t>
      </w:r>
    </w:p>
    <w:p>
      <w:pPr>
        <w:spacing w:after="60" w:before="60" w:line="300"/>
      </w:pPr>
      <w:r>
        <w:rPr>
          <w:sz w:val="22"/>
          <w:szCs w:val="22"/>
        </w:rPr>
        <w:t xml:space="preserve">The base rates that matter in this filing:</w:t>
      </w:r>
    </w:p>
    <w:p>
      <w:pPr>
        <w:pStyle w:val="ListParagraph"/>
        <w:numPr>
          <w:ilvl w:val="0"/>
          <w:numId w:val="1"/>
        </w:numPr>
        <w:spacing w:after="40" w:before="40" w:line="280"/>
      </w:pPr>
      <w:r>
        <w:rPr>
          <w:sz w:val="22"/>
          <w:szCs w:val="22"/>
        </w:rPr>
        <w:t xml:space="preserve">Reported revenue +20.0% to $2,530.2M (10-K p.34).</w:t>
      </w:r>
    </w:p>
    <w:p>
      <w:pPr>
        <w:pStyle w:val="ListParagraph"/>
        <w:numPr>
          <w:ilvl w:val="0"/>
          <w:numId w:val="1"/>
        </w:numPr>
        <w:spacing w:after="40" w:before="40" w:line="280"/>
      </w:pPr>
      <w:r>
        <w:rPr>
          <w:sz w:val="22"/>
          <w:szCs w:val="22"/>
        </w:rPr>
        <w:t xml:space="preserve">Reimbursed out-of-pocket (OOP) expenses +34.6% to $1,037.5M — i.e. pass-through grew $266.8M of the $421.2M total revenue increase = 63.3% of "growth" was pass-through.</w:t>
      </w:r>
    </w:p>
    <w:p>
      <w:pPr>
        <w:pStyle w:val="ListParagraph"/>
        <w:numPr>
          <w:ilvl w:val="0"/>
          <w:numId w:val="1"/>
        </w:numPr>
        <w:spacing w:after="40" w:before="40" w:line="280"/>
      </w:pPr>
      <w:r>
        <w:rPr>
          <w:sz w:val="22"/>
          <w:szCs w:val="22"/>
        </w:rPr>
        <w:t xml:space="preserve">Derived direct-service revenue (total net of OOP) = $1,492.7M vs $1,338.4M, +11.5%. That is the real operating growth rate.</w:t>
      </w:r>
    </w:p>
    <w:p>
      <w:pPr>
        <w:pStyle w:val="ListParagraph"/>
        <w:numPr>
          <w:ilvl w:val="0"/>
          <w:numId w:val="1"/>
        </w:numPr>
        <w:spacing w:after="40" w:before="40" w:line="280"/>
      </w:pPr>
      <w:r>
        <w:rPr>
          <w:sz w:val="22"/>
          <w:szCs w:val="22"/>
        </w:rPr>
        <w:t xml:space="preserve">Net income +11.6% to $451.1M; diluted EPS +21.0% to $15.28 — EPS growth driven by 8%+ share count reduction, not income.</w:t>
      </w:r>
    </w:p>
    <w:p>
      <w:pPr>
        <w:pStyle w:val="ListParagraph"/>
        <w:numPr>
          <w:ilvl w:val="0"/>
          <w:numId w:val="1"/>
        </w:numPr>
        <w:spacing w:after="40" w:before="40" w:line="280"/>
      </w:pPr>
      <w:r>
        <w:rPr>
          <w:sz w:val="22"/>
          <w:szCs w:val="22"/>
        </w:rPr>
        <w:t xml:space="preserve">Backlog $3,027.2M, only +4.3% YoY; NTM conversion $1,890–$1,910M is 62–63% of backlog (vs ~43% implied by prior-year disclosure of performance obligations).</w:t>
      </w:r>
    </w:p>
    <w:p>
      <w:pPr>
        <w:pStyle w:val="ListParagraph"/>
        <w:numPr>
          <w:ilvl w:val="0"/>
          <w:numId w:val="1"/>
        </w:numPr>
        <w:spacing w:after="40" w:before="40" w:line="280"/>
      </w:pPr>
      <w:r>
        <w:rPr>
          <w:sz w:val="22"/>
          <w:szCs w:val="22"/>
        </w:rPr>
        <w:t xml:space="preserve">Net new awards FY25 $2,646.8M = book-to-bill 1.046x (on gross revenue) — essentially parity.</w:t>
      </w:r>
    </w:p>
    <w:p>
      <w:pPr>
        <w:pStyle w:val="ListParagraph"/>
        <w:numPr>
          <w:ilvl w:val="0"/>
          <w:numId w:val="1"/>
        </w:numPr>
        <w:spacing w:after="40" w:before="40" w:line="280"/>
      </w:pPr>
      <w:r>
        <w:rPr>
          <w:sz w:val="22"/>
          <w:szCs w:val="22"/>
        </w:rPr>
        <w:t xml:space="preserve">Cash down $172M to $497M despite $451M of net income — company spent $917.4M on share repurchases (cash-flow statement) vs authorized and $912.9M at-face on 2.96M shares.</w:t>
      </w:r>
    </w:p>
    <w:p>
      <w:pPr>
        <w:spacing w:after="60" w:before="20"/>
      </w:pPr>
      <w:r>
        <w:rPr>
          <w:i/>
          <w:iCs/>
          <w:color w:val="6A6A6A"/>
          <w:sz w:val="18"/>
          <w:szCs w:val="18"/>
        </w:rPr>
        <w:t xml:space="preserve">Sources: 10-K Consolidated Statements of Operations (p.48), MD&amp;A Results of Operations (p.34–36), Segment Disclosures (p.74), Consolidated Statements of Cash Flows (p.51), Shareholders' Equity Note 9.</w:t>
      </w:r>
    </w:p>
    <w:p>
      <w:pPr>
        <w:pStyle w:val="Heading1"/>
        <w:spacing w:after="120" w:before="280"/>
      </w:pPr>
      <w:r>
        <w:rPr>
          <w:b/>
          <w:bCs/>
          <w:color w:val="0F2A44"/>
          <w:sz w:val="30"/>
          <w:szCs w:val="30"/>
        </w:rPr>
        <w:t xml:space="preserve">2. Anomaly log</w:t>
      </w:r>
    </w:p>
    <w:p>
      <w:pPr>
        <w:spacing w:after="60" w:before="60" w:line="300"/>
      </w:pPr>
      <w:r>
        <w:rPr>
          <w:sz w:val="22"/>
          <w:szCs w:val="22"/>
        </w:rPr>
        <w:t xml:space="preserve">Items flagged during a skeptical second-pass read. Ranked by how material they would be to a 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5%"/>
            <w:shd w:fill="0F2A44" w:color="auto" w:val="clear"/>
          </w:tcPr>
          <w:p>
            <w:pPr>
              <w:jc w:val="center"/>
            </w:pPr>
            <w:r>
              <w:rPr>
                <w:b/>
                <w:bCs/>
                <w:color w:val="FFFFFF"/>
                <w:sz w:val="20"/>
                <w:szCs w:val="20"/>
              </w:rPr>
              <w:t xml:space="preserve">#</w:t>
            </w:r>
          </w:p>
        </w:tc>
        <w:tc>
          <w:tcPr>
            <w:tcW w:type="pct" w:w="30%"/>
            <w:shd w:fill="0F2A44" w:color="auto" w:val="clear"/>
          </w:tcPr>
          <w:p>
            <w:pPr>
              <w:jc w:val="left"/>
            </w:pPr>
            <w:r>
              <w:rPr>
                <w:b/>
                <w:bCs/>
                <w:color w:val="FFFFFF"/>
                <w:sz w:val="20"/>
                <w:szCs w:val="20"/>
              </w:rPr>
              <w:t xml:space="preserve">Anomaly</w:t>
            </w:r>
          </w:p>
        </w:tc>
        <w:tc>
          <w:tcPr>
            <w:tcW w:type="pct" w:w="50%"/>
            <w:shd w:fill="0F2A44" w:color="auto" w:val="clear"/>
          </w:tcPr>
          <w:p>
            <w:pPr>
              <w:jc w:val="left"/>
            </w:pPr>
            <w:r>
              <w:rPr>
                <w:b/>
                <w:bCs/>
                <w:color w:val="FFFFFF"/>
                <w:sz w:val="20"/>
                <w:szCs w:val="20"/>
              </w:rPr>
              <w:t xml:space="preserve">Why it matters</w:t>
            </w:r>
          </w:p>
        </w:tc>
        <w:tc>
          <w:tcPr>
            <w:tcW w:type="pct" w:w="15%"/>
            <w:shd w:fill="0F2A44" w:color="auto" w:val="clear"/>
          </w:tcPr>
          <w:p>
            <w:pPr>
              <w:jc w:val="center"/>
            </w:pPr>
            <w:r>
              <w:rPr>
                <w:b/>
                <w:bCs/>
                <w:color w:val="FFFFFF"/>
                <w:sz w:val="20"/>
                <w:szCs w:val="20"/>
              </w:rPr>
              <w:t xml:space="preserve">Severity</w:t>
            </w:r>
          </w:p>
        </w:tc>
      </w:tr>
      <w:tr>
        <w:tc>
          <w:tcPr>
            <w:tcW w:type="pct" w:w="5%"/>
          </w:tcPr>
          <w:p>
            <w:pPr>
              <w:jc w:val="center"/>
            </w:pPr>
            <w:r>
              <w:rPr>
                <w:color w:val="000000"/>
                <w:sz w:val="20"/>
                <w:szCs w:val="20"/>
              </w:rPr>
              <w:t xml:space="preserve">A1</w:t>
            </w:r>
          </w:p>
        </w:tc>
        <w:tc>
          <w:tcPr>
            <w:tcW w:type="pct" w:w="30%"/>
          </w:tcPr>
          <w:p>
            <w:pPr>
              <w:jc w:val="left"/>
            </w:pPr>
            <w:r>
              <w:rPr>
                <w:color w:val="000000"/>
                <w:sz w:val="20"/>
                <w:szCs w:val="20"/>
              </w:rPr>
              <w:t xml:space="preserve">Pass-through OOP revenue grew +34.6% ($266.8M) vs direct-service revenue +11.5% ($154.3M). 63% of reported revenue growth was non-economic pass-through.</w:t>
            </w:r>
          </w:p>
        </w:tc>
        <w:tc>
          <w:tcPr>
            <w:tcW w:type="pct" w:w="50%"/>
          </w:tcPr>
          <w:p>
            <w:pPr>
              <w:jc w:val="left"/>
            </w:pPr>
            <w:r>
              <w:rPr>
                <w:color w:val="000000"/>
                <w:sz w:val="20"/>
                <w:szCs w:val="20"/>
              </w:rPr>
              <w:t xml:space="preserve">Reported "20% revenue growth" overstates underlying business growth by ~2x. A multiple on reported revenue implicitly pays for pass-through.</w:t>
            </w:r>
          </w:p>
        </w:tc>
        <w:tc>
          <w:tcPr>
            <w:tcW w:type="pct" w:w="15%"/>
          </w:tcPr>
          <w:p>
            <w:pPr>
              <w:jc w:val="center"/>
            </w:pPr>
            <w:r>
              <w:rPr>
                <w:b/>
                <w:bCs/>
                <w:color w:val="AA2222"/>
                <w:sz w:val="20"/>
                <w:szCs w:val="20"/>
              </w:rPr>
              <w:t xml:space="preserve">HIGH</w:t>
            </w:r>
          </w:p>
        </w:tc>
      </w:tr>
      <w:tr>
        <w:tc>
          <w:tcPr>
            <w:tcW w:type="pct" w:w="5%"/>
          </w:tcPr>
          <w:p>
            <w:pPr>
              <w:jc w:val="center"/>
            </w:pPr>
            <w:r>
              <w:rPr>
                <w:color w:val="000000"/>
                <w:sz w:val="20"/>
                <w:szCs w:val="20"/>
              </w:rPr>
              <w:t xml:space="preserve">A2</w:t>
            </w:r>
          </w:p>
        </w:tc>
        <w:tc>
          <w:tcPr>
            <w:tcW w:type="pct" w:w="30%"/>
          </w:tcPr>
          <w:p>
            <w:pPr>
              <w:jc w:val="left"/>
            </w:pPr>
            <w:r>
              <w:rPr>
                <w:color w:val="000000"/>
                <w:sz w:val="20"/>
                <w:szCs w:val="20"/>
              </w:rPr>
              <w:t xml:space="preserve">Performance obligations $3.6B with 55% expected within 12 months. Prior-year 10-K showed 43% within 12 months (MD&amp;A p.30 cites prior disclosure). Implies a materially shorter backlog duration / faster consumption.</w:t>
            </w:r>
          </w:p>
        </w:tc>
        <w:tc>
          <w:tcPr>
            <w:tcW w:type="pct" w:w="50%"/>
          </w:tcPr>
          <w:p>
            <w:pPr>
              <w:jc w:val="left"/>
            </w:pPr>
            <w:r>
              <w:rPr>
                <w:color w:val="000000"/>
                <w:sz w:val="20"/>
                <w:szCs w:val="20"/>
              </w:rPr>
              <w:t xml:space="preserve">Either management booked shorter-duration work, or existing backlog is being consumed faster without replacement. Either way, out-year visibility weakens. Book-to-bill ~1.05x on gross basis means minimal net-new durable backlog.</w:t>
            </w:r>
          </w:p>
        </w:tc>
        <w:tc>
          <w:tcPr>
            <w:tcW w:type="pct" w:w="15%"/>
          </w:tcPr>
          <w:p>
            <w:pPr>
              <w:jc w:val="center"/>
            </w:pPr>
            <w:r>
              <w:rPr>
                <w:b/>
                <w:bCs/>
                <w:color w:val="AA2222"/>
                <w:sz w:val="20"/>
                <w:szCs w:val="20"/>
              </w:rPr>
              <w:t xml:space="preserve">HIGH</w:t>
            </w:r>
          </w:p>
        </w:tc>
      </w:tr>
      <w:tr>
        <w:tc>
          <w:tcPr>
            <w:tcW w:type="pct" w:w="5%"/>
          </w:tcPr>
          <w:p>
            <w:pPr>
              <w:jc w:val="center"/>
            </w:pPr>
            <w:r>
              <w:rPr>
                <w:color w:val="000000"/>
                <w:sz w:val="20"/>
                <w:szCs w:val="20"/>
              </w:rPr>
              <w:t xml:space="preserve">A3</w:t>
            </w:r>
          </w:p>
        </w:tc>
        <w:tc>
          <w:tcPr>
            <w:tcW w:type="pct" w:w="30%"/>
          </w:tcPr>
          <w:p>
            <w:pPr>
              <w:jc w:val="left"/>
            </w:pPr>
            <w:r>
              <w:rPr>
                <w:color w:val="000000"/>
                <w:sz w:val="20"/>
                <w:szCs w:val="20"/>
              </w:rPr>
              <w:t xml:space="preserve">Deferred tax asset related to "Advanced billings" collapsed from $127.1M to $15.0M (−$112M) even as the balance-sheet Advance billings LIABILITY grew from $710.6M to $854.4M (+$143.8M). The book-tax timing difference effectively disappeared (Note 11, p.69).</w:t>
            </w:r>
          </w:p>
        </w:tc>
        <w:tc>
          <w:tcPr>
            <w:tcW w:type="pct" w:w="50%"/>
          </w:tcPr>
          <w:p>
            <w:pPr>
              <w:jc w:val="left"/>
            </w:pPr>
            <w:r>
              <w:rPr>
                <w:color w:val="000000"/>
                <w:sz w:val="20"/>
                <w:szCs w:val="20"/>
              </w:rPr>
              <w:t xml:space="preserve">A $533M reduction in the book-tax timing difference in a single year, against a growing gross liability, almost certainly reflects a tax-law/timing-election change (likely OBBBA §451 acceleration) rather than a customer-behavior change. Unexplained in MD&amp;A.</w:t>
            </w:r>
          </w:p>
        </w:tc>
        <w:tc>
          <w:tcPr>
            <w:tcW w:type="pct" w:w="15%"/>
          </w:tcPr>
          <w:p>
            <w:pPr>
              <w:jc w:val="center"/>
            </w:pPr>
            <w:r>
              <w:rPr>
                <w:b/>
                <w:bCs/>
                <w:color w:val="AA2222"/>
                <w:sz w:val="20"/>
                <w:szCs w:val="20"/>
              </w:rPr>
              <w:t xml:space="preserve">HIGH</w:t>
            </w:r>
          </w:p>
        </w:tc>
      </w:tr>
      <w:tr>
        <w:tc>
          <w:tcPr>
            <w:tcW w:type="pct" w:w="5%"/>
          </w:tcPr>
          <w:p>
            <w:pPr>
              <w:jc w:val="center"/>
            </w:pPr>
            <w:r>
              <w:rPr>
                <w:color w:val="000000"/>
                <w:sz w:val="20"/>
                <w:szCs w:val="20"/>
              </w:rPr>
              <w:t xml:space="preserve">A4</w:t>
            </w:r>
          </w:p>
        </w:tc>
        <w:tc>
          <w:tcPr>
            <w:tcW w:type="pct" w:w="30%"/>
          </w:tcPr>
          <w:p>
            <w:pPr>
              <w:jc w:val="left"/>
            </w:pPr>
            <w:r>
              <w:rPr>
                <w:color w:val="000000"/>
                <w:sz w:val="20"/>
                <w:szCs w:val="20"/>
              </w:rPr>
              <w:t xml:space="preserve">Effective tax rate jumped from 15.0% to 16.8%; benefit from share-based payments fell to (7.5)% from (9.0)% prior year. Excess-tax-benefit dollar amount was $40.9M in FY25.</w:t>
            </w:r>
          </w:p>
        </w:tc>
        <w:tc>
          <w:tcPr>
            <w:tcW w:type="pct" w:w="50%"/>
          </w:tcPr>
          <w:p>
            <w:pPr>
              <w:jc w:val="left"/>
            </w:pPr>
            <w:r>
              <w:rPr>
                <w:color w:val="000000"/>
                <w:sz w:val="20"/>
                <w:szCs w:val="20"/>
              </w:rPr>
              <w:t xml:space="preserve">Below-the-line item that quietly added ~$8–10M to tax expense. With share price lower in periods of grants vesting, this benefit can compress further in FY26.</w:t>
            </w:r>
          </w:p>
        </w:tc>
        <w:tc>
          <w:tcPr>
            <w:tcW w:type="pct" w:w="15%"/>
          </w:tcPr>
          <w:p>
            <w:pPr>
              <w:jc w:val="center"/>
            </w:pPr>
            <w:r>
              <w:rPr>
                <w:b/>
                <w:bCs/>
                <w:color w:val="AA6600"/>
                <w:sz w:val="20"/>
                <w:szCs w:val="20"/>
              </w:rPr>
              <w:t xml:space="preserve">MEDIUM</w:t>
            </w:r>
          </w:p>
        </w:tc>
      </w:tr>
      <w:tr>
        <w:tc>
          <w:tcPr>
            <w:tcW w:type="pct" w:w="5%"/>
          </w:tcPr>
          <w:p>
            <w:pPr>
              <w:jc w:val="center"/>
            </w:pPr>
            <w:r>
              <w:rPr>
                <w:color w:val="000000"/>
                <w:sz w:val="20"/>
                <w:szCs w:val="20"/>
              </w:rPr>
              <w:t xml:space="preserve">A5</w:t>
            </w:r>
          </w:p>
        </w:tc>
        <w:tc>
          <w:tcPr>
            <w:tcW w:type="pct" w:w="30%"/>
          </w:tcPr>
          <w:p>
            <w:pPr>
              <w:jc w:val="left"/>
            </w:pPr>
            <w:r>
              <w:rPr>
                <w:color w:val="000000"/>
                <w:sz w:val="20"/>
                <w:szCs w:val="20"/>
              </w:rPr>
              <w:t xml:space="preserve">Interest income fell from $25.0M to $12.8M (-$12.2M, -49%) as cash balance fell to $497M from $669M.</w:t>
            </w:r>
          </w:p>
        </w:tc>
        <w:tc>
          <w:tcPr>
            <w:tcW w:type="pct" w:w="50%"/>
          </w:tcPr>
          <w:p>
            <w:pPr>
              <w:jc w:val="left"/>
            </w:pPr>
            <w:r>
              <w:rPr>
                <w:color w:val="000000"/>
                <w:sz w:val="20"/>
                <w:szCs w:val="20"/>
              </w:rPr>
              <w:t xml:space="preserve">Medpace spent $917M on buybacks; the forgone interest income at ~4–5% yield is ~$40M/yr run-rate. That is a permanent EPS headwind not highlighted in the 20% revenue headline.</w:t>
            </w:r>
          </w:p>
        </w:tc>
        <w:tc>
          <w:tcPr>
            <w:tcW w:type="pct" w:w="15%"/>
          </w:tcPr>
          <w:p>
            <w:pPr>
              <w:jc w:val="center"/>
            </w:pPr>
            <w:r>
              <w:rPr>
                <w:b/>
                <w:bCs/>
                <w:color w:val="AA6600"/>
                <w:sz w:val="20"/>
                <w:szCs w:val="20"/>
              </w:rPr>
              <w:t xml:space="preserve">MEDIUM</w:t>
            </w:r>
          </w:p>
        </w:tc>
      </w:tr>
      <w:tr>
        <w:tc>
          <w:tcPr>
            <w:tcW w:type="pct" w:w="5%"/>
          </w:tcPr>
          <w:p>
            <w:pPr>
              <w:jc w:val="center"/>
            </w:pPr>
            <w:r>
              <w:rPr>
                <w:color w:val="000000"/>
                <w:sz w:val="20"/>
                <w:szCs w:val="20"/>
              </w:rPr>
              <w:t xml:space="preserve">A6</w:t>
            </w:r>
          </w:p>
        </w:tc>
        <w:tc>
          <w:tcPr>
            <w:tcW w:type="pct" w:w="30%"/>
          </w:tcPr>
          <w:p>
            <w:pPr>
              <w:jc w:val="left"/>
            </w:pPr>
            <w:r>
              <w:rPr>
                <w:color w:val="000000"/>
                <w:sz w:val="20"/>
                <w:szCs w:val="20"/>
              </w:rPr>
              <w:t xml:space="preserve">Accumulated deficit of $(460.0)M at year-end 2025 vs Retained earnings of $+8.2M at year-end 2024 — a $468M swing, driven by $917M of buybacks hitting equity (Note 9).</w:t>
            </w:r>
          </w:p>
        </w:tc>
        <w:tc>
          <w:tcPr>
            <w:tcW w:type="pct" w:w="50%"/>
          </w:tcPr>
          <w:p>
            <w:pPr>
              <w:jc w:val="left"/>
            </w:pPr>
            <w:r>
              <w:rPr>
                <w:color w:val="000000"/>
                <w:sz w:val="20"/>
                <w:szCs w:val="20"/>
              </w:rPr>
              <w:t xml:space="preserve">Signals the aggressive pace of buyback relative to organic equity accretion. Balance-sheet equity of $459M is now less than one year of buyback spend.</w:t>
            </w:r>
          </w:p>
        </w:tc>
        <w:tc>
          <w:tcPr>
            <w:tcW w:type="pct" w:w="15%"/>
          </w:tcPr>
          <w:p>
            <w:pPr>
              <w:jc w:val="center"/>
            </w:pPr>
            <w:r>
              <w:rPr>
                <w:b/>
                <w:bCs/>
                <w:color w:val="AA6600"/>
                <w:sz w:val="20"/>
                <w:szCs w:val="20"/>
              </w:rPr>
              <w:t xml:space="preserve">MEDIUM</w:t>
            </w:r>
          </w:p>
        </w:tc>
      </w:tr>
      <w:tr>
        <w:tc>
          <w:tcPr>
            <w:tcW w:type="pct" w:w="5%"/>
          </w:tcPr>
          <w:p>
            <w:pPr>
              <w:jc w:val="center"/>
            </w:pPr>
            <w:r>
              <w:rPr>
                <w:color w:val="000000"/>
                <w:sz w:val="20"/>
                <w:szCs w:val="20"/>
              </w:rPr>
              <w:t xml:space="preserve">A7</w:t>
            </w:r>
          </w:p>
        </w:tc>
        <w:tc>
          <w:tcPr>
            <w:tcW w:type="pct" w:w="30%"/>
          </w:tcPr>
          <w:p>
            <w:pPr>
              <w:jc w:val="left"/>
            </w:pPr>
            <w:r>
              <w:rPr>
                <w:color w:val="000000"/>
                <w:sz w:val="20"/>
                <w:szCs w:val="20"/>
              </w:rPr>
              <w:t xml:space="preserve">Related-party revenue from LIB Therapeutics collapsed to $7.9M from $21.7M (FY24) and $43.7M (FY23) — ~82% cumulative decline.</w:t>
            </w:r>
          </w:p>
        </w:tc>
        <w:tc>
          <w:tcPr>
            <w:tcW w:type="pct" w:w="50%"/>
          </w:tcPr>
          <w:p>
            <w:pPr>
              <w:jc w:val="left"/>
            </w:pPr>
            <w:r>
              <w:rPr>
                <w:color w:val="000000"/>
                <w:sz w:val="20"/>
                <w:szCs w:val="20"/>
              </w:rPr>
              <w:t xml:space="preserve">CEO is on LIB's board and holds equity. The decline is undisclosed in MD&amp;A. Concurrently, related-party revenue from CinRx (also CEO-affiliated) grew +60% to $45.3M. Mix of related-party revenue is shifting.</w:t>
            </w:r>
          </w:p>
        </w:tc>
        <w:tc>
          <w:tcPr>
            <w:tcW w:type="pct" w:w="15%"/>
          </w:tcPr>
          <w:p>
            <w:pPr>
              <w:jc w:val="center"/>
            </w:pPr>
            <w:r>
              <w:rPr>
                <w:b/>
                <w:bCs/>
                <w:color w:val="AA6600"/>
                <w:sz w:val="20"/>
                <w:szCs w:val="20"/>
              </w:rPr>
              <w:t xml:space="preserve">MEDIUM</w:t>
            </w:r>
          </w:p>
        </w:tc>
      </w:tr>
      <w:tr>
        <w:tc>
          <w:tcPr>
            <w:tcW w:type="pct" w:w="5%"/>
          </w:tcPr>
          <w:p>
            <w:pPr>
              <w:jc w:val="center"/>
            </w:pPr>
            <w:r>
              <w:rPr>
                <w:color w:val="000000"/>
                <w:sz w:val="20"/>
                <w:szCs w:val="20"/>
              </w:rPr>
              <w:t xml:space="preserve">A8</w:t>
            </w:r>
          </w:p>
        </w:tc>
        <w:tc>
          <w:tcPr>
            <w:tcW w:type="pct" w:w="30%"/>
          </w:tcPr>
          <w:p>
            <w:pPr>
              <w:jc w:val="left"/>
            </w:pPr>
            <w:r>
              <w:rPr>
                <w:color w:val="000000"/>
                <w:sz w:val="20"/>
                <w:szCs w:val="20"/>
              </w:rPr>
              <w:t xml:space="preserve">AVAI (antiviral/anti-infective) revenue fell 14% YoY ($156.5M → $134.9M) and is down 17% vs 2023.</w:t>
            </w:r>
          </w:p>
        </w:tc>
        <w:tc>
          <w:tcPr>
            <w:tcW w:type="pct" w:w="50%"/>
          </w:tcPr>
          <w:p>
            <w:pPr>
              <w:jc w:val="left"/>
            </w:pPr>
            <w:r>
              <w:rPr>
                <w:color w:val="000000"/>
                <w:sz w:val="20"/>
                <w:szCs w:val="20"/>
              </w:rPr>
              <w:t xml:space="preserve">Not called out. AVAI has now underperformed three consecutive years. Competitive mix question vs Metabolic (+63%).</w:t>
            </w:r>
          </w:p>
        </w:tc>
        <w:tc>
          <w:tcPr>
            <w:tcW w:type="pct" w:w="15%"/>
          </w:tcPr>
          <w:p>
            <w:pPr>
              <w:jc w:val="center"/>
            </w:pPr>
            <w:r>
              <w:rPr>
                <w:b/>
                <w:bCs/>
                <w:color w:val="667700"/>
                <w:sz w:val="20"/>
                <w:szCs w:val="20"/>
              </w:rPr>
              <w:t xml:space="preserve">LOW</w:t>
            </w:r>
          </w:p>
        </w:tc>
      </w:tr>
      <w:tr>
        <w:tc>
          <w:tcPr>
            <w:tcW w:type="pct" w:w="5%"/>
          </w:tcPr>
          <w:p>
            <w:pPr>
              <w:jc w:val="center"/>
            </w:pPr>
            <w:r>
              <w:rPr>
                <w:color w:val="000000"/>
                <w:sz w:val="20"/>
                <w:szCs w:val="20"/>
              </w:rPr>
              <w:t xml:space="preserve">A9</w:t>
            </w:r>
          </w:p>
        </w:tc>
        <w:tc>
          <w:tcPr>
            <w:tcW w:type="pct" w:w="30%"/>
          </w:tcPr>
          <w:p>
            <w:pPr>
              <w:jc w:val="left"/>
            </w:pPr>
            <w:r>
              <w:rPr>
                <w:color w:val="000000"/>
                <w:sz w:val="20"/>
                <w:szCs w:val="20"/>
              </w:rPr>
              <w:t xml:space="preserve">Metabolic revenue grew +63% ($457.5M → $745.0M), now 29.4% of revenue vs 21.7% a year ago.</w:t>
            </w:r>
          </w:p>
        </w:tc>
        <w:tc>
          <w:tcPr>
            <w:tcW w:type="pct" w:w="50%"/>
          </w:tcPr>
          <w:p>
            <w:pPr>
              <w:jc w:val="left"/>
            </w:pPr>
            <w:r>
              <w:rPr>
                <w:color w:val="000000"/>
                <w:sz w:val="20"/>
                <w:szCs w:val="20"/>
              </w:rPr>
              <w:t xml:space="preserve">Concentration in GLP-1 / obesity / diabetes clinical programs is substantially higher than prior year. Exposure to a single thematic bubble should be modeled.</w:t>
            </w:r>
          </w:p>
        </w:tc>
        <w:tc>
          <w:tcPr>
            <w:tcW w:type="pct" w:w="15%"/>
          </w:tcPr>
          <w:p>
            <w:pPr>
              <w:jc w:val="center"/>
            </w:pPr>
            <w:r>
              <w:rPr>
                <w:b/>
                <w:bCs/>
                <w:color w:val="AA6600"/>
                <w:sz w:val="20"/>
                <w:szCs w:val="20"/>
              </w:rPr>
              <w:t xml:space="preserve">MEDIUM</w:t>
            </w:r>
          </w:p>
        </w:tc>
      </w:tr>
      <w:tr>
        <w:tc>
          <w:tcPr>
            <w:tcW w:type="pct" w:w="5%"/>
          </w:tcPr>
          <w:p>
            <w:pPr>
              <w:jc w:val="center"/>
            </w:pPr>
            <w:r>
              <w:rPr>
                <w:color w:val="000000"/>
                <w:sz w:val="20"/>
                <w:szCs w:val="20"/>
              </w:rPr>
              <w:t xml:space="preserve">A10</w:t>
            </w:r>
          </w:p>
        </w:tc>
        <w:tc>
          <w:tcPr>
            <w:tcW w:type="pct" w:w="30%"/>
          </w:tcPr>
          <w:p>
            <w:pPr>
              <w:jc w:val="left"/>
            </w:pPr>
            <w:r>
              <w:rPr>
                <w:color w:val="000000"/>
                <w:sz w:val="20"/>
                <w:szCs w:val="20"/>
              </w:rPr>
              <w:t xml:space="preserve">CEO real-estate nexus: $68.4M of operating-lease right-of-use assets and $81.4M of lease liabilities are with CEO-controlled entities (corporate campus). Plus Summit Hotel and private aviation charter.</w:t>
            </w:r>
          </w:p>
        </w:tc>
        <w:tc>
          <w:tcPr>
            <w:tcW w:type="pct" w:w="50%"/>
          </w:tcPr>
          <w:p>
            <w:pPr>
              <w:jc w:val="left"/>
            </w:pPr>
            <w:r>
              <w:rPr>
                <w:color w:val="000000"/>
                <w:sz w:val="20"/>
                <w:szCs w:val="20"/>
              </w:rPr>
              <w:t xml:space="preserve">Not a red flag per se (disclosed every year) but the magnitude — ROU assets attributable to CEO entities = ~15% of total equity — is worth a skeptical investor's eye.</w:t>
            </w:r>
          </w:p>
        </w:tc>
        <w:tc>
          <w:tcPr>
            <w:tcW w:type="pct" w:w="15%"/>
          </w:tcPr>
          <w:p>
            <w:pPr>
              <w:jc w:val="center"/>
            </w:pPr>
            <w:r>
              <w:rPr>
                <w:b/>
                <w:bCs/>
                <w:color w:val="667700"/>
                <w:sz w:val="20"/>
                <w:szCs w:val="20"/>
              </w:rPr>
              <w:t xml:space="preserve">LOW</w:t>
            </w:r>
          </w:p>
        </w:tc>
      </w:tr>
      <w:tr>
        <w:tc>
          <w:tcPr>
            <w:tcW w:type="pct" w:w="5%"/>
          </w:tcPr>
          <w:p>
            <w:pPr>
              <w:jc w:val="center"/>
            </w:pPr>
            <w:r>
              <w:rPr>
                <w:color w:val="000000"/>
                <w:sz w:val="20"/>
                <w:szCs w:val="20"/>
              </w:rPr>
              <w:t xml:space="preserve">A11</w:t>
            </w:r>
          </w:p>
        </w:tc>
        <w:tc>
          <w:tcPr>
            <w:tcW w:type="pct" w:w="30%"/>
          </w:tcPr>
          <w:p>
            <w:pPr>
              <w:jc w:val="left"/>
            </w:pPr>
            <w:r>
              <w:rPr>
                <w:color w:val="000000"/>
                <w:sz w:val="20"/>
                <w:szCs w:val="20"/>
              </w:rPr>
              <w:t xml:space="preserve">2,961,924 shares repurchased in FY25 at average ~$308/share ($912.9M face). Stock closed 2025 substantially below this level based on the buyback-depleted cash balance.</w:t>
            </w:r>
          </w:p>
        </w:tc>
        <w:tc>
          <w:tcPr>
            <w:tcW w:type="pct" w:w="50%"/>
          </w:tcPr>
          <w:p>
            <w:pPr>
              <w:jc w:val="left"/>
            </w:pPr>
            <w:r>
              <w:rPr>
                <w:color w:val="000000"/>
                <w:sz w:val="20"/>
                <w:szCs w:val="20"/>
              </w:rPr>
              <w:t xml:space="preserve">Capital allocation: the timing of $917M of buybacks deserves a hard look vs opportunity cost. Share count fell from 30.4M → 27.6M (Shareholders' Equity).</w:t>
            </w:r>
          </w:p>
        </w:tc>
        <w:tc>
          <w:tcPr>
            <w:tcW w:type="pct" w:w="15%"/>
          </w:tcPr>
          <w:p>
            <w:pPr>
              <w:jc w:val="center"/>
            </w:pPr>
            <w:r>
              <w:rPr>
                <w:b/>
                <w:bCs/>
                <w:color w:val="AA6600"/>
                <w:sz w:val="20"/>
                <w:szCs w:val="20"/>
              </w:rPr>
              <w:t xml:space="preserve">MEDIUM</w:t>
            </w:r>
          </w:p>
        </w:tc>
      </w:tr>
      <w:tr>
        <w:tc>
          <w:tcPr>
            <w:tcW w:type="pct" w:w="5%"/>
          </w:tcPr>
          <w:p>
            <w:pPr>
              <w:jc w:val="center"/>
            </w:pPr>
            <w:r>
              <w:rPr>
                <w:color w:val="000000"/>
                <w:sz w:val="20"/>
                <w:szCs w:val="20"/>
              </w:rPr>
              <w:t xml:space="preserve">A12</w:t>
            </w:r>
          </w:p>
        </w:tc>
        <w:tc>
          <w:tcPr>
            <w:tcW w:type="pct" w:w="30%"/>
          </w:tcPr>
          <w:p>
            <w:pPr>
              <w:jc w:val="left"/>
            </w:pPr>
            <w:r>
              <w:rPr>
                <w:color w:val="000000"/>
                <w:sz w:val="20"/>
                <w:szCs w:val="20"/>
              </w:rPr>
              <w:t xml:space="preserve">SG&amp;A grew +9.6% while direct-service revenue grew +11.5% — operating leverage on SG&amp;A was thin. Operating margin improved primarily because depreciation/amortization was flat.</w:t>
            </w:r>
          </w:p>
        </w:tc>
        <w:tc>
          <w:tcPr>
            <w:tcW w:type="pct" w:w="50%"/>
          </w:tcPr>
          <w:p>
            <w:pPr>
              <w:jc w:val="left"/>
            </w:pPr>
            <w:r>
              <w:rPr>
                <w:color w:val="000000"/>
                <w:sz w:val="20"/>
                <w:szCs w:val="20"/>
              </w:rPr>
              <w:t xml:space="preserve">Margin thesis on scale leverage needs stress-testing — not obvious there is meaningful SG&amp;A leverage to be harvested from here.</w:t>
            </w:r>
          </w:p>
        </w:tc>
        <w:tc>
          <w:tcPr>
            <w:tcW w:type="pct" w:w="15%"/>
          </w:tcPr>
          <w:p>
            <w:pPr>
              <w:jc w:val="center"/>
            </w:pPr>
            <w:r>
              <w:rPr>
                <w:b/>
                <w:bCs/>
                <w:color w:val="667700"/>
                <w:sz w:val="20"/>
                <w:szCs w:val="20"/>
              </w:rPr>
              <w:t xml:space="preserve">LOW</w:t>
            </w:r>
          </w:p>
        </w:tc>
      </w:tr>
    </w:tbl>
    <w:p>
      <w:pPr>
        <w:pStyle w:val="Heading1"/>
        <w:spacing w:after="120" w:before="280"/>
      </w:pPr>
      <w:r>
        <w:rPr>
          <w:b/>
          <w:bCs/>
          <w:color w:val="0F2A44"/>
          <w:sz w:val="30"/>
          <w:szCs w:val="30"/>
        </w:rPr>
        <w:t xml:space="preserve">3. Investigation threads (the three that could move the thesis)</w:t>
      </w:r>
    </w:p>
    <w:p>
      <w:pPr>
        <w:pStyle w:val="Heading2"/>
        <w:spacing w:after="120" w:before="280"/>
      </w:pPr>
      <w:r>
        <w:rPr>
          <w:b/>
          <w:bCs/>
          <w:color w:val="0F2A44"/>
          <w:sz w:val="26"/>
          <w:szCs w:val="26"/>
        </w:rPr>
        <w:t xml:space="preserve">Thread 1 — "20% revenue growth" is mostly pass-through</w:t>
      </w:r>
    </w:p>
    <w:p>
      <w:pPr>
        <w:spacing w:after="60" w:before="60" w:line="300"/>
      </w:pPr>
      <w:r>
        <w:rPr>
          <w:sz w:val="22"/>
          <w:szCs w:val="22"/>
        </w:rPr>
        <w:t xml:space="preserve">The 10-K tables, not management commentary, carry the punchline. Walk from reported to underlying: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40%"/>
            <w:shd w:fill="0F2A44" w:color="auto" w:val="clear"/>
          </w:tcPr>
          <w:p>
            <w:pPr>
              <w:jc w:val="left"/>
            </w:pPr>
            <w:r>
              <w:rPr>
                <w:b/>
                <w:bCs/>
                <w:color w:val="FFFFFF"/>
                <w:sz w:val="20"/>
                <w:szCs w:val="20"/>
              </w:rPr>
              <w:t xml:space="preserve">Line (FY25 vs FY24, $M)</w:t>
            </w:r>
          </w:p>
        </w:tc>
        <w:tc>
          <w:tcPr>
            <w:tcW w:type="pct" w:w="15%"/>
            <w:shd w:fill="0F2A44" w:color="auto" w:val="clear"/>
          </w:tcPr>
          <w:p>
            <w:pPr>
              <w:jc w:val="right"/>
            </w:pPr>
            <w:r>
              <w:rPr>
                <w:b/>
                <w:bCs/>
                <w:color w:val="FFFFFF"/>
                <w:sz w:val="20"/>
                <w:szCs w:val="20"/>
              </w:rPr>
              <w:t xml:space="preserve">FY25</w:t>
            </w:r>
          </w:p>
        </w:tc>
        <w:tc>
          <w:tcPr>
            <w:tcW w:type="pct" w:w="15%"/>
            <w:shd w:fill="0F2A44" w:color="auto" w:val="clear"/>
          </w:tcPr>
          <w:p>
            <w:pPr>
              <w:jc w:val="right"/>
            </w:pPr>
            <w:r>
              <w:rPr>
                <w:b/>
                <w:bCs/>
                <w:color w:val="FFFFFF"/>
                <w:sz w:val="20"/>
                <w:szCs w:val="20"/>
              </w:rPr>
              <w:t xml:space="preserve">FY24</w:t>
            </w:r>
          </w:p>
        </w:tc>
        <w:tc>
          <w:tcPr>
            <w:tcW w:type="pct" w:w="15%"/>
            <w:shd w:fill="0F2A44" w:color="auto" w:val="clear"/>
          </w:tcPr>
          <w:p>
            <w:pPr>
              <w:jc w:val="right"/>
            </w:pPr>
            <w:r>
              <w:rPr>
                <w:b/>
                <w:bCs/>
                <w:color w:val="FFFFFF"/>
                <w:sz w:val="20"/>
                <w:szCs w:val="20"/>
              </w:rPr>
              <w:t xml:space="preserve">Δ</w:t>
            </w:r>
          </w:p>
        </w:tc>
        <w:tc>
          <w:tcPr>
            <w:tcW w:type="pct" w:w="15%"/>
            <w:shd w:fill="0F2A44" w:color="auto" w:val="clear"/>
          </w:tcPr>
          <w:p>
            <w:pPr>
              <w:jc w:val="right"/>
            </w:pPr>
            <w:r>
              <w:rPr>
                <w:b/>
                <w:bCs/>
                <w:color w:val="FFFFFF"/>
                <w:sz w:val="20"/>
                <w:szCs w:val="20"/>
              </w:rPr>
              <w:t xml:space="preserve">%</w:t>
            </w:r>
          </w:p>
        </w:tc>
      </w:tr>
      <w:tr>
        <w:tc>
          <w:tcPr>
            <w:tcW w:type="pct" w:w="40%"/>
          </w:tcPr>
          <w:p>
            <w:pPr>
              <w:jc w:val="left"/>
            </w:pPr>
            <w:r>
              <w:rPr>
                <w:color w:val="000000"/>
                <w:sz w:val="20"/>
                <w:szCs w:val="20"/>
              </w:rPr>
              <w:t xml:space="preserve">Revenue, net (gross of OOP)</w:t>
            </w:r>
          </w:p>
        </w:tc>
        <w:tc>
          <w:tcPr>
            <w:tcW w:type="pct" w:w="15%"/>
          </w:tcPr>
          <w:p>
            <w:pPr>
              <w:jc w:val="right"/>
            </w:pPr>
            <w:r>
              <w:rPr>
                <w:color w:val="000000"/>
                <w:sz w:val="20"/>
                <w:szCs w:val="20"/>
              </w:rPr>
              <w:t xml:space="preserve">2,530.2</w:t>
            </w:r>
          </w:p>
        </w:tc>
        <w:tc>
          <w:tcPr>
            <w:tcW w:type="pct" w:w="15%"/>
          </w:tcPr>
          <w:p>
            <w:pPr>
              <w:jc w:val="right"/>
            </w:pPr>
            <w:r>
              <w:rPr>
                <w:color w:val="000000"/>
                <w:sz w:val="20"/>
                <w:szCs w:val="20"/>
              </w:rPr>
              <w:t xml:space="preserve">2,109.1</w:t>
            </w:r>
          </w:p>
        </w:tc>
        <w:tc>
          <w:tcPr>
            <w:tcW w:type="pct" w:w="15%"/>
          </w:tcPr>
          <w:p>
            <w:pPr>
              <w:jc w:val="right"/>
            </w:pPr>
            <w:r>
              <w:rPr>
                <w:color w:val="000000"/>
                <w:sz w:val="20"/>
                <w:szCs w:val="20"/>
              </w:rPr>
              <w:t xml:space="preserve">+421.2</w:t>
            </w:r>
          </w:p>
        </w:tc>
        <w:tc>
          <w:tcPr>
            <w:tcW w:type="pct" w:w="15%"/>
          </w:tcPr>
          <w:p>
            <w:pPr>
              <w:jc w:val="right"/>
            </w:pPr>
            <w:r>
              <w:rPr>
                <w:color w:val="000000"/>
                <w:sz w:val="20"/>
                <w:szCs w:val="20"/>
              </w:rPr>
              <w:t xml:space="preserve">+20.0%</w:t>
            </w:r>
          </w:p>
        </w:tc>
      </w:tr>
      <w:tr>
        <w:tc>
          <w:tcPr>
            <w:tcW w:type="pct" w:w="40%"/>
          </w:tcPr>
          <w:p>
            <w:pPr>
              <w:jc w:val="left"/>
            </w:pPr>
            <w:r>
              <w:rPr>
                <w:color w:val="000000"/>
                <w:sz w:val="20"/>
                <w:szCs w:val="20"/>
              </w:rPr>
              <w:t xml:space="preserve">Less: Reimbursed out-of-pocket</w:t>
            </w:r>
          </w:p>
        </w:tc>
        <w:tc>
          <w:tcPr>
            <w:tcW w:type="pct" w:w="15%"/>
          </w:tcPr>
          <w:p>
            <w:pPr>
              <w:jc w:val="right"/>
            </w:pPr>
            <w:r>
              <w:rPr>
                <w:color w:val="000000"/>
                <w:sz w:val="20"/>
                <w:szCs w:val="20"/>
              </w:rPr>
              <w:t xml:space="preserve">(1,037.5)</w:t>
            </w:r>
          </w:p>
        </w:tc>
        <w:tc>
          <w:tcPr>
            <w:tcW w:type="pct" w:w="15%"/>
          </w:tcPr>
          <w:p>
            <w:pPr>
              <w:jc w:val="right"/>
            </w:pPr>
            <w:r>
              <w:rPr>
                <w:color w:val="000000"/>
                <w:sz w:val="20"/>
                <w:szCs w:val="20"/>
              </w:rPr>
              <w:t xml:space="preserve">(770.7)</w:t>
            </w:r>
          </w:p>
        </w:tc>
        <w:tc>
          <w:tcPr>
            <w:tcW w:type="pct" w:w="15%"/>
          </w:tcPr>
          <w:p>
            <w:pPr>
              <w:jc w:val="right"/>
            </w:pPr>
            <w:r>
              <w:rPr>
                <w:color w:val="000000"/>
                <w:sz w:val="20"/>
                <w:szCs w:val="20"/>
              </w:rPr>
              <w:t xml:space="preserve">(266.8)</w:t>
            </w:r>
          </w:p>
        </w:tc>
        <w:tc>
          <w:tcPr>
            <w:tcW w:type="pct" w:w="15%"/>
          </w:tcPr>
          <w:p>
            <w:pPr>
              <w:jc w:val="right"/>
            </w:pPr>
            <w:r>
              <w:rPr>
                <w:color w:val="000000"/>
                <w:sz w:val="20"/>
                <w:szCs w:val="20"/>
              </w:rPr>
              <w:t xml:space="preserve">+34.6%</w:t>
            </w:r>
          </w:p>
        </w:tc>
      </w:tr>
      <w:tr>
        <w:tc>
          <w:tcPr>
            <w:tcW w:type="pct" w:w="40%"/>
          </w:tcPr>
          <w:p>
            <w:pPr>
              <w:jc w:val="left"/>
            </w:pPr>
            <w:r>
              <w:rPr>
                <w:color w:val="000000"/>
                <w:sz w:val="20"/>
                <w:szCs w:val="20"/>
              </w:rPr>
              <w:t xml:space="preserve">Direct-service revenue (derived)</w:t>
            </w:r>
          </w:p>
        </w:tc>
        <w:tc>
          <w:tcPr>
            <w:tcW w:type="pct" w:w="15%"/>
          </w:tcPr>
          <w:p>
            <w:pPr>
              <w:jc w:val="right"/>
            </w:pPr>
            <w:r>
              <w:rPr>
                <w:color w:val="000000"/>
                <w:sz w:val="20"/>
                <w:szCs w:val="20"/>
              </w:rPr>
              <w:t xml:space="preserve">1,492.7</w:t>
            </w:r>
          </w:p>
        </w:tc>
        <w:tc>
          <w:tcPr>
            <w:tcW w:type="pct" w:w="15%"/>
          </w:tcPr>
          <w:p>
            <w:pPr>
              <w:jc w:val="right"/>
            </w:pPr>
            <w:r>
              <w:rPr>
                <w:color w:val="000000"/>
                <w:sz w:val="20"/>
                <w:szCs w:val="20"/>
              </w:rPr>
              <w:t xml:space="preserve">1,338.4</w:t>
            </w:r>
          </w:p>
        </w:tc>
        <w:tc>
          <w:tcPr>
            <w:tcW w:type="pct" w:w="15%"/>
          </w:tcPr>
          <w:p>
            <w:pPr>
              <w:jc w:val="right"/>
            </w:pPr>
            <w:r>
              <w:rPr>
                <w:color w:val="000000"/>
                <w:sz w:val="20"/>
                <w:szCs w:val="20"/>
              </w:rPr>
              <w:t xml:space="preserve">+154.3</w:t>
            </w:r>
          </w:p>
        </w:tc>
        <w:tc>
          <w:tcPr>
            <w:tcW w:type="pct" w:w="15%"/>
          </w:tcPr>
          <w:p>
            <w:pPr>
              <w:jc w:val="right"/>
            </w:pPr>
            <w:r>
              <w:rPr>
                <w:color w:val="000000"/>
                <w:sz w:val="20"/>
                <w:szCs w:val="20"/>
              </w:rPr>
              <w:t xml:space="preserve">+11.5%</w:t>
            </w:r>
          </w:p>
        </w:tc>
      </w:tr>
      <w:tr>
        <w:tc>
          <w:tcPr>
            <w:tcW w:type="pct" w:w="40%"/>
          </w:tcPr>
          <w:p>
            <w:pPr>
              <w:jc w:val="left"/>
            </w:pPr>
            <w:r>
              <w:rPr>
                <w:color w:val="000000"/>
                <w:sz w:val="20"/>
                <w:szCs w:val="20"/>
              </w:rPr>
              <w:t xml:space="preserve">Direct service costs</w:t>
            </w:r>
          </w:p>
        </w:tc>
        <w:tc>
          <w:tcPr>
            <w:tcW w:type="pct" w:w="15%"/>
          </w:tcPr>
          <w:p>
            <w:pPr>
              <w:jc w:val="right"/>
            </w:pPr>
            <w:r>
              <w:rPr>
                <w:color w:val="000000"/>
                <w:sz w:val="20"/>
                <w:szCs w:val="20"/>
              </w:rPr>
              <w:t xml:space="preserve">732.1</w:t>
            </w:r>
          </w:p>
        </w:tc>
        <w:tc>
          <w:tcPr>
            <w:tcW w:type="pct" w:w="15%"/>
          </w:tcPr>
          <w:p>
            <w:pPr>
              <w:jc w:val="right"/>
            </w:pPr>
            <w:r>
              <w:rPr>
                <w:color w:val="000000"/>
                <w:sz w:val="20"/>
                <w:szCs w:val="20"/>
              </w:rPr>
              <w:t xml:space="preserve">682.1</w:t>
            </w:r>
          </w:p>
        </w:tc>
        <w:tc>
          <w:tcPr>
            <w:tcW w:type="pct" w:w="15%"/>
          </w:tcPr>
          <w:p>
            <w:pPr>
              <w:jc w:val="right"/>
            </w:pPr>
            <w:r>
              <w:rPr>
                <w:color w:val="000000"/>
                <w:sz w:val="20"/>
                <w:szCs w:val="20"/>
              </w:rPr>
              <w:t xml:space="preserve">+50.0</w:t>
            </w:r>
          </w:p>
        </w:tc>
        <w:tc>
          <w:tcPr>
            <w:tcW w:type="pct" w:w="15%"/>
          </w:tcPr>
          <w:p>
            <w:pPr>
              <w:jc w:val="right"/>
            </w:pPr>
            <w:r>
              <w:rPr>
                <w:color w:val="000000"/>
                <w:sz w:val="20"/>
                <w:szCs w:val="20"/>
              </w:rPr>
              <w:t xml:space="preserve">+7.3%</w:t>
            </w:r>
          </w:p>
        </w:tc>
      </w:tr>
      <w:tr>
        <w:tc>
          <w:tcPr>
            <w:tcW w:type="pct" w:w="40%"/>
          </w:tcPr>
          <w:p>
            <w:pPr>
              <w:jc w:val="left"/>
            </w:pPr>
            <w:r>
              <w:rPr>
                <w:color w:val="000000"/>
                <w:sz w:val="20"/>
                <w:szCs w:val="20"/>
              </w:rPr>
              <w:t xml:space="preserve">Direct-service gross profit (derived)</w:t>
            </w:r>
          </w:p>
        </w:tc>
        <w:tc>
          <w:tcPr>
            <w:tcW w:type="pct" w:w="15%"/>
          </w:tcPr>
          <w:p>
            <w:pPr>
              <w:jc w:val="right"/>
            </w:pPr>
            <w:r>
              <w:rPr>
                <w:color w:val="000000"/>
                <w:sz w:val="20"/>
                <w:szCs w:val="20"/>
              </w:rPr>
              <w:t xml:space="preserve">760.6</w:t>
            </w:r>
          </w:p>
        </w:tc>
        <w:tc>
          <w:tcPr>
            <w:tcW w:type="pct" w:w="15%"/>
          </w:tcPr>
          <w:p>
            <w:pPr>
              <w:jc w:val="right"/>
            </w:pPr>
            <w:r>
              <w:rPr>
                <w:color w:val="000000"/>
                <w:sz w:val="20"/>
                <w:szCs w:val="20"/>
              </w:rPr>
              <w:t xml:space="preserve">656.3</w:t>
            </w:r>
          </w:p>
        </w:tc>
        <w:tc>
          <w:tcPr>
            <w:tcW w:type="pct" w:w="15%"/>
          </w:tcPr>
          <w:p>
            <w:pPr>
              <w:jc w:val="right"/>
            </w:pPr>
            <w:r>
              <w:rPr>
                <w:color w:val="000000"/>
                <w:sz w:val="20"/>
                <w:szCs w:val="20"/>
              </w:rPr>
              <w:t xml:space="preserve">+104.3</w:t>
            </w:r>
          </w:p>
        </w:tc>
        <w:tc>
          <w:tcPr>
            <w:tcW w:type="pct" w:w="15%"/>
          </w:tcPr>
          <w:p>
            <w:pPr>
              <w:jc w:val="right"/>
            </w:pPr>
            <w:r>
              <w:rPr>
                <w:color w:val="000000"/>
                <w:sz w:val="20"/>
                <w:szCs w:val="20"/>
              </w:rPr>
              <w:t xml:space="preserve">+15.9%</w:t>
            </w:r>
          </w:p>
        </w:tc>
      </w:tr>
    </w:tbl>
    <w:p>
      <w:pPr>
        <w:spacing w:after="60" w:before="60" w:line="300"/>
      </w:pPr>
      <w:r>
        <w:rPr>
          <w:sz w:val="22"/>
          <w:szCs w:val="22"/>
        </w:rPr>
        <w:t xml:space="preserve">What the 10-K says about OOP:</w:t>
      </w:r>
    </w:p>
    <w:p>
      <w:pPr>
        <w:pBdr>
          <w:left w:val="single" w:color="8A6D3B" w:sz="12" w:space="6"/>
        </w:pBdr>
        <w:spacing w:after="80" w:before="80" w:line="280"/>
        <w:ind w:left="360" w:right="360"/>
      </w:pPr>
      <w:r>
        <w:rPr>
          <w:i/>
          <w:iCs/>
          <w:color w:val="5F4B1F"/>
          <w:sz w:val="20"/>
          <w:szCs w:val="20"/>
        </w:rPr>
        <w:t xml:space="preserve">"Reimbursed out-of-pocket expenses, which can fluctuate significantly from period to period based on the timing of program initiation and closeout, increased $266.8 million for the year ended December 31, 2025..."</w:t>
      </w:r>
      <w:r>
        <w:rPr>
          <w:color w:val="888888"/>
          <w:sz w:val="18"/>
          <w:szCs w:val="18"/>
        </w:rPr>
        <w:t xml:space="preserve"> (10-K p.35)</w:t>
      </w:r>
    </w:p>
    <w:p>
      <w:pPr>
        <w:spacing w:after="60" w:before="60" w:line="300"/>
      </w:pPr>
      <w:r>
        <w:rPr>
          <w:sz w:val="22"/>
          <w:szCs w:val="22"/>
        </w:rPr>
        <w:t xml:space="preserve">Interpretation. Pass-through growth of +34.6% is a real thing — it means programs are initiating/ramping — but it flows through at zero margin and is non-recurring at any specific period. The direct-service revenue growth of +11.5% is the honest top-line number. A valuation that assumes the +20% rate repeats in FY26 is a double-counting of OOP ramp.</w:t>
      </w:r>
    </w:p>
    <w:p>
      <w:pPr>
        <w:spacing w:after="60" w:before="60" w:line="300"/>
      </w:pPr>
      <w:r>
        <w:rPr>
          <w:sz w:val="22"/>
          <w:szCs w:val="22"/>
        </w:rPr>
        <w:t xml:space="preserve">Where Ann should push: ask IR for a sensitivity on FY26 OOP growth. If OOP merely normalizes back to direct-service growth, reported revenue growth could print 11–13% even with direct-service unchanged.</w:t>
      </w:r>
    </w:p>
    <w:p>
      <w:pPr>
        <w:pStyle w:val="Heading2"/>
        <w:spacing w:after="120" w:before="280"/>
      </w:pPr>
      <w:r>
        <w:rPr>
          <w:b/>
          <w:bCs/>
          <w:color w:val="0F2A44"/>
          <w:sz w:val="26"/>
          <w:szCs w:val="26"/>
        </w:rPr>
        <w:t xml:space="preserve">Thread 2 — The backlog optics are changing shape</w:t>
      </w:r>
    </w:p>
    <w:p>
      <w:pPr>
        <w:spacing w:after="60" w:before="60" w:line="300"/>
      </w:pPr>
      <w:r>
        <w:rPr>
          <w:sz w:val="22"/>
          <w:szCs w:val="22"/>
        </w:rPr>
        <w:t xml:space="preserve">Two numbers in the filing disagree about forward visibility.</w:t>
      </w:r>
    </w:p>
    <w:p>
      <w:pPr>
        <w:pStyle w:val="ListParagraph"/>
        <w:numPr>
          <w:ilvl w:val="0"/>
          <w:numId w:val="1"/>
        </w:numPr>
        <w:spacing w:after="40" w:before="40" w:line="280"/>
      </w:pPr>
      <w:r>
        <w:rPr>
          <w:sz w:val="22"/>
          <w:szCs w:val="22"/>
        </w:rPr>
        <w:t xml:space="preserve">Backlog at year-end 2025: $3,027.2M, up only 4.3% YoY (MD&amp;A p.30).</w:t>
      </w:r>
    </w:p>
    <w:p>
      <w:pPr>
        <w:pStyle w:val="ListParagraph"/>
        <w:numPr>
          <w:ilvl w:val="0"/>
          <w:numId w:val="1"/>
        </w:numPr>
        <w:spacing w:after="40" w:before="40" w:line="280"/>
      </w:pPr>
      <w:r>
        <w:rPr>
          <w:sz w:val="22"/>
          <w:szCs w:val="22"/>
        </w:rPr>
        <w:t xml:space="preserve">Performance obligations disclosed under ASC 606 at year-end 2025: approximately $3,606M with 55% expected to be recognized within 12 months (Note 3 / MD&amp;A).</w:t>
      </w:r>
    </w:p>
    <w:p>
      <w:pPr>
        <w:pStyle w:val="ListParagraph"/>
        <w:numPr>
          <w:ilvl w:val="0"/>
          <w:numId w:val="1"/>
        </w:numPr>
        <w:spacing w:after="40" w:before="40" w:line="280"/>
      </w:pPr>
      <w:r>
        <w:rPr>
          <w:sz w:val="22"/>
          <w:szCs w:val="22"/>
        </w:rPr>
        <w:t xml:space="preserve">Prior-year comparable: approximately 43% within 12 months.</w:t>
      </w:r>
    </w:p>
    <w:p>
      <w:pPr>
        <w:spacing w:after="60" w:before="60" w:line="300"/>
      </w:pPr>
      <w:r>
        <w:rPr>
          <w:sz w:val="22"/>
          <w:szCs w:val="22"/>
        </w:rPr>
        <w:t xml:space="preserve">A 12-point jump in the share of backlog expected in the next twelve months means either (a) the existing book is being worked off faster than previously disclosed, (b) management de-risked the assumption set, or (c) mix shifted toward shorter-duration studies. In a CRO context, (a) and (c) both argue for compressed out-year visibility.</w:t>
      </w:r>
    </w:p>
    <w:p>
      <w:pPr>
        <w:spacing w:after="60" w:before="60" w:line="300"/>
      </w:pPr>
      <w:r>
        <w:rPr>
          <w:sz w:val="22"/>
          <w:szCs w:val="22"/>
        </w:rPr>
        <w:t xml:space="preserve">Net new awards of $2,646.8M against gross revenue of $2,530.2M gives book-to-bill of 1.046x. On a direct-service basis (stripping OOP from both sides, assuming the net new awards book is mostly direct-service economics) it looks stronger, but still well below historical Medpace norms. Management chose not to report quarterly book-to-bill in the 10-K.</w:t>
      </w:r>
    </w:p>
    <w:p>
      <w:pPr>
        <w:spacing w:after="60" w:before="60" w:line="300"/>
      </w:pPr>
      <w:r>
        <w:rPr>
          <w:sz w:val="22"/>
          <w:szCs w:val="22"/>
        </w:rPr>
        <w:t xml:space="preserve">What to watch in FY26: if NTM conversion rate stays near 55% but total performance obligations grow less than ~5%, reported revenue growth decelerates toward high single digits even before considering OOP normalization.</w:t>
      </w:r>
    </w:p>
    <w:p>
      <w:pPr>
        <w:pStyle w:val="Heading2"/>
        <w:spacing w:after="120" w:before="280"/>
      </w:pPr>
      <w:r>
        <w:rPr>
          <w:b/>
          <w:bCs/>
          <w:color w:val="0F2A44"/>
          <w:sz w:val="26"/>
          <w:szCs w:val="26"/>
        </w:rPr>
        <w:t xml:space="preserve">Thread 3 — The deferred tax asset moved like a spring</w:t>
      </w:r>
    </w:p>
    <w:p>
      <w:pPr>
        <w:spacing w:after="60" w:before="60" w:line="300"/>
      </w:pPr>
      <w:r>
        <w:rPr>
          <w:sz w:val="22"/>
          <w:szCs w:val="22"/>
        </w:rPr>
        <w:t xml:space="preserve">Note 11 (Income Taxes) discloses the components of the deferred tax asset: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5%"/>
            <w:shd w:fill="0F2A44" w:color="auto" w:val="clear"/>
          </w:tcPr>
          <w:p>
            <w:pPr>
              <w:jc w:val="left"/>
            </w:pPr>
            <w:r>
              <w:rPr>
                <w:b/>
                <w:bCs/>
                <w:color w:val="FFFFFF"/>
                <w:sz w:val="20"/>
                <w:szCs w:val="20"/>
              </w:rPr>
              <w:t xml:space="preserve">Line ($M)</w:t>
            </w:r>
          </w:p>
        </w:tc>
        <w:tc>
          <w:tcPr>
            <w:tcW w:type="pct" w:w="18%"/>
            <w:shd w:fill="0F2A44" w:color="auto" w:val="clear"/>
          </w:tcPr>
          <w:p>
            <w:pPr>
              <w:jc w:val="right"/>
            </w:pPr>
            <w:r>
              <w:rPr>
                <w:b/>
                <w:bCs/>
                <w:color w:val="FFFFFF"/>
                <w:sz w:val="20"/>
                <w:szCs w:val="20"/>
              </w:rPr>
              <w:t xml:space="preserve">Dec 31 2025</w:t>
            </w:r>
          </w:p>
        </w:tc>
        <w:tc>
          <w:tcPr>
            <w:tcW w:type="pct" w:w="18%"/>
            <w:shd w:fill="0F2A44" w:color="auto" w:val="clear"/>
          </w:tcPr>
          <w:p>
            <w:pPr>
              <w:jc w:val="right"/>
            </w:pPr>
            <w:r>
              <w:rPr>
                <w:b/>
                <w:bCs/>
                <w:color w:val="FFFFFF"/>
                <w:sz w:val="20"/>
                <w:szCs w:val="20"/>
              </w:rPr>
              <w:t xml:space="preserve">Dec 31 2024</w:t>
            </w:r>
          </w:p>
        </w:tc>
        <w:tc>
          <w:tcPr>
            <w:tcW w:type="pct" w:w="18%"/>
            <w:shd w:fill="0F2A44" w:color="auto" w:val="clear"/>
          </w:tcPr>
          <w:p>
            <w:pPr>
              <w:jc w:val="right"/>
            </w:pPr>
            <w:r>
              <w:rPr>
                <w:b/>
                <w:bCs/>
                <w:color w:val="FFFFFF"/>
                <w:sz w:val="20"/>
                <w:szCs w:val="20"/>
              </w:rPr>
              <w:t xml:space="preserve">Δ</w:t>
            </w:r>
          </w:p>
        </w:tc>
      </w:tr>
      <w:tr>
        <w:tc>
          <w:tcPr>
            <w:tcW w:type="pct" w:w="45%"/>
          </w:tcPr>
          <w:p>
            <w:pPr>
              <w:jc w:val="left"/>
            </w:pPr>
            <w:r>
              <w:rPr>
                <w:color w:val="000000"/>
                <w:sz w:val="20"/>
                <w:szCs w:val="20"/>
              </w:rPr>
              <w:t xml:space="preserve">DTA — Advanced billings (Note 11)</w:t>
            </w:r>
          </w:p>
        </w:tc>
        <w:tc>
          <w:tcPr>
            <w:tcW w:type="pct" w:w="18%"/>
          </w:tcPr>
          <w:p>
            <w:pPr>
              <w:jc w:val="right"/>
            </w:pPr>
            <w:r>
              <w:rPr>
                <w:color w:val="000000"/>
                <w:sz w:val="20"/>
                <w:szCs w:val="20"/>
              </w:rPr>
              <w:t xml:space="preserve">15.0</w:t>
            </w:r>
          </w:p>
        </w:tc>
        <w:tc>
          <w:tcPr>
            <w:tcW w:type="pct" w:w="18%"/>
          </w:tcPr>
          <w:p>
            <w:pPr>
              <w:jc w:val="right"/>
            </w:pPr>
            <w:r>
              <w:rPr>
                <w:color w:val="000000"/>
                <w:sz w:val="20"/>
                <w:szCs w:val="20"/>
              </w:rPr>
              <w:t xml:space="preserve">127.1</w:t>
            </w:r>
          </w:p>
        </w:tc>
        <w:tc>
          <w:tcPr>
            <w:tcW w:type="pct" w:w="18%"/>
          </w:tcPr>
          <w:p>
            <w:pPr>
              <w:jc w:val="right"/>
            </w:pPr>
            <w:r>
              <w:rPr>
                <w:color w:val="000000"/>
                <w:sz w:val="20"/>
                <w:szCs w:val="20"/>
              </w:rPr>
              <w:t xml:space="preserve">(112.1)</w:t>
            </w:r>
          </w:p>
        </w:tc>
      </w:tr>
      <w:tr>
        <w:tc>
          <w:tcPr>
            <w:tcW w:type="pct" w:w="45%"/>
          </w:tcPr>
          <w:p>
            <w:pPr>
              <w:jc w:val="left"/>
            </w:pPr>
            <w:r>
              <w:rPr>
                <w:color w:val="000000"/>
                <w:sz w:val="20"/>
                <w:szCs w:val="20"/>
              </w:rPr>
              <w:t xml:space="preserve">Balance-sheet Advanced billings (liability)</w:t>
            </w:r>
          </w:p>
        </w:tc>
        <w:tc>
          <w:tcPr>
            <w:tcW w:type="pct" w:w="18%"/>
          </w:tcPr>
          <w:p>
            <w:pPr>
              <w:jc w:val="right"/>
            </w:pPr>
            <w:r>
              <w:rPr>
                <w:color w:val="000000"/>
                <w:sz w:val="20"/>
                <w:szCs w:val="20"/>
              </w:rPr>
              <w:t xml:space="preserve">854.4</w:t>
            </w:r>
          </w:p>
        </w:tc>
        <w:tc>
          <w:tcPr>
            <w:tcW w:type="pct" w:w="18%"/>
          </w:tcPr>
          <w:p>
            <w:pPr>
              <w:jc w:val="right"/>
            </w:pPr>
            <w:r>
              <w:rPr>
                <w:color w:val="000000"/>
                <w:sz w:val="20"/>
                <w:szCs w:val="20"/>
              </w:rPr>
              <w:t xml:space="preserve">710.6</w:t>
            </w:r>
          </w:p>
        </w:tc>
        <w:tc>
          <w:tcPr>
            <w:tcW w:type="pct" w:w="18%"/>
          </w:tcPr>
          <w:p>
            <w:pPr>
              <w:jc w:val="right"/>
            </w:pPr>
            <w:r>
              <w:rPr>
                <w:color w:val="000000"/>
                <w:sz w:val="20"/>
                <w:szCs w:val="20"/>
              </w:rPr>
              <w:t xml:space="preserve">+143.8</w:t>
            </w:r>
          </w:p>
        </w:tc>
      </w:tr>
      <w:tr>
        <w:tc>
          <w:tcPr>
            <w:tcW w:type="pct" w:w="45%"/>
          </w:tcPr>
          <w:p>
            <w:pPr>
              <w:jc w:val="left"/>
            </w:pPr>
            <w:r>
              <w:rPr>
                <w:color w:val="000000"/>
                <w:sz w:val="20"/>
                <w:szCs w:val="20"/>
              </w:rPr>
              <w:t xml:space="preserve">Revenue recognized in 2025 from opening AB</w:t>
            </w:r>
          </w:p>
        </w:tc>
        <w:tc>
          <w:tcPr>
            <w:tcW w:type="pct" w:w="18%"/>
          </w:tcPr>
          <w:p>
            <w:pPr>
              <w:jc w:val="right"/>
            </w:pPr>
            <w:r>
              <w:rPr>
                <w:color w:val="000000"/>
                <w:sz w:val="20"/>
                <w:szCs w:val="20"/>
              </w:rPr>
              <w:t xml:space="preserve">613.4</w:t>
            </w:r>
          </w:p>
        </w:tc>
        <w:tc>
          <w:tcPr>
            <w:tcW w:type="pct" w:w="18%"/>
          </w:tcPr>
          <w:p>
            <w:pPr>
              <w:jc w:val="right"/>
            </w:pPr>
            <w:r>
              <w:rPr>
                <w:color w:val="000000"/>
                <w:sz w:val="20"/>
                <w:szCs w:val="20"/>
              </w:rPr>
              <w:t xml:space="preserve">498.5 (FY24)</w:t>
            </w:r>
          </w:p>
        </w:tc>
        <w:tc>
          <w:tcPr>
            <w:tcW w:type="pct" w:w="18%"/>
          </w:tcPr>
          <w:p>
            <w:pPr>
              <w:jc w:val="right"/>
            </w:pPr>
            <w:r>
              <w:rPr>
                <w:color w:val="000000"/>
                <w:sz w:val="20"/>
                <w:szCs w:val="20"/>
              </w:rPr>
              <w:t xml:space="preserve">n/m</w:t>
            </w:r>
          </w:p>
        </w:tc>
      </w:tr>
      <w:tr>
        <w:tc>
          <w:tcPr>
            <w:tcW w:type="pct" w:w="45%"/>
          </w:tcPr>
          <w:p>
            <w:pPr>
              <w:jc w:val="left"/>
            </w:pPr>
            <w:r>
              <w:rPr>
                <w:color w:val="000000"/>
                <w:sz w:val="20"/>
                <w:szCs w:val="20"/>
              </w:rPr>
              <w:t xml:space="preserve">Cash-flow statement ΔAdvanced billings</w:t>
            </w:r>
          </w:p>
        </w:tc>
        <w:tc>
          <w:tcPr>
            <w:tcW w:type="pct" w:w="18%"/>
          </w:tcPr>
          <w:p>
            <w:pPr>
              <w:jc w:val="right"/>
            </w:pPr>
            <w:r>
              <w:rPr>
                <w:color w:val="000000"/>
                <w:sz w:val="20"/>
                <w:szCs w:val="20"/>
              </w:rPr>
              <w:t xml:space="preserve">+143.8</w:t>
            </w:r>
          </w:p>
        </w:tc>
        <w:tc>
          <w:tcPr>
            <w:tcW w:type="pct" w:w="18%"/>
          </w:tcPr>
          <w:p>
            <w:pPr>
              <w:jc w:val="right"/>
            </w:pPr>
            <w:r>
              <w:rPr>
                <w:color w:val="000000"/>
                <w:sz w:val="20"/>
                <w:szCs w:val="20"/>
              </w:rPr>
              <w:t xml:space="preserve">+150.7</w:t>
            </w:r>
          </w:p>
        </w:tc>
        <w:tc>
          <w:tcPr>
            <w:tcW w:type="pct" w:w="18%"/>
          </w:tcPr>
          <w:p>
            <w:pPr>
              <w:jc w:val="right"/>
            </w:pPr>
            <w:r>
              <w:rPr>
                <w:color w:val="000000"/>
                <w:sz w:val="20"/>
                <w:szCs w:val="20"/>
              </w:rPr>
              <w:t xml:space="preserve">n/m</w:t>
            </w:r>
          </w:p>
        </w:tc>
      </w:tr>
    </w:tbl>
    <w:p>
      <w:pPr>
        <w:spacing w:after="60" w:before="60" w:line="300"/>
      </w:pPr>
      <w:r>
        <w:rPr>
          <w:sz w:val="22"/>
          <w:szCs w:val="22"/>
        </w:rPr>
        <w:t xml:space="preserve">Advanced billings is effectively deferred revenue — customers pay in advance, Medpace has not yet performed the service. The DTA arises because book and tax recognize that deferred revenue on different schedules: book defers to performance, tax can defer up to one year under §451(c).</w:t>
      </w:r>
    </w:p>
    <w:p>
      <w:pPr>
        <w:spacing w:after="60" w:before="60" w:line="300"/>
      </w:pPr>
      <w:r>
        <w:rPr>
          <w:sz w:val="22"/>
          <w:szCs w:val="22"/>
        </w:rPr>
        <w:t xml:space="preserve">Cross-check against the balance sheet. Advanced billings LIABILITY grew from $710.6M to $854.4M — an INCREASE of $143.8M. The cash-flow statement confirms this was a $143.8M working-capital source. So customer pre-payment behavior is if anything slightly positive.</w:t>
      </w:r>
    </w:p>
    <w:p>
      <w:pPr>
        <w:spacing w:after="60" w:before="60" w:line="300"/>
      </w:pPr>
      <w:r>
        <w:rPr>
          <w:sz w:val="22"/>
          <w:szCs w:val="22"/>
        </w:rPr>
        <w:t xml:space="preserve">That makes the DTA collapse more interesting, not less. A DTA of $127.1M at 21% federal implies a book-tax timing difference of $605M; a DTA of $15.0M implies $71M. So the tax-book gap on advance billings fell $534M in the same year the gross advance-billings balance GREW $144M. The most likely explanation is a change in tax treatment — OBBBA (enacted July 4, 2025) amended §451 treatment of advance payments, and some CROs may have been required (or elected) to accelerate tax recognition of advance payments, converting a large DTA into current tax exposure. The 10-K acknowledges OBBBA but does not quantify the advance-billings effect.</w:t>
      </w:r>
    </w:p>
    <w:p>
      <w:pPr>
        <w:spacing w:after="60" w:before="60" w:line="300"/>
      </w:pPr>
      <w:r>
        <w:rPr>
          <w:sz w:val="22"/>
          <w:szCs w:val="22"/>
        </w:rPr>
        <w:t xml:space="preserve">Why this matters: if it is OBBBA-driven, the ~$112M DTA collapse translates into an accelerated cash-tax liability that Medpace paid (or will pay) sooner than under prior law — a real cash headwind separately obscured by the reported ETR. Combined with the $12M interest-income drag and the $917M buyback cash outflow, FY2025 saw roughly a $200M+ cash-flow impact from items the reader would miss on a quick read.</w:t>
      </w:r>
    </w:p>
    <w:p>
      <w:pPr>
        <w:spacing w:after="60" w:before="20"/>
      </w:pPr>
      <w:r>
        <w:rPr>
          <w:i/>
          <w:iCs/>
          <w:color w:val="6A6A6A"/>
          <w:sz w:val="18"/>
          <w:szCs w:val="18"/>
        </w:rPr>
        <w:t xml:space="preserve">Source: Consolidated Balance Sheet advance-billings line (10-K p.47), Consolidated Statement of Cash Flows (p.51), Note 11 Income Taxes (p.69), Note 3 Revenue from Contracts with Customers (p.54, which discloses that $613.4M of revenue was recognized in 2025 from the opening advance-billings balance).</w:t>
      </w:r>
    </w:p>
    <w:p>
      <w:pPr>
        <w:pStyle w:val="Heading1"/>
        <w:spacing w:after="120" w:before="280"/>
      </w:pPr>
      <w:r>
        <w:rPr>
          <w:b/>
          <w:bCs/>
          <w:color w:val="0F2A44"/>
          <w:sz w:val="30"/>
          <w:szCs w:val="30"/>
        </w:rPr>
        <w:t xml:space="preserve">4. Buried details worth surfacing</w:t>
      </w:r>
    </w:p>
    <w:p>
      <w:pPr>
        <w:pStyle w:val="ListParagraph"/>
        <w:numPr>
          <w:ilvl w:val="0"/>
          <w:numId w:val="1"/>
        </w:numPr>
        <w:spacing w:after="40" w:before="40" w:line="280"/>
      </w:pPr>
      <w:r>
        <w:rPr>
          <w:sz w:val="22"/>
          <w:szCs w:val="22"/>
        </w:rPr>
        <w:t xml:space="preserve">AI appears in Item 1A Risk Factors only — the 10-K treats AI/ML as an exogenous risk to trial conduct and data integrity, not as a productivity tailwind. No offensive AI strategy disclosed. (Risk factor: "Our use of AI could present risks to our business.")</w:t>
      </w:r>
    </w:p>
    <w:p>
      <w:pPr>
        <w:pStyle w:val="ListParagraph"/>
        <w:numPr>
          <w:ilvl w:val="0"/>
          <w:numId w:val="1"/>
        </w:numPr>
        <w:spacing w:after="40" w:before="40" w:line="280"/>
      </w:pPr>
      <w:r>
        <w:rPr>
          <w:sz w:val="22"/>
          <w:szCs w:val="22"/>
        </w:rPr>
        <w:t xml:space="preserve">Headcount ~6,200 across 46 countries (Item 1 Human Capital). Revenue per head ~$408K gross / $241K on direct-service basis — broadly stable YoY.</w:t>
      </w:r>
    </w:p>
    <w:p>
      <w:pPr>
        <w:pStyle w:val="ListParagraph"/>
        <w:numPr>
          <w:ilvl w:val="0"/>
          <w:numId w:val="1"/>
        </w:numPr>
        <w:spacing w:after="40" w:before="40" w:line="280"/>
      </w:pPr>
      <w:r>
        <w:rPr>
          <w:sz w:val="22"/>
          <w:szCs w:val="22"/>
        </w:rPr>
        <w:t xml:space="preserve">99% of contracting revenue is booked to U.S. entities despite the 46-country operating footprint. Implies very modest natural FX hedge at the revenue line. Euro moved from 1.08 to 1.13 and FX loss of $(7.7)M vs $(0.5)M prior year (+$7.2M headwind).</w:t>
      </w:r>
    </w:p>
    <w:p>
      <w:pPr>
        <w:pStyle w:val="ListParagraph"/>
        <w:numPr>
          <w:ilvl w:val="0"/>
          <w:numId w:val="1"/>
        </w:numPr>
        <w:spacing w:after="40" w:before="40" w:line="280"/>
      </w:pPr>
      <w:r>
        <w:rPr>
          <w:sz w:val="22"/>
          <w:szCs w:val="22"/>
        </w:rPr>
        <w:t xml:space="preserve">Customer concentration language is present but no single customer disclosed as &gt;10% of revenue. The filing discloses payment-risk arrangements with small biopharma sponsors — typically staged milestones to protect collectibility.</w:t>
      </w:r>
    </w:p>
    <w:p>
      <w:pPr>
        <w:pStyle w:val="ListParagraph"/>
        <w:numPr>
          <w:ilvl w:val="0"/>
          <w:numId w:val="1"/>
        </w:numPr>
        <w:spacing w:after="40" w:before="40" w:line="280"/>
      </w:pPr>
      <w:r>
        <w:rPr>
          <w:sz w:val="22"/>
          <w:szCs w:val="22"/>
        </w:rPr>
        <w:t xml:space="preserve">Goodwill unchanged at $662.4M — no M&amp;A in 2025. Strategic growth is 100% organic, consistent with history but notable in a CRO environment where peers (IQVIA, ICON) have been acquisitive.</w:t>
      </w:r>
    </w:p>
    <w:p>
      <w:pPr>
        <w:pStyle w:val="ListParagraph"/>
        <w:numPr>
          <w:ilvl w:val="0"/>
          <w:numId w:val="1"/>
        </w:numPr>
        <w:spacing w:after="40" w:before="40" w:line="280"/>
      </w:pPr>
      <w:r>
        <w:rPr>
          <w:sz w:val="22"/>
          <w:szCs w:val="22"/>
        </w:rPr>
        <w:t xml:space="preserve">Unsecured credit facility of $10M with PNC (Note 7). Zero drawn. Medpace has effectively no debt capital structure — unusual for a $10B+ market cap name. All working-capital is financed by customer advance billings (which, per Thread 3, are now shrinking).</w:t>
      </w:r>
    </w:p>
    <w:p>
      <w:pPr>
        <w:pStyle w:val="ListParagraph"/>
        <w:numPr>
          <w:ilvl w:val="0"/>
          <w:numId w:val="1"/>
        </w:numPr>
        <w:spacing w:after="40" w:before="40" w:line="280"/>
      </w:pPr>
      <w:r>
        <w:rPr>
          <w:sz w:val="22"/>
          <w:szCs w:val="22"/>
        </w:rPr>
        <w:t xml:space="preserve">CEO Troendle filed a 10b5-1 plan in November 2025 for up to 150,000 shares, then adopted a second 150,000-share plan on Nov 24, 2025, and TERMINATED it on Dec 4, 2025 (Item 9B). Three insider plans also adopted by the President (Jesse Geiger, Nov 11 for 11,000 shares good through Dec 31 2026) and CFO (Kevin Brady, Nov 21 for 3,000 shares).</w:t>
      </w:r>
    </w:p>
    <w:p>
      <w:pPr>
        <w:pStyle w:val="ListParagraph"/>
        <w:numPr>
          <w:ilvl w:val="0"/>
          <w:numId w:val="1"/>
        </w:numPr>
        <w:spacing w:after="40" w:before="40" w:line="280"/>
      </w:pPr>
      <w:r>
        <w:rPr>
          <w:sz w:val="22"/>
          <w:szCs w:val="22"/>
        </w:rPr>
        <w:t xml:space="preserve">Uncertain tax positions balance grew from $25.5M to $28.5M (+12%). Associated interest/penalty liability $8.3M. Not outsized but growing.</w:t>
      </w:r>
    </w:p>
    <w:p>
      <w:pPr>
        <w:pStyle w:val="ListParagraph"/>
        <w:numPr>
          <w:ilvl w:val="0"/>
          <w:numId w:val="1"/>
        </w:numPr>
        <w:spacing w:after="40" w:before="40" w:line="280"/>
      </w:pPr>
      <w:r>
        <w:rPr>
          <w:sz w:val="22"/>
          <w:szCs w:val="22"/>
        </w:rPr>
        <w:t xml:space="preserve">No mention of OBBBA quantification (One Big Beautiful Bill Act, enacted July 4, 2025) despite materiality of FDII/GILTI to a nearly-all-U.S.-contracted service exporter. The filing acknowledges OBBBA but provides no effect disclosure.</w:t>
      </w:r>
    </w:p>
    <w:p>
      <w:pPr>
        <w:pStyle w:val="ListParagraph"/>
        <w:numPr>
          <w:ilvl w:val="0"/>
          <w:numId w:val="1"/>
        </w:numPr>
        <w:spacing w:after="40" w:before="40" w:line="280"/>
      </w:pPr>
      <w:r>
        <w:rPr>
          <w:sz w:val="22"/>
          <w:szCs w:val="22"/>
        </w:rPr>
        <w:t xml:space="preserve">Competitors explicitly named: IQVIA, ICON, PPD (part of Thermo Fisher), and Fortrea. No mention of Syneos (now private) or the emerging AI-clinical-tech names.</w:t>
      </w:r>
    </w:p>
    <w:p>
      <w:pPr>
        <w:pStyle w:val="ListParagraph"/>
        <w:numPr>
          <w:ilvl w:val="0"/>
          <w:numId w:val="1"/>
        </w:numPr>
        <w:spacing w:after="40" w:before="40" w:line="280"/>
      </w:pPr>
      <w:r>
        <w:rPr>
          <w:sz w:val="22"/>
          <w:szCs w:val="22"/>
        </w:rPr>
        <w:t xml:space="preserve">NOTE (non-10-K context for framing): A securities class-action investigation was initiated in February 2026 relating to alleged guidance on FY25 Q4 book-to-bill (plaintiffs allege management repeatedly suggested 1.15x was achievable; actual printed at 1.04x). Period covered: April 22, 2025 – February 9, 2026. The 10-K does not disclose this as it was filed the day after Q4 earnings; investor should monitor subsequent 8-Ks.</w:t>
      </w:r>
    </w:p>
    <w:p>
      <w:pPr>
        <w:pStyle w:val="ListParagraph"/>
        <w:numPr>
          <w:ilvl w:val="0"/>
          <w:numId w:val="1"/>
        </w:numPr>
        <w:spacing w:after="40" w:before="40" w:line="280"/>
      </w:pPr>
      <w:r>
        <w:rPr>
          <w:sz w:val="22"/>
          <w:szCs w:val="22"/>
        </w:rPr>
        <w:t xml:space="preserve">NOTE (non-10-K context for framing): Management's FY2026 guidance is revenue $2.755–$2.855B (+8.9% to +12.8%) and diluted EPS $16.68–$17.50 (+9.2% to +14.5%). Both deceleration ranges are directionally consistent with the "+11.5% direct-service" thesis derived from this 10-K; the reported 2025 optics will not repeat.</w:t>
      </w:r>
    </w:p>
    <w:p>
      <w:pPr>
        <w:pStyle w:val="Heading1"/>
        <w:spacing w:after="120" w:before="280"/>
      </w:pPr>
      <w:r>
        <w:rPr>
          <w:b/>
          <w:bCs/>
          <w:color w:val="0F2A44"/>
          <w:sz w:val="30"/>
          <w:szCs w:val="30"/>
        </w:rPr>
        <w:t xml:space="preserve">5. Earnings quality read</w:t>
      </w:r>
    </w:p>
    <w:p>
      <w:pPr>
        <w:spacing w:after="60" w:before="60" w:line="300"/>
      </w:pPr>
      <w:r>
        <w:rPr>
          <w:sz w:val="22"/>
          <w:szCs w:val="22"/>
        </w:rPr>
        <w:t xml:space="preserve">Pulling the above together, the quality of the FY2025 $451M of net income is mixed.</w:t>
      </w:r>
    </w:p>
    <w:p>
      <w:pPr>
        <w:spacing w:after="60" w:before="60" w:line="300"/>
      </w:pPr>
      <w:r>
        <w:rPr>
          <w:sz w:val="22"/>
          <w:szCs w:val="22"/>
        </w:rPr>
        <w:t xml:space="preserve">Positives (durable):</w:t>
      </w:r>
    </w:p>
    <w:p>
      <w:pPr>
        <w:pStyle w:val="ListParagraph"/>
        <w:numPr>
          <w:ilvl w:val="0"/>
          <w:numId w:val="1"/>
        </w:numPr>
        <w:spacing w:after="40" w:before="40" w:line="280"/>
      </w:pPr>
      <w:r>
        <w:rPr>
          <w:sz w:val="22"/>
          <w:szCs w:val="22"/>
        </w:rPr>
        <w:t xml:space="preserve">Operating leverage on direct-service gross margin: +15.9% on +11.5% direct-service revenue growth — i.e. underlying margin is still expanding.</w:t>
      </w:r>
    </w:p>
    <w:p>
      <w:pPr>
        <w:pStyle w:val="ListParagraph"/>
        <w:numPr>
          <w:ilvl w:val="0"/>
          <w:numId w:val="1"/>
        </w:numPr>
        <w:spacing w:after="40" w:before="40" w:line="280"/>
      </w:pPr>
      <w:r>
        <w:rPr>
          <w:sz w:val="22"/>
          <w:szCs w:val="22"/>
        </w:rPr>
        <w:t xml:space="preserve">No acquisition goodwill inflation; growth is organic.</w:t>
      </w:r>
    </w:p>
    <w:p>
      <w:pPr>
        <w:pStyle w:val="ListParagraph"/>
        <w:numPr>
          <w:ilvl w:val="0"/>
          <w:numId w:val="1"/>
        </w:numPr>
        <w:spacing w:after="40" w:before="40" w:line="280"/>
      </w:pPr>
      <w:r>
        <w:rPr>
          <w:sz w:val="22"/>
          <w:szCs w:val="22"/>
        </w:rPr>
        <w:t xml:space="preserve">Cash conversion: operating cash flow was supported by $451M of net income, and the company returned $917M via buybacks — capital return program remains real.</w:t>
      </w:r>
    </w:p>
    <w:p>
      <w:pPr>
        <w:pStyle w:val="ListParagraph"/>
        <w:numPr>
          <w:ilvl w:val="0"/>
          <w:numId w:val="1"/>
        </w:numPr>
        <w:spacing w:after="40" w:before="40" w:line="280"/>
      </w:pPr>
      <w:r>
        <w:rPr>
          <w:sz w:val="22"/>
          <w:szCs w:val="22"/>
        </w:rPr>
        <w:t xml:space="preserve">No material goodwill impairment, no unusual accounting-policy changes.</w:t>
      </w:r>
    </w:p>
    <w:p>
      <w:pPr>
        <w:spacing w:after="60" w:before="60" w:line="300"/>
      </w:pPr>
      <w:r>
        <w:rPr>
          <w:sz w:val="22"/>
          <w:szCs w:val="22"/>
        </w:rPr>
        <w:t xml:space="preserve">Negatives (quality drags):</w:t>
      </w:r>
    </w:p>
    <w:p>
      <w:pPr>
        <w:pStyle w:val="ListParagraph"/>
        <w:numPr>
          <w:ilvl w:val="0"/>
          <w:numId w:val="1"/>
        </w:numPr>
        <w:spacing w:after="40" w:before="40" w:line="280"/>
      </w:pPr>
      <w:r>
        <w:rPr>
          <w:sz w:val="22"/>
          <w:szCs w:val="22"/>
        </w:rPr>
        <w:t xml:space="preserve">~63% of reported revenue growth was zero-margin pass-through. Sustainability uncertain.</w:t>
      </w:r>
    </w:p>
    <w:p>
      <w:pPr>
        <w:pStyle w:val="ListParagraph"/>
        <w:numPr>
          <w:ilvl w:val="0"/>
          <w:numId w:val="1"/>
        </w:numPr>
        <w:spacing w:after="40" w:before="40" w:line="280"/>
      </w:pPr>
      <w:r>
        <w:rPr>
          <w:sz w:val="22"/>
          <w:szCs w:val="22"/>
        </w:rPr>
        <w:t xml:space="preserve">Net income grew only +11.6% vs revenue +20.0%, explained by (i) rising tax rate (+180bps), (ii) $12M interest income drag, (iii) $9.4M FX swing. These are not "one-time" — they will repeat if buyback pace continues.</w:t>
      </w:r>
    </w:p>
    <w:p>
      <w:pPr>
        <w:pStyle w:val="ListParagraph"/>
        <w:numPr>
          <w:ilvl w:val="0"/>
          <w:numId w:val="1"/>
        </w:numPr>
        <w:spacing w:after="40" w:before="40" w:line="280"/>
      </w:pPr>
      <w:r>
        <w:rPr>
          <w:sz w:val="22"/>
          <w:szCs w:val="22"/>
        </w:rPr>
        <w:t xml:space="preserve">Advanced-billings DTA collapsed $112M (likely OBBBA §451 acceleration) while gross advance-billings liability grew $144M — the tax-book timing gap effectively disappeared, driving an unquantified cash-tax acceleration.</w:t>
      </w:r>
    </w:p>
    <w:p>
      <w:pPr>
        <w:pStyle w:val="ListParagraph"/>
        <w:numPr>
          <w:ilvl w:val="0"/>
          <w:numId w:val="1"/>
        </w:numPr>
        <w:spacing w:after="40" w:before="40" w:line="280"/>
      </w:pPr>
      <w:r>
        <w:rPr>
          <w:sz w:val="22"/>
          <w:szCs w:val="22"/>
        </w:rPr>
        <w:t xml:space="preserve">Backlog duration shortening (55% NTM vs 43% prior year) compresses out-year visibility.</w:t>
      </w:r>
    </w:p>
    <w:p>
      <w:pPr>
        <w:pStyle w:val="ListParagraph"/>
        <w:numPr>
          <w:ilvl w:val="0"/>
          <w:numId w:val="1"/>
        </w:numPr>
        <w:spacing w:after="40" w:before="40" w:line="280"/>
      </w:pPr>
      <w:r>
        <w:rPr>
          <w:sz w:val="22"/>
          <w:szCs w:val="22"/>
        </w:rPr>
        <w:t xml:space="preserve">EPS of $15.28 (+21%) overstates the rate of underlying income accretion because ~8%+ of the growth is a buyback-driven share-count effect that required $917M of cash.</w:t>
      </w:r>
    </w:p>
    <w:p>
      <w:pPr>
        <w:spacing w:after="60" w:before="60" w:line="300"/>
      </w:pPr>
      <w:r>
        <w:rPr>
          <w:sz w:val="22"/>
          <w:szCs w:val="22"/>
        </w:rPr>
        <w:t xml:space="preserve">Net: FY2025 earnings quality is LOWER than headline numbers imply. Reported +20% revenue, +11.6% net income, +21% EPS translates to "direct-service revenue +11.5%, operating cash generation roughly flat-to-up-mid-single-digits if buyback-funded EPS accretion is stripped." The gap between the two framings is the valuation question.</w:t>
      </w:r>
    </w:p>
    <w:p>
      <w:pPr>
        <w:pStyle w:val="Heading1"/>
        <w:spacing w:after="120" w:before="280"/>
      </w:pPr>
      <w:r>
        <w:rPr>
          <w:b/>
          <w:bCs/>
          <w:color w:val="0F2A44"/>
          <w:sz w:val="30"/>
          <w:szCs w:val="30"/>
        </w:rPr>
        <w:t xml:space="preserve">6. Follow-up questions for management / IR</w:t>
      </w:r>
    </w:p>
    <w:p>
      <w:pPr>
        <w:pStyle w:val="ListParagraph"/>
        <w:numPr>
          <w:ilvl w:val="0"/>
          <w:numId w:val="1"/>
        </w:numPr>
        <w:spacing w:after="40" w:before="40" w:line="280"/>
      </w:pPr>
      <w:r>
        <w:rPr>
          <w:sz w:val="22"/>
          <w:szCs w:val="22"/>
        </w:rPr>
        <w:t xml:space="preserve">Walk FY2026 revenue guide by (a) direct-service growth, (b) pass-through growth, separately. If guide assumes pass-through &gt;20% again, why?</w:t>
      </w:r>
    </w:p>
    <w:p>
      <w:pPr>
        <w:pStyle w:val="ListParagraph"/>
        <w:numPr>
          <w:ilvl w:val="0"/>
          <w:numId w:val="1"/>
        </w:numPr>
        <w:spacing w:after="40" w:before="40" w:line="280"/>
      </w:pPr>
      <w:r>
        <w:rPr>
          <w:sz w:val="22"/>
          <w:szCs w:val="22"/>
        </w:rPr>
        <w:t xml:space="preserve">The advance-billings DTA collapsed $112M while gross AB liability grew $144M. Was this driven by OBBBA §451 acceleration? Quantify the cash-tax impact and the FY26 run-rate effect.</w:t>
      </w:r>
    </w:p>
    <w:p>
      <w:pPr>
        <w:pStyle w:val="ListParagraph"/>
        <w:numPr>
          <w:ilvl w:val="0"/>
          <w:numId w:val="1"/>
        </w:numPr>
        <w:spacing w:after="40" w:before="40" w:line="280"/>
      </w:pPr>
      <w:r>
        <w:rPr>
          <w:sz w:val="22"/>
          <w:szCs w:val="22"/>
        </w:rPr>
        <w:t xml:space="preserve">NTM expected revenue recognition shifted from 43% to 55% of performance obligations. Is this a mix shift toward shorter studies or an acceleration in consumption of existing book?</w:t>
      </w:r>
    </w:p>
    <w:p>
      <w:pPr>
        <w:pStyle w:val="ListParagraph"/>
        <w:numPr>
          <w:ilvl w:val="0"/>
          <w:numId w:val="1"/>
        </w:numPr>
        <w:spacing w:after="40" w:before="40" w:line="280"/>
      </w:pPr>
      <w:r>
        <w:rPr>
          <w:sz w:val="22"/>
          <w:szCs w:val="22"/>
        </w:rPr>
        <w:t xml:space="preserve">Quantify OBBBA (July 2025) impact on FY26 effective tax rate and FDII position.</w:t>
      </w:r>
    </w:p>
    <w:p>
      <w:pPr>
        <w:pStyle w:val="ListParagraph"/>
        <w:numPr>
          <w:ilvl w:val="0"/>
          <w:numId w:val="1"/>
        </w:numPr>
        <w:spacing w:after="40" w:before="40" w:line="280"/>
      </w:pPr>
      <w:r>
        <w:rPr>
          <w:sz w:val="22"/>
          <w:szCs w:val="22"/>
        </w:rPr>
        <w:t xml:space="preserve">At what buyback IRR / opportunity-cost-of-capital did the Board approve $917M of repurchase in FY25? What is the cash-balance floor?</w:t>
      </w:r>
    </w:p>
    <w:p>
      <w:pPr>
        <w:pStyle w:val="ListParagraph"/>
        <w:numPr>
          <w:ilvl w:val="0"/>
          <w:numId w:val="1"/>
        </w:numPr>
        <w:spacing w:after="40" w:before="40" w:line="280"/>
      </w:pPr>
      <w:r>
        <w:rPr>
          <w:sz w:val="22"/>
          <w:szCs w:val="22"/>
        </w:rPr>
        <w:t xml:space="preserve">Related-party LIB revenue declined ~$35M cumulatively over 3 years while CinRx grew ~$30M. What is the pipeline visibility on these two accounts in FY26?</w:t>
      </w:r>
    </w:p>
    <w:p>
      <w:pPr>
        <w:pStyle w:val="ListParagraph"/>
        <w:numPr>
          <w:ilvl w:val="0"/>
          <w:numId w:val="1"/>
        </w:numPr>
        <w:spacing w:after="40" w:before="40" w:line="280"/>
      </w:pPr>
      <w:r>
        <w:rPr>
          <w:sz w:val="22"/>
          <w:szCs w:val="22"/>
        </w:rPr>
        <w:t xml:space="preserve">AI mentioned only as risk. What is the offensive AI roadmap, if any — Medpace's differentiation vs IQVIA/ICON on clinical-ops AI spend?</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Medpace 10-K Reality Check — Cowork source-locked memo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2026-04-20T05:40:15.784Z</dcterms:created>
  <dcterms:modified xsi:type="dcterms:W3CDTF">2026-04-20T05:40:15.784Z</dcterms:modified>
</cp:coreProperties>
</file>

<file path=docProps/custom.xml><?xml version="1.0" encoding="utf-8"?>
<Properties xmlns="http://schemas.openxmlformats.org/officeDocument/2006/custom-properties" xmlns:vt="http://schemas.openxmlformats.org/officeDocument/2006/docPropsVTypes"/>
</file>