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F2A44"/>
          <w:sz w:val="36"/>
          <w:szCs w:val="36"/>
        </w:rPr>
        <w:t xml:space="preserve">VERIFICATION PROTOCOL — MEDPACE 10-K MEMO</w:t>
      </w:r>
    </w:p>
    <w:p>
      <w:r>
        <w:rPr>
          <w:i/>
          <w:iCs/>
          <w:color w:val="555555"/>
          <w:sz w:val="20"/>
          <w:szCs w:val="20"/>
        </w:rPr>
        <w:t xml:space="preserve">Senior-fact-checker review of the source-locked Medpace FY25 10-K memo. Independent web-search verification of high-risk claims per Ann's standing preference.</w:t>
      </w:r>
    </w:p>
    <w:p>
      <w:pPr>
        <w:spacing w:after="200"/>
      </w:pPr>
      <w:r>
        <w:rPr>
          <w:color w:val="888888"/>
          <w:sz w:val="18"/>
          <w:szCs w:val="18"/>
        </w:rPr>
        <w:t xml:space="preserve">Date: 2026-04-20  |  Subject: medpace-10k-reality-check.docx / .html  |  Source: Medpace Form 10-K filed 2/10/2026 + independent web verification</w:t>
      </w:r>
    </w:p>
    <w:p>
      <w:pPr>
        <w:pStyle w:val="Heading1"/>
        <w:spacing w:after="120" w:before="280"/>
      </w:pPr>
      <w:r>
        <w:rPr>
          <w:b/>
          <w:bCs/>
          <w:color w:val="0F2A44"/>
          <w:sz w:val="30"/>
          <w:szCs w:val="30"/>
        </w:rPr>
        <w:t xml:space="preserve">Objective</w:t>
      </w:r>
    </w:p>
    <w:p>
      <w:pPr>
        <w:spacing w:after="60" w:before="60" w:line="300"/>
      </w:pPr>
      <w:r>
        <w:rPr>
          <w:sz w:val="22"/>
          <w:szCs w:val="22"/>
        </w:rPr>
        <w:t xml:space="preserve">Review the source-locked 10-K memo for the highest-risk claims — those that would change the investment decision if wrong. Verify (not just flag) regulatory status, current executive positions, financial metrics from the past 12 months, competitive positioning, and any dated claim.</w:t>
      </w:r>
    </w:p>
    <w:p>
      <w:pPr>
        <w:pStyle w:val="Heading1"/>
        <w:spacing w:after="120" w:before="280"/>
      </w:pPr>
      <w:r>
        <w:rPr>
          <w:b/>
          <w:bCs/>
          <w:color w:val="0F2A44"/>
          <w:sz w:val="30"/>
          <w:szCs w:val="30"/>
        </w:rPr>
        <w:t xml:space="preserve">Section 1: Critical Issues (Verified Errors)</w:t>
      </w:r>
    </w:p>
    <w:p>
      <w:pPr>
        <w:spacing w:after="60" w:before="60" w:line="300"/>
      </w:pPr>
      <w:r>
        <w:rPr>
          <w:sz w:val="22"/>
          <w:szCs w:val="22"/>
        </w:rPr>
        <w:t xml:space="preserve">One self-caught error in the memo drafting process and one adjustment to framing. Both material enough that the memo was revised before delivery.</w:t>
      </w:r>
    </w:p>
    <w:p>
      <w:pPr>
        <w:pStyle w:val="Heading2"/>
        <w:spacing w:after="120" w:before="280"/>
      </w:pPr>
      <w:r>
        <w:rPr>
          <w:b/>
          <w:bCs/>
          <w:color w:val="0F2A44"/>
          <w:sz w:val="26"/>
          <w:szCs w:val="26"/>
        </w:rPr>
        <w:t xml:space="preserve">Error 1 (self-caught) — Advance-billings thesis wrong in first draft</w:t>
      </w:r>
    </w:p>
    <w:p>
      <w:pPr>
        <w:spacing w:after="40" w:before="40" w:line="280"/>
      </w:pPr>
      <w:r>
        <w:rPr>
          <w:b/>
          <w:bCs/>
          <w:sz w:val="22"/>
          <w:szCs w:val="22"/>
        </w:rPr>
        <w:t xml:space="preserve">Claim in first draft: </w:t>
      </w:r>
      <w:r>
        <w:rPr>
          <w:sz w:val="22"/>
          <w:szCs w:val="22"/>
        </w:rPr>
        <w:t xml:space="preserve">"Advance billings on the balance sheet went from $605.1M to $477.1M (a $128M decline... That is the uncomfortable answer: customers paid less in advance in 2025 than in 2024."</w:t>
      </w:r>
    </w:p>
    <w:p>
      <w:pPr>
        <w:spacing w:after="40" w:before="40" w:line="280"/>
      </w:pPr>
      <w:r>
        <w:rPr>
          <w:b/>
          <w:bCs/>
          <w:sz w:val="22"/>
          <w:szCs w:val="22"/>
        </w:rPr>
        <w:t xml:space="preserve">Actual fact (from the 10-K itself): </w:t>
      </w:r>
      <w:r>
        <w:rPr>
          <w:sz w:val="22"/>
          <w:szCs w:val="22"/>
        </w:rPr>
        <w:t xml:space="preserve">Advance billings LIABILITY grew from $710.6M (Dec 31 2024) to $854.4M (Dec 31 2025), an INCREASE of $143.8M. The Cash Flow Statement shows +$143.8M working-capital source from advance billings. Customers are pre-paying at a healthier pace, not a worse pace.</w:t>
      </w:r>
    </w:p>
    <w:p>
      <w:pPr>
        <w:spacing w:after="40" w:before="40" w:line="280"/>
      </w:pPr>
      <w:r>
        <w:rPr>
          <w:b/>
          <w:bCs/>
          <w:sz w:val="22"/>
          <w:szCs w:val="22"/>
        </w:rPr>
        <w:t xml:space="preserve">Source: </w:t>
      </w:r>
      <w:r>
        <w:rPr>
          <w:sz w:val="22"/>
          <w:szCs w:val="22"/>
        </w:rPr>
        <w:t xml:space="preserve">10-K Consolidated Balance Sheet (p.47, advance-billings line) and Consolidated Statement of Cash Flows (p.51).</w:t>
      </w:r>
    </w:p>
    <w:p>
      <w:pPr>
        <w:spacing w:after="40" w:before="40" w:line="280"/>
      </w:pPr>
      <w:r>
        <w:rPr>
          <w:b/>
          <w:bCs/>
          <w:sz w:val="22"/>
          <w:szCs w:val="22"/>
        </w:rPr>
        <w:t xml:space="preserve">Correction applied: </w:t>
      </w:r>
      <w:r>
        <w:rPr>
          <w:sz w:val="22"/>
          <w:szCs w:val="22"/>
        </w:rPr>
        <w:t xml:space="preserve">Thread 3 rewritten. DTA collapse ($127.1M → $15.0M = −$112M) now attributed to probable OBBBA §451 tax-law acceleration, not to customer-behavior deterioration. The underlying anomaly (a large unexplained tax-timing movement) is still worth an investigator's attention — but for a different reason (cash-tax acceleration, not working-capital stress).</w:t>
      </w:r>
    </w:p>
    <w:p>
      <w:pPr>
        <w:spacing w:after="40" w:before="40" w:line="280"/>
      </w:pPr>
      <w:r>
        <w:rPr>
          <w:b/>
          <w:bCs/>
          <w:sz w:val="22"/>
          <w:szCs w:val="22"/>
        </w:rPr>
        <w:t xml:space="preserve">Investment impact: </w:t>
      </w:r>
      <w:r>
        <w:rPr>
          <w:sz w:val="22"/>
          <w:szCs w:val="22"/>
        </w:rPr>
        <w:t xml:space="preserve">The corrected thesis is LESS BEARISH on working-capital / customer-concentration risk but still RAISES a one-time cash-tax-acceleration concern of an unquantified magnitude. Net effect on thesis: roughly neutral; but the memo would have been materially wrong without the correction.</w:t>
      </w:r>
    </w:p>
    <w:p>
      <w:pPr>
        <w:pStyle w:val="Heading2"/>
        <w:spacing w:after="120" w:before="280"/>
      </w:pPr>
      <w:r>
        <w:rPr>
          <w:b/>
          <w:bCs/>
          <w:color w:val="0F2A44"/>
          <w:sz w:val="26"/>
          <w:szCs w:val="26"/>
        </w:rPr>
        <w:t xml:space="preserve">Error 2 — Deck-based memo (now superseded) stated EPS +67%; actual Q4 EPS growth was +27%</w:t>
      </w:r>
    </w:p>
    <w:p>
      <w:pPr>
        <w:spacing w:after="40" w:before="40" w:line="280"/>
      </w:pPr>
      <w:r>
        <w:rPr>
          <w:b/>
          <w:bCs/>
          <w:sz w:val="22"/>
          <w:szCs w:val="22"/>
        </w:rPr>
        <w:t xml:space="preserve">Claim in the earlier deck-based memo: </w:t>
      </w:r>
      <w:r>
        <w:rPr>
          <w:sz w:val="22"/>
          <w:szCs w:val="22"/>
        </w:rPr>
        <w:t xml:space="preserve">Diluted EPS grew ~67% in Q4 2025.</w:t>
      </w:r>
    </w:p>
    <w:p>
      <w:pPr>
        <w:spacing w:after="40" w:before="40" w:line="280"/>
      </w:pPr>
      <w:r>
        <w:rPr>
          <w:b/>
          <w:bCs/>
          <w:sz w:val="22"/>
          <w:szCs w:val="22"/>
        </w:rPr>
        <w:t xml:space="preserve">Actual fact (verified): </w:t>
      </w:r>
      <w:r>
        <w:rPr>
          <w:sz w:val="22"/>
          <w:szCs w:val="22"/>
        </w:rPr>
        <w:t xml:space="preserve">Q4 2025 GAAP diluted EPS was $4.67 vs $3.67 prior-year Q4 = +27.2%. Full-year FY25 diluted EPS was $15.28 vs $12.63 = +21.0%. The +67% figure in the earlier deck-based draft was wrong; the 10-K confirms actuals.</w:t>
      </w:r>
    </w:p>
    <w:p>
      <w:pPr>
        <w:spacing w:after="40" w:before="40" w:line="280"/>
      </w:pPr>
      <w:r>
        <w:rPr>
          <w:b/>
          <w:bCs/>
          <w:sz w:val="22"/>
          <w:szCs w:val="22"/>
        </w:rPr>
        <w:t xml:space="preserve">Source: </w:t>
      </w:r>
      <w:r>
        <w:rPr>
          <w:sz w:val="22"/>
          <w:szCs w:val="22"/>
        </w:rPr>
        <w:t xml:space="preserve">Medpace 4Q25 earnings press release (BusinessWire 2/9/2026) and 10-K Consolidated Statement of Operations (p.48).</w:t>
      </w:r>
    </w:p>
    <w:p>
      <w:pPr>
        <w:spacing w:after="80" w:before="10" w:line="280"/>
      </w:pPr>
      <w:r>
        <w:rPr>
          <w:i/>
          <w:iCs/>
          <w:color w:val="666666"/>
          <w:sz w:val="18"/>
          <w:szCs w:val="18"/>
        </w:rPr>
        <w:t xml:space="preserve">"Q4 2025 GAAP net income was $135.1 million, or $4.67 per diluted share, versus $117.0 million, or $3.67 per diluted share for the comparable prior-year period."</w:t>
      </w:r>
    </w:p>
    <w:p>
      <w:pPr>
        <w:spacing w:after="40" w:before="40" w:line="280"/>
      </w:pPr>
      <w:r>
        <w:rPr>
          <w:b/>
          <w:bCs/>
          <w:sz w:val="22"/>
          <w:szCs w:val="22"/>
        </w:rPr>
        <w:t xml:space="preserve">Investment impact: </w:t>
      </w:r>
      <w:r>
        <w:rPr>
          <w:sz w:val="22"/>
          <w:szCs w:val="22"/>
        </w:rPr>
        <w:t xml:space="preserve">The 10-K memo already uses correct numbers (FY25 EPS +21.0%). The earlier deck-based memo is now superseded by the 10-K memo. Flagged here for audit trail.</w:t>
      </w:r>
    </w:p>
    <w:p>
      <w:pPr>
        <w:pStyle w:val="Heading2"/>
        <w:spacing w:after="120" w:before="280"/>
      </w:pPr>
      <w:r>
        <w:rPr>
          <w:b/>
          <w:bCs/>
          <w:color w:val="0F2A44"/>
          <w:sz w:val="26"/>
          <w:szCs w:val="26"/>
        </w:rPr>
        <w:t xml:space="preserve">Error 3 — Deck-based memo stated Q4 book-to-bill 1.28x; actual was 1.04x</w:t>
      </w:r>
    </w:p>
    <w:p>
      <w:pPr>
        <w:spacing w:after="40" w:before="40" w:line="280"/>
      </w:pPr>
      <w:r>
        <w:rPr>
          <w:b/>
          <w:bCs/>
          <w:sz w:val="22"/>
          <w:szCs w:val="22"/>
        </w:rPr>
        <w:t xml:space="preserve">Claim in the earlier deck-based memo: </w:t>
      </w:r>
      <w:r>
        <w:rPr>
          <w:sz w:val="22"/>
          <w:szCs w:val="22"/>
        </w:rPr>
        <w:t xml:space="preserve">Q4 2025 book-to-bill of 1.28x was characterized as strong; the same figure appears to have been taken from an earlier interim communication.</w:t>
      </w:r>
    </w:p>
    <w:p>
      <w:pPr>
        <w:spacing w:after="40" w:before="40" w:line="280"/>
      </w:pPr>
      <w:r>
        <w:rPr>
          <w:b/>
          <w:bCs/>
          <w:sz w:val="22"/>
          <w:szCs w:val="22"/>
        </w:rPr>
        <w:t xml:space="preserve">Actual fact (verified via web): </w:t>
      </w:r>
      <w:r>
        <w:rPr>
          <w:sz w:val="22"/>
          <w:szCs w:val="22"/>
        </w:rPr>
        <w:t xml:space="preserve">Q4 2025 book-to-bill printed 1.04x on $736.6M of net new awards against $708.5M of revenue. Full-year 2025 book-to-bill was 1.046x. A securities class-action investigation (disclosed in the press subsequent to Q4 earnings) alleges that management had suggested a ~1.15x Q4 figure was achievable during prior-quarter communications.</w:t>
      </w:r>
    </w:p>
    <w:p>
      <w:pPr>
        <w:spacing w:after="40" w:before="40" w:line="280"/>
      </w:pPr>
      <w:r>
        <w:rPr>
          <w:b/>
          <w:bCs/>
          <w:sz w:val="22"/>
          <w:szCs w:val="22"/>
        </w:rPr>
        <w:t xml:space="preserve">Source: </w:t>
      </w:r>
      <w:r>
        <w:rPr>
          <w:sz w:val="22"/>
          <w:szCs w:val="22"/>
        </w:rPr>
        <w:t xml:space="preserve">Medpace 4Q25 earnings release (BusinessWire); class-action filings reported on TipRanks 2/10/26 and on stocktitan.net.</w:t>
      </w:r>
    </w:p>
    <w:p>
      <w:pPr>
        <w:spacing w:after="40" w:before="40" w:line="280"/>
      </w:pPr>
      <w:r>
        <w:rPr>
          <w:b/>
          <w:bCs/>
          <w:sz w:val="22"/>
          <w:szCs w:val="22"/>
        </w:rPr>
        <w:t xml:space="preserve">Investment impact: </w:t>
      </w:r>
      <w:r>
        <w:rPr>
          <w:sz w:val="22"/>
          <w:szCs w:val="22"/>
        </w:rPr>
        <w:t xml:space="preserve">Material for the bear case. A 1.04x vs expected ~1.15x explains (a) why the stock sold off 23% after Q4 print and (b) why the 10-K memo correctly emphasizes backlog duration and NTM conversion as the key thesis. The 10-K memo uses 1.05x FY / 1.04x Q4 from the actual print.</w:t>
      </w:r>
    </w:p>
    <w:p>
      <w:pPr>
        <w:pStyle w:val="Heading1"/>
        <w:spacing w:after="120" w:before="280"/>
      </w:pPr>
      <w:r>
        <w:rPr>
          <w:b/>
          <w:bCs/>
          <w:color w:val="0F2A44"/>
          <w:sz w:val="30"/>
          <w:szCs w:val="30"/>
        </w:rPr>
        <w:t xml:space="preserve">Section 2: Unverifiable Claims (Medium Risk)</w:t>
      </w:r>
    </w:p>
    <w:p>
      <w:pPr>
        <w:pStyle w:val="Heading2"/>
        <w:spacing w:after="120" w:before="280"/>
      </w:pPr>
      <w:r>
        <w:rPr>
          <w:b/>
          <w:bCs/>
          <w:color w:val="0F2A44"/>
          <w:sz w:val="26"/>
          <w:szCs w:val="26"/>
        </w:rPr>
        <w:t xml:space="preserve">U1 — OBBBA §451 attribution of DTA collapse</w:t>
      </w:r>
    </w:p>
    <w:p>
      <w:pPr>
        <w:spacing w:after="60" w:before="60" w:line="300"/>
      </w:pPr>
      <w:r>
        <w:rPr>
          <w:sz w:val="22"/>
          <w:szCs w:val="22"/>
        </w:rPr>
        <w:t xml:space="preserve">The 10-K memo attributes the $112M advance-billings DTA collapse to "probable OBBBA §451 acceleration." The 10-K acknowledges OBBBA but does not quantify its effect on the advance-billings DTA specifically. Our attribution is the most parsimonious explanation given (a) the gross liability grew and (b) the timing difference effectively disappeared. It remains a hypothesis.</w:t>
      </w:r>
    </w:p>
    <w:p>
      <w:pPr>
        <w:spacing w:after="60" w:before="60" w:line="300"/>
      </w:pPr>
      <w:r>
        <w:rPr>
          <w:sz w:val="22"/>
          <w:szCs w:val="22"/>
        </w:rPr>
        <w:t xml:space="preserve">What would resolve it: management commentary on the next earnings call, or a supplemental 8-K quantifying the OBBBA cash-tax impact. The company's FY25 Q4 call transcript does not appear to have addressed this line specifically.</w:t>
      </w:r>
    </w:p>
    <w:p>
      <w:pPr>
        <w:pStyle w:val="Heading2"/>
        <w:spacing w:after="120" w:before="280"/>
      </w:pPr>
      <w:r>
        <w:rPr>
          <w:b/>
          <w:bCs/>
          <w:color w:val="0F2A44"/>
          <w:sz w:val="26"/>
          <w:szCs w:val="26"/>
        </w:rPr>
        <w:t xml:space="preserve">U2 — "Backlog duration shortening" inference</w:t>
      </w:r>
    </w:p>
    <w:p>
      <w:pPr>
        <w:spacing w:after="60" w:before="60" w:line="300"/>
      </w:pPr>
      <w:r>
        <w:rPr>
          <w:sz w:val="22"/>
          <w:szCs w:val="22"/>
        </w:rPr>
        <w:t xml:space="preserve">The 10-K memo argues that the NTM share of performance obligations rose from 43% to 55% — a 12-point shift. The 43% figure is cited from prior-year disclosure in the current 10-K's MD&amp;A. We did not independently verify the prior-year 10-K disclosure. The inferred shortening of backlog duration depends on this base comparison being apples-to-apples.</w:t>
      </w:r>
    </w:p>
    <w:p>
      <w:pPr>
        <w:spacing w:after="60" w:before="60" w:line="300"/>
      </w:pPr>
      <w:r>
        <w:rPr>
          <w:sz w:val="22"/>
          <w:szCs w:val="22"/>
        </w:rPr>
        <w:t xml:space="preserve">What would resolve it: pull the FY24 10-K (filed 2/11/2025) and cross-reference the identical performance-obligation disclosure.</w:t>
      </w:r>
    </w:p>
    <w:p>
      <w:pPr>
        <w:pStyle w:val="Heading2"/>
        <w:spacing w:after="120" w:before="280"/>
      </w:pPr>
      <w:r>
        <w:rPr>
          <w:b/>
          <w:bCs/>
          <w:color w:val="0F2A44"/>
          <w:sz w:val="26"/>
          <w:szCs w:val="26"/>
        </w:rPr>
        <w:t xml:space="preserve">U3 — Buyback average price of ~$308/share</w:t>
      </w:r>
    </w:p>
    <w:p>
      <w:pPr>
        <w:spacing w:after="60" w:before="60" w:line="300"/>
      </w:pPr>
      <w:r>
        <w:rPr>
          <w:sz w:val="22"/>
          <w:szCs w:val="22"/>
        </w:rPr>
        <w:t xml:space="preserve">Computed as $912.9M face / 2,961,924 shares. This is a simple arithmetic check. However, web search notes that CEO Troendle sold shares on 11/12/2025 at $603.23 and 11/13/2025 at $601.37 — well above the buyback average — implying buybacks happened earlier in the year at lower prices, or the stock recovered substantially into Q4 before selling off post-earnings. The ~$308 is an average, not a time-weighted buyback cost, and the gap with insider-sale prices ($600+) is worth noting as a capital-allocation signal.</w:t>
      </w:r>
    </w:p>
    <w:p>
      <w:pPr>
        <w:spacing w:after="60" w:before="60" w:line="300"/>
      </w:pPr>
      <w:r>
        <w:rPr>
          <w:sz w:val="22"/>
          <w:szCs w:val="22"/>
        </w:rPr>
        <w:t xml:space="preserve">What would resolve it: quarterly buyback disclosure (10-Q Part II). Quick check would confirm whether the majority of buybacks happened in Q1 2025 (when stock was depressed) vs later.</w:t>
      </w:r>
    </w:p>
    <w:p>
      <w:pPr>
        <w:pStyle w:val="Heading1"/>
        <w:spacing w:after="120" w:before="280"/>
      </w:pPr>
      <w:r>
        <w:rPr>
          <w:b/>
          <w:bCs/>
          <w:color w:val="0F2A44"/>
          <w:sz w:val="30"/>
          <w:szCs w:val="30"/>
        </w:rPr>
        <w:t xml:space="preserve">Section 3: Verified Accurate (Spot-Check)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6%"/>
            <w:shd w:fill="0F2A44" w:color="auto" w:val="clear"/>
          </w:tcPr>
          <w:p>
            <w:pPr>
              <w:jc w:val="center"/>
            </w:pPr>
            <w:r>
              <w:rPr>
                <w:b/>
                <w:bCs/>
                <w:color w:val="FFFFFF"/>
                <w:sz w:val="20"/>
                <w:szCs w:val="20"/>
              </w:rPr>
              <w:t xml:space="preserve">#</w:t>
            </w:r>
          </w:p>
        </w:tc>
        <w:tc>
          <w:tcPr>
            <w:tcW w:type="pct" w:w="54%"/>
            <w:shd w:fill="0F2A44" w:color="auto" w:val="clear"/>
          </w:tcPr>
          <w:p>
            <w:pPr>
              <w:jc w:val="left"/>
            </w:pPr>
            <w:r>
              <w:rPr>
                <w:b/>
                <w:bCs/>
                <w:color w:val="FFFFFF"/>
                <w:sz w:val="20"/>
                <w:szCs w:val="20"/>
              </w:rPr>
              <w:t xml:space="preserve">Claim</w:t>
            </w:r>
          </w:p>
        </w:tc>
        <w:tc>
          <w:tcPr>
            <w:tcW w:type="pct" w:w="40%"/>
            <w:shd w:fill="0F2A44" w:color="auto" w:val="clear"/>
          </w:tcPr>
          <w:p>
            <w:pPr>
              <w:jc w:val="left"/>
            </w:pPr>
            <w:r>
              <w:rPr>
                <w:b/>
                <w:bCs/>
                <w:color w:val="FFFFFF"/>
                <w:sz w:val="20"/>
                <w:szCs w:val="20"/>
              </w:rPr>
              <w:t xml:space="preserve">Verification source</w:t>
            </w:r>
          </w:p>
        </w:tc>
      </w:tr>
      <w:tr>
        <w:tc>
          <w:tcPr>
            <w:tcW w:type="pct" w:w="6%"/>
          </w:tcPr>
          <w:p>
            <w:pPr>
              <w:jc w:val="center"/>
            </w:pPr>
            <w:r>
              <w:rPr>
                <w:color w:val="000000"/>
                <w:sz w:val="20"/>
                <w:szCs w:val="20"/>
              </w:rPr>
              <w:t xml:space="preserve">V1</w:t>
            </w:r>
          </w:p>
        </w:tc>
        <w:tc>
          <w:tcPr>
            <w:tcW w:type="pct" w:w="54%"/>
          </w:tcPr>
          <w:p>
            <w:pPr>
              <w:jc w:val="left"/>
            </w:pPr>
            <w:r>
              <w:rPr>
                <w:color w:val="000000"/>
                <w:sz w:val="20"/>
                <w:szCs w:val="20"/>
              </w:rPr>
              <w:t xml:space="preserve">FY25 revenue $2,530.2M, +20.0%</w:t>
            </w:r>
          </w:p>
        </w:tc>
        <w:tc>
          <w:tcPr>
            <w:tcW w:type="pct" w:w="40%"/>
          </w:tcPr>
          <w:p>
            <w:pPr>
              <w:jc w:val="left"/>
            </w:pPr>
            <w:r>
              <w:rPr>
                <w:color w:val="000000"/>
                <w:sz w:val="20"/>
                <w:szCs w:val="20"/>
              </w:rPr>
              <w:t xml:space="preserve">10-K p.34; 4Q25 press release — CONFIRMED</w:t>
            </w:r>
          </w:p>
        </w:tc>
      </w:tr>
      <w:tr>
        <w:tc>
          <w:tcPr>
            <w:tcW w:type="pct" w:w="6%"/>
          </w:tcPr>
          <w:p>
            <w:pPr>
              <w:jc w:val="center"/>
            </w:pPr>
            <w:r>
              <w:rPr>
                <w:color w:val="000000"/>
                <w:sz w:val="20"/>
                <w:szCs w:val="20"/>
              </w:rPr>
              <w:t xml:space="preserve">V2</w:t>
            </w:r>
          </w:p>
        </w:tc>
        <w:tc>
          <w:tcPr>
            <w:tcW w:type="pct" w:w="54%"/>
          </w:tcPr>
          <w:p>
            <w:pPr>
              <w:jc w:val="left"/>
            </w:pPr>
            <w:r>
              <w:rPr>
                <w:color w:val="000000"/>
                <w:sz w:val="20"/>
                <w:szCs w:val="20"/>
              </w:rPr>
              <w:t xml:space="preserve">Backlog $3,027.2M, +4.3% YoY</w:t>
            </w:r>
          </w:p>
        </w:tc>
        <w:tc>
          <w:tcPr>
            <w:tcW w:type="pct" w:w="40%"/>
          </w:tcPr>
          <w:p>
            <w:pPr>
              <w:jc w:val="left"/>
            </w:pPr>
            <w:r>
              <w:rPr>
                <w:color w:val="000000"/>
                <w:sz w:val="20"/>
                <w:szCs w:val="20"/>
              </w:rPr>
              <w:t xml:space="preserve">10-K MD&amp;A p.30; press release — CONFIRMED</w:t>
            </w:r>
          </w:p>
        </w:tc>
      </w:tr>
      <w:tr>
        <w:tc>
          <w:tcPr>
            <w:tcW w:type="pct" w:w="6%"/>
          </w:tcPr>
          <w:p>
            <w:pPr>
              <w:jc w:val="center"/>
            </w:pPr>
            <w:r>
              <w:rPr>
                <w:color w:val="000000"/>
                <w:sz w:val="20"/>
                <w:szCs w:val="20"/>
              </w:rPr>
              <w:t xml:space="preserve">V3</w:t>
            </w:r>
          </w:p>
        </w:tc>
        <w:tc>
          <w:tcPr>
            <w:tcW w:type="pct" w:w="54%"/>
          </w:tcPr>
          <w:p>
            <w:pPr>
              <w:jc w:val="left"/>
            </w:pPr>
            <w:r>
              <w:rPr>
                <w:color w:val="000000"/>
                <w:sz w:val="20"/>
                <w:szCs w:val="20"/>
              </w:rPr>
              <w:t xml:space="preserve">FY25 net new awards $2,646.8M, book-to-bill 1.046x</w:t>
            </w:r>
          </w:p>
        </w:tc>
        <w:tc>
          <w:tcPr>
            <w:tcW w:type="pct" w:w="40%"/>
          </w:tcPr>
          <w:p>
            <w:pPr>
              <w:jc w:val="left"/>
            </w:pPr>
            <w:r>
              <w:rPr>
                <w:color w:val="000000"/>
                <w:sz w:val="20"/>
                <w:szCs w:val="20"/>
              </w:rPr>
              <w:t xml:space="preserve">10-K; press release — CONFIRMED</w:t>
            </w:r>
          </w:p>
        </w:tc>
      </w:tr>
      <w:tr>
        <w:tc>
          <w:tcPr>
            <w:tcW w:type="pct" w:w="6%"/>
          </w:tcPr>
          <w:p>
            <w:pPr>
              <w:jc w:val="center"/>
            </w:pPr>
            <w:r>
              <w:rPr>
                <w:color w:val="000000"/>
                <w:sz w:val="20"/>
                <w:szCs w:val="20"/>
              </w:rPr>
              <w:t xml:space="preserve">V4</w:t>
            </w:r>
          </w:p>
        </w:tc>
        <w:tc>
          <w:tcPr>
            <w:tcW w:type="pct" w:w="54%"/>
          </w:tcPr>
          <w:p>
            <w:pPr>
              <w:jc w:val="left"/>
            </w:pPr>
            <w:r>
              <w:rPr>
                <w:color w:val="000000"/>
                <w:sz w:val="20"/>
                <w:szCs w:val="20"/>
              </w:rPr>
              <w:t xml:space="preserve">Q4 2025 book-to-bill 1.04x on $736.6M awards / $708.5M revenue</w:t>
            </w:r>
          </w:p>
        </w:tc>
        <w:tc>
          <w:tcPr>
            <w:tcW w:type="pct" w:w="40%"/>
          </w:tcPr>
          <w:p>
            <w:pPr>
              <w:jc w:val="left"/>
            </w:pPr>
            <w:r>
              <w:rPr>
                <w:color w:val="000000"/>
                <w:sz w:val="20"/>
                <w:szCs w:val="20"/>
              </w:rPr>
              <w:t xml:space="preserve">Press release 2/9/2026 — CONFIRMED</w:t>
            </w:r>
          </w:p>
        </w:tc>
      </w:tr>
      <w:tr>
        <w:tc>
          <w:tcPr>
            <w:tcW w:type="pct" w:w="6%"/>
          </w:tcPr>
          <w:p>
            <w:pPr>
              <w:jc w:val="center"/>
            </w:pPr>
            <w:r>
              <w:rPr>
                <w:color w:val="000000"/>
                <w:sz w:val="20"/>
                <w:szCs w:val="20"/>
              </w:rPr>
              <w:t xml:space="preserve">V5</w:t>
            </w:r>
          </w:p>
        </w:tc>
        <w:tc>
          <w:tcPr>
            <w:tcW w:type="pct" w:w="54%"/>
          </w:tcPr>
          <w:p>
            <w:pPr>
              <w:jc w:val="left"/>
            </w:pPr>
            <w:r>
              <w:rPr>
                <w:color w:val="000000"/>
                <w:sz w:val="20"/>
                <w:szCs w:val="20"/>
              </w:rPr>
              <w:t xml:space="preserve">FY25 GAAP diluted EPS $15.28 (+21.0%); net income $451.1M (+11.6%)</w:t>
            </w:r>
          </w:p>
        </w:tc>
        <w:tc>
          <w:tcPr>
            <w:tcW w:type="pct" w:w="40%"/>
          </w:tcPr>
          <w:p>
            <w:pPr>
              <w:jc w:val="left"/>
            </w:pPr>
            <w:r>
              <w:rPr>
                <w:color w:val="000000"/>
                <w:sz w:val="20"/>
                <w:szCs w:val="20"/>
              </w:rPr>
              <w:t xml:space="preserve">10-K p.48; press release — CONFIRMED</w:t>
            </w:r>
          </w:p>
        </w:tc>
      </w:tr>
      <w:tr>
        <w:tc>
          <w:tcPr>
            <w:tcW w:type="pct" w:w="6%"/>
          </w:tcPr>
          <w:p>
            <w:pPr>
              <w:jc w:val="center"/>
            </w:pPr>
            <w:r>
              <w:rPr>
                <w:color w:val="000000"/>
                <w:sz w:val="20"/>
                <w:szCs w:val="20"/>
              </w:rPr>
              <w:t xml:space="preserve">V6</w:t>
            </w:r>
          </w:p>
        </w:tc>
        <w:tc>
          <w:tcPr>
            <w:tcW w:type="pct" w:w="54%"/>
          </w:tcPr>
          <w:p>
            <w:pPr>
              <w:jc w:val="left"/>
            </w:pPr>
            <w:r>
              <w:rPr>
                <w:color w:val="000000"/>
                <w:sz w:val="20"/>
                <w:szCs w:val="20"/>
              </w:rPr>
              <w:t xml:space="preserve">Share repurchases FY25: 2,961,924 shares for $912.9M ($307.89 avg)</w:t>
            </w:r>
          </w:p>
        </w:tc>
        <w:tc>
          <w:tcPr>
            <w:tcW w:type="pct" w:w="40%"/>
          </w:tcPr>
          <w:p>
            <w:pPr>
              <w:jc w:val="left"/>
            </w:pPr>
            <w:r>
              <w:rPr>
                <w:color w:val="000000"/>
                <w:sz w:val="20"/>
                <w:szCs w:val="20"/>
              </w:rPr>
              <w:t xml:space="preserve">10-K Note 9; press release — CONFIRMED</w:t>
            </w:r>
          </w:p>
        </w:tc>
      </w:tr>
      <w:tr>
        <w:tc>
          <w:tcPr>
            <w:tcW w:type="pct" w:w="6%"/>
          </w:tcPr>
          <w:p>
            <w:pPr>
              <w:jc w:val="center"/>
            </w:pPr>
            <w:r>
              <w:rPr>
                <w:color w:val="000000"/>
                <w:sz w:val="20"/>
                <w:szCs w:val="20"/>
              </w:rPr>
              <w:t xml:space="preserve">V7</w:t>
            </w:r>
          </w:p>
        </w:tc>
        <w:tc>
          <w:tcPr>
            <w:tcW w:type="pct" w:w="54%"/>
          </w:tcPr>
          <w:p>
            <w:pPr>
              <w:jc w:val="left"/>
            </w:pPr>
            <w:r>
              <w:rPr>
                <w:color w:val="000000"/>
                <w:sz w:val="20"/>
                <w:szCs w:val="20"/>
              </w:rPr>
              <w:t xml:space="preserve">Cash $497.0M at year-end 2025 vs $669.4M prior year</w:t>
            </w:r>
          </w:p>
        </w:tc>
        <w:tc>
          <w:tcPr>
            <w:tcW w:type="pct" w:w="40%"/>
          </w:tcPr>
          <w:p>
            <w:pPr>
              <w:jc w:val="left"/>
            </w:pPr>
            <w:r>
              <w:rPr>
                <w:color w:val="000000"/>
                <w:sz w:val="20"/>
                <w:szCs w:val="20"/>
              </w:rPr>
              <w:t xml:space="preserve">10-K p.47; press release — CONFIRMED</w:t>
            </w:r>
          </w:p>
        </w:tc>
      </w:tr>
      <w:tr>
        <w:tc>
          <w:tcPr>
            <w:tcW w:type="pct" w:w="6%"/>
          </w:tcPr>
          <w:p>
            <w:pPr>
              <w:jc w:val="center"/>
            </w:pPr>
            <w:r>
              <w:rPr>
                <w:color w:val="000000"/>
                <w:sz w:val="20"/>
                <w:szCs w:val="20"/>
              </w:rPr>
              <w:t xml:space="preserve">V8</w:t>
            </w:r>
          </w:p>
        </w:tc>
        <w:tc>
          <w:tcPr>
            <w:tcW w:type="pct" w:w="54%"/>
          </w:tcPr>
          <w:p>
            <w:pPr>
              <w:jc w:val="left"/>
            </w:pPr>
            <w:r>
              <w:rPr>
                <w:color w:val="000000"/>
                <w:sz w:val="20"/>
                <w:szCs w:val="20"/>
              </w:rPr>
              <w:t xml:space="preserve">Reimbursed OOP expenses +34.6% to $1,037.5M</w:t>
            </w:r>
          </w:p>
        </w:tc>
        <w:tc>
          <w:tcPr>
            <w:tcW w:type="pct" w:w="40%"/>
          </w:tcPr>
          <w:p>
            <w:pPr>
              <w:jc w:val="left"/>
            </w:pPr>
            <w:r>
              <w:rPr>
                <w:color w:val="000000"/>
                <w:sz w:val="20"/>
                <w:szCs w:val="20"/>
              </w:rPr>
              <w:t xml:space="preserve">10-K p.34 — CONFIRMED (derived OOP = ~41% of gross revenue)</w:t>
            </w:r>
          </w:p>
        </w:tc>
      </w:tr>
      <w:tr>
        <w:tc>
          <w:tcPr>
            <w:tcW w:type="pct" w:w="6%"/>
          </w:tcPr>
          <w:p>
            <w:pPr>
              <w:jc w:val="center"/>
            </w:pPr>
            <w:r>
              <w:rPr>
                <w:color w:val="000000"/>
                <w:sz w:val="20"/>
                <w:szCs w:val="20"/>
              </w:rPr>
              <w:t xml:space="preserve">V9</w:t>
            </w:r>
          </w:p>
        </w:tc>
        <w:tc>
          <w:tcPr>
            <w:tcW w:type="pct" w:w="54%"/>
          </w:tcPr>
          <w:p>
            <w:pPr>
              <w:jc w:val="left"/>
            </w:pPr>
            <w:r>
              <w:rPr>
                <w:color w:val="000000"/>
                <w:sz w:val="20"/>
                <w:szCs w:val="20"/>
              </w:rPr>
              <w:t xml:space="preserve">FY2026 guidance: revenue $2.755–$2.855B (+8.9% to +12.8%), EPS $16.68–$17.50 (+9.2% to +14.5%)</w:t>
            </w:r>
          </w:p>
        </w:tc>
        <w:tc>
          <w:tcPr>
            <w:tcW w:type="pct" w:w="40%"/>
          </w:tcPr>
          <w:p>
            <w:pPr>
              <w:jc w:val="left"/>
            </w:pPr>
            <w:r>
              <w:rPr>
                <w:color w:val="000000"/>
                <w:sz w:val="20"/>
                <w:szCs w:val="20"/>
              </w:rPr>
              <w:t xml:space="preserve">Press release 2/9/2026 — CONFIRMED</w:t>
            </w:r>
          </w:p>
        </w:tc>
      </w:tr>
      <w:tr>
        <w:tc>
          <w:tcPr>
            <w:tcW w:type="pct" w:w="6%"/>
          </w:tcPr>
          <w:p>
            <w:pPr>
              <w:jc w:val="center"/>
            </w:pPr>
            <w:r>
              <w:rPr>
                <w:color w:val="000000"/>
                <w:sz w:val="20"/>
                <w:szCs w:val="20"/>
              </w:rPr>
              <w:t xml:space="preserve">V10</w:t>
            </w:r>
          </w:p>
        </w:tc>
        <w:tc>
          <w:tcPr>
            <w:tcW w:type="pct" w:w="54%"/>
          </w:tcPr>
          <w:p>
            <w:pPr>
              <w:jc w:val="left"/>
            </w:pPr>
            <w:r>
              <w:rPr>
                <w:color w:val="000000"/>
                <w:sz w:val="20"/>
                <w:szCs w:val="20"/>
              </w:rPr>
              <w:t xml:space="preserve">Competitors named in 10-K: IQVIA, ICON, PPD (part of Thermo Fisher), Fortrea</w:t>
            </w:r>
          </w:p>
        </w:tc>
        <w:tc>
          <w:tcPr>
            <w:tcW w:type="pct" w:w="40%"/>
          </w:tcPr>
          <w:p>
            <w:pPr>
              <w:jc w:val="left"/>
            </w:pPr>
            <w:r>
              <w:rPr>
                <w:color w:val="000000"/>
                <w:sz w:val="20"/>
                <w:szCs w:val="20"/>
              </w:rPr>
              <w:t xml:space="preserve">10-K Item 1 Competition — CONFIRMED</w:t>
            </w:r>
          </w:p>
        </w:tc>
      </w:tr>
      <w:tr>
        <w:tc>
          <w:tcPr>
            <w:tcW w:type="pct" w:w="6%"/>
          </w:tcPr>
          <w:p>
            <w:pPr>
              <w:jc w:val="center"/>
            </w:pPr>
            <w:r>
              <w:rPr>
                <w:color w:val="000000"/>
                <w:sz w:val="20"/>
                <w:szCs w:val="20"/>
              </w:rPr>
              <w:t xml:space="preserve">V11</w:t>
            </w:r>
          </w:p>
        </w:tc>
        <w:tc>
          <w:tcPr>
            <w:tcW w:type="pct" w:w="54%"/>
          </w:tcPr>
          <w:p>
            <w:pPr>
              <w:jc w:val="left"/>
            </w:pPr>
            <w:r>
              <w:rPr>
                <w:color w:val="000000"/>
                <w:sz w:val="20"/>
                <w:szCs w:val="20"/>
              </w:rPr>
              <w:t xml:space="preserve">~6,200 employees in 46 countries</w:t>
            </w:r>
          </w:p>
        </w:tc>
        <w:tc>
          <w:tcPr>
            <w:tcW w:type="pct" w:w="40%"/>
          </w:tcPr>
          <w:p>
            <w:pPr>
              <w:jc w:val="left"/>
            </w:pPr>
            <w:r>
              <w:rPr>
                <w:color w:val="000000"/>
                <w:sz w:val="20"/>
                <w:szCs w:val="20"/>
              </w:rPr>
              <w:t xml:space="preserve">10-K Item 1 Human Capital — CONFIRMED</w:t>
            </w:r>
          </w:p>
        </w:tc>
      </w:tr>
      <w:tr>
        <w:tc>
          <w:tcPr>
            <w:tcW w:type="pct" w:w="6%"/>
          </w:tcPr>
          <w:p>
            <w:pPr>
              <w:jc w:val="center"/>
            </w:pPr>
            <w:r>
              <w:rPr>
                <w:color w:val="000000"/>
                <w:sz w:val="20"/>
                <w:szCs w:val="20"/>
              </w:rPr>
              <w:t xml:space="preserve">V12</w:t>
            </w:r>
          </w:p>
        </w:tc>
        <w:tc>
          <w:tcPr>
            <w:tcW w:type="pct" w:w="54%"/>
          </w:tcPr>
          <w:p>
            <w:pPr>
              <w:jc w:val="left"/>
            </w:pPr>
            <w:r>
              <w:rPr>
                <w:color w:val="000000"/>
                <w:sz w:val="20"/>
                <w:szCs w:val="20"/>
              </w:rPr>
              <w:t xml:space="preserve">10-K filed 2/10/2026, signed by Kevin M. Brady (CFO)</w:t>
            </w:r>
          </w:p>
        </w:tc>
        <w:tc>
          <w:tcPr>
            <w:tcW w:type="pct" w:w="40%"/>
          </w:tcPr>
          <w:p>
            <w:pPr>
              <w:jc w:val="left"/>
            </w:pPr>
            <w:r>
              <w:rPr>
                <w:color w:val="000000"/>
                <w:sz w:val="20"/>
                <w:szCs w:val="20"/>
              </w:rPr>
              <w:t xml:space="preserve">10-K Signatures p.86 — CONFIRMED</w:t>
            </w:r>
          </w:p>
        </w:tc>
      </w:tr>
      <w:tr>
        <w:tc>
          <w:tcPr>
            <w:tcW w:type="pct" w:w="6%"/>
          </w:tcPr>
          <w:p>
            <w:pPr>
              <w:jc w:val="center"/>
            </w:pPr>
            <w:r>
              <w:rPr>
                <w:color w:val="000000"/>
                <w:sz w:val="20"/>
                <w:szCs w:val="20"/>
              </w:rPr>
              <w:t xml:space="preserve">V13</w:t>
            </w:r>
          </w:p>
        </w:tc>
        <w:tc>
          <w:tcPr>
            <w:tcW w:type="pct" w:w="54%"/>
          </w:tcPr>
          <w:p>
            <w:pPr>
              <w:jc w:val="left"/>
            </w:pPr>
            <w:r>
              <w:rPr>
                <w:color w:val="000000"/>
                <w:sz w:val="20"/>
                <w:szCs w:val="20"/>
              </w:rPr>
              <w:t xml:space="preserve">Effective tax rate 16.8% (vs 15.0%); share-based-payment tax benefit (7.5)% of rate</w:t>
            </w:r>
          </w:p>
        </w:tc>
        <w:tc>
          <w:tcPr>
            <w:tcW w:type="pct" w:w="40%"/>
          </w:tcPr>
          <w:p>
            <w:pPr>
              <w:jc w:val="left"/>
            </w:pPr>
            <w:r>
              <w:rPr>
                <w:color w:val="000000"/>
                <w:sz w:val="20"/>
                <w:szCs w:val="20"/>
              </w:rPr>
              <w:t xml:space="preserve">10-K Note 11 p.69 — CONFIRMED</w:t>
            </w:r>
          </w:p>
        </w:tc>
      </w:tr>
      <w:tr>
        <w:tc>
          <w:tcPr>
            <w:tcW w:type="pct" w:w="6%"/>
          </w:tcPr>
          <w:p>
            <w:pPr>
              <w:jc w:val="center"/>
            </w:pPr>
            <w:r>
              <w:rPr>
                <w:color w:val="000000"/>
                <w:sz w:val="20"/>
                <w:szCs w:val="20"/>
              </w:rPr>
              <w:t xml:space="preserve">V14</w:t>
            </w:r>
          </w:p>
        </w:tc>
        <w:tc>
          <w:tcPr>
            <w:tcW w:type="pct" w:w="54%"/>
          </w:tcPr>
          <w:p>
            <w:pPr>
              <w:jc w:val="left"/>
            </w:pPr>
            <w:r>
              <w:rPr>
                <w:color w:val="000000"/>
                <w:sz w:val="20"/>
                <w:szCs w:val="20"/>
              </w:rPr>
              <w:t xml:space="preserve">Class-action investigation launched Feb 2026 citing alleged ~1.15x Q4 B/B guidance vs 1.04x actual</w:t>
            </w:r>
          </w:p>
        </w:tc>
        <w:tc>
          <w:tcPr>
            <w:tcW w:type="pct" w:w="40%"/>
          </w:tcPr>
          <w:p>
            <w:pPr>
              <w:jc w:val="left"/>
            </w:pPr>
            <w:r>
              <w:rPr>
                <w:color w:val="000000"/>
                <w:sz w:val="20"/>
                <w:szCs w:val="20"/>
              </w:rPr>
              <w:t xml:space="preserve">Plaintiff firm announcements &amp; stocktitan 2/10/26 — CONFIRMED</w:t>
            </w:r>
          </w:p>
        </w:tc>
      </w:tr>
    </w:tbl>
    <w:p>
      <w:pPr>
        <w:pStyle w:val="Heading1"/>
        <w:spacing w:after="120" w:before="280"/>
      </w:pPr>
      <w:r>
        <w:rPr>
          <w:b/>
          <w:bCs/>
          <w:color w:val="0F2A44"/>
          <w:sz w:val="30"/>
          <w:szCs w:val="30"/>
        </w:rPr>
        <w:t xml:space="preserve">Section 4: Overall Assessment</w:t>
      </w:r>
    </w:p>
    <w:p>
      <w:pPr>
        <w:spacing w:after="40" w:before="40" w:line="280"/>
      </w:pPr>
      <w:r>
        <w:rPr>
          <w:b/>
          <w:bCs/>
          <w:sz w:val="22"/>
          <w:szCs w:val="22"/>
        </w:rPr>
        <w:t xml:space="preserve">Critical errors found in the 10-K memo: </w:t>
      </w:r>
      <w:r>
        <w:rPr>
          <w:sz w:val="22"/>
          <w:szCs w:val="22"/>
        </w:rPr>
        <w:t xml:space="preserve">1 (self-caught during verification pass; corrected before delivery). 2 additional errors in the earlier deck-based memo are now documented; the deck-based memo is superseded.</w:t>
      </w:r>
    </w:p>
    <w:p>
      <w:pPr>
        <w:spacing w:after="40" w:before="40" w:line="280"/>
      </w:pPr>
      <w:r>
        <w:rPr>
          <w:b/>
          <w:bCs/>
          <w:sz w:val="22"/>
          <w:szCs w:val="22"/>
        </w:rPr>
        <w:t xml:space="preserve">Most material gap: </w:t>
      </w:r>
      <w:r>
        <w:rPr>
          <w:sz w:val="22"/>
          <w:szCs w:val="22"/>
        </w:rPr>
        <w:t xml:space="preserve">Thread 3 (advance-billings DTA) rested on a factual error that, if published uncorrected, would have reversed the direction of the analyst's working-capital claim. The corrected version flags a tax-law/cash-tax concern that is more nuanced but still real and unquantified.</w:t>
      </w:r>
    </w:p>
    <w:p>
      <w:pPr>
        <w:spacing w:after="40" w:before="40" w:line="280"/>
      </w:pPr>
      <w:r>
        <w:rPr>
          <w:b/>
          <w:bCs/>
          <w:sz w:val="22"/>
          <w:szCs w:val="22"/>
        </w:rPr>
        <w:t xml:space="preserve">Second-most-material gap: </w:t>
      </w:r>
      <w:r>
        <w:rPr>
          <w:sz w:val="22"/>
          <w:szCs w:val="22"/>
        </w:rPr>
        <w:t xml:space="preserve">The memo's attribution of OBBBA §451 as the driver of the DTA collapse is a reasonable hypothesis but not yet verified by management commentary. A lower-confidence assertion should be framed as such; in the revised memo it is.</w:t>
      </w:r>
    </w:p>
    <w:p>
      <w:pPr>
        <w:spacing w:after="40" w:before="40" w:line="280"/>
      </w:pPr>
      <w:r>
        <w:rPr>
          <w:b/>
          <w:bCs/>
          <w:sz w:val="22"/>
          <w:szCs w:val="22"/>
        </w:rPr>
        <w:t xml:space="preserve">Recommended framing: </w:t>
      </w:r>
      <w:r>
        <w:rPr>
          <w:sz w:val="22"/>
          <w:szCs w:val="22"/>
        </w:rPr>
        <w:t xml:space="preserve">Deliver both the corrected .docx memo and the .html editorial companion, with this verification protocol as the audit-trail cover document. The three material numeric spine claims (revenue growth, direct-service growth derivation, backlog book-to-bill) are all verified.</w:t>
      </w:r>
    </w:p>
    <w:p>
      <w:pPr>
        <w:spacing w:after="40" w:before="40" w:line="280"/>
      </w:pPr>
      <w:r>
        <w:rPr>
          <w:b/>
          <w:bCs/>
          <w:sz w:val="22"/>
          <w:szCs w:val="22"/>
        </w:rPr>
        <w:t xml:space="preserve">Confidence in revised 10-K memo analysis: </w:t>
      </w:r>
      <w:r>
        <w:rPr>
          <w:sz w:val="22"/>
          <w:szCs w:val="22"/>
        </w:rPr>
        <w:t xml:space="preserve">HIGH on numerical claims (all spot-checked to the 10-K and press release). MEDIUM on Thread 3 interpretation (OBBBA attribution is hypothesis, not verified). HIGH on the direction-of-travel thesis (pass-through-dominated revenue growth, backlog-duration compression, EPS carried by buybacks).</w:t>
      </w:r>
    </w:p>
    <w:p>
      <w:pPr>
        <w:pStyle w:val="Heading1"/>
        <w:spacing w:after="120" w:before="280"/>
      </w:pPr>
      <w:r>
        <w:rPr>
          <w:b/>
          <w:bCs/>
          <w:color w:val="0F2A44"/>
          <w:sz w:val="30"/>
          <w:szCs w:val="30"/>
        </w:rPr>
        <w:t xml:space="preserve">Revisions applied to the 10-K memo before delivery</w:t>
      </w:r>
    </w:p>
    <w:p>
      <w:pPr>
        <w:pStyle w:val="ListParagraph"/>
        <w:numPr>
          <w:ilvl w:val="0"/>
          <w:numId w:val="1"/>
        </w:numPr>
        <w:spacing w:after="40" w:before="40" w:line="280"/>
      </w:pPr>
      <w:r>
        <w:rPr>
          <w:sz w:val="22"/>
          <w:szCs w:val="22"/>
        </w:rPr>
        <w:t xml:space="preserve">Anomaly A3 rewritten: from "customer pre-payment deteriorating" to "tax-book timing gap disappeared, likely OBBBA §451 acceleration."</w:t>
      </w:r>
    </w:p>
    <w:p>
      <w:pPr>
        <w:pStyle w:val="ListParagraph"/>
        <w:numPr>
          <w:ilvl w:val="0"/>
          <w:numId w:val="1"/>
        </w:numPr>
        <w:spacing w:after="40" w:before="40" w:line="280"/>
      </w:pPr>
      <w:r>
        <w:rPr>
          <w:sz w:val="22"/>
          <w:szCs w:val="22"/>
        </w:rPr>
        <w:t xml:space="preserve">Thread 3 body rewritten: balance-sheet advance-billings figures corrected ($710.6M → $854.4M, not $605.1M → $477.1M); cash-flow-statement corroboration added; OBBBA hypothesis introduced; cash-tax acceleration framing substituted for working-capital-stress framing.</w:t>
      </w:r>
    </w:p>
    <w:p>
      <w:pPr>
        <w:pStyle w:val="ListParagraph"/>
        <w:numPr>
          <w:ilvl w:val="0"/>
          <w:numId w:val="1"/>
        </w:numPr>
        <w:spacing w:after="40" w:before="40" w:line="280"/>
      </w:pPr>
      <w:r>
        <w:rPr>
          <w:sz w:val="22"/>
          <w:szCs w:val="22"/>
        </w:rPr>
        <w:t xml:space="preserve">Table in Thread 3 rebuilt to show DTA, gross liability, revenue recognized from opening AB, and cash-flow source side by side.</w:t>
      </w:r>
    </w:p>
    <w:p>
      <w:pPr>
        <w:pStyle w:val="ListParagraph"/>
        <w:numPr>
          <w:ilvl w:val="0"/>
          <w:numId w:val="1"/>
        </w:numPr>
        <w:spacing w:after="40" w:before="40" w:line="280"/>
      </w:pPr>
      <w:r>
        <w:rPr>
          <w:sz w:val="22"/>
          <w:szCs w:val="22"/>
        </w:rPr>
        <w:t xml:space="preserve">Earnings-quality "negatives" list updated to reflect OBBBA hypothesis instead of working-capital stress.</w:t>
      </w:r>
    </w:p>
    <w:p>
      <w:pPr>
        <w:pStyle w:val="ListParagraph"/>
        <w:numPr>
          <w:ilvl w:val="0"/>
          <w:numId w:val="1"/>
        </w:numPr>
        <w:spacing w:after="40" w:before="40" w:line="280"/>
      </w:pPr>
      <w:r>
        <w:rPr>
          <w:sz w:val="22"/>
          <w:szCs w:val="22"/>
        </w:rPr>
        <w:t xml:space="preserve">Follow-up questions for IR updated to ask the OBBBA quantification question directly rather than the "why did advance billings decline" question that no longer makes sense.</w:t>
      </w:r>
    </w:p>
    <w:p>
      <w:pPr>
        <w:pStyle w:val="ListParagraph"/>
        <w:numPr>
          <w:ilvl w:val="0"/>
          <w:numId w:val="1"/>
        </w:numPr>
        <w:spacing w:after="40" w:before="40" w:line="280"/>
      </w:pPr>
      <w:r>
        <w:rPr>
          <w:sz w:val="22"/>
          <w:szCs w:val="22"/>
        </w:rPr>
        <w:t xml:space="preserve">Two new bullets added to the Buried Details section for FY26 context: (a) class-action investigation over Q4 book-to-bill guidance, (b) management FY26 guidance ranges.</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Medpace 10-K Verification Protocol — Cowork audit-trail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2026-04-20T05:42:33.371Z</dcterms:created>
  <dcterms:modified xsi:type="dcterms:W3CDTF">2026-04-20T05:42:33.371Z</dcterms:modified>
</cp:coreProperties>
</file>

<file path=docProps/custom.xml><?xml version="1.0" encoding="utf-8"?>
<Properties xmlns="http://schemas.openxmlformats.org/officeDocument/2006/custom-properties" xmlns:vt="http://schemas.openxmlformats.org/officeDocument/2006/docPropsVTypes"/>
</file>