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DBBB" w14:textId="77777777" w:rsidR="00FB3DA4" w:rsidRDefault="00000000">
      <w:pPr>
        <w:spacing w:after="60"/>
      </w:pPr>
      <w:r>
        <w:rPr>
          <w:rFonts w:ascii="Calibri" w:eastAsia="Calibri" w:hAnsi="Calibri" w:cs="Calibri"/>
          <w:b/>
          <w:bCs/>
          <w:color w:val="1A1A1A"/>
          <w:sz w:val="36"/>
          <w:szCs w:val="36"/>
        </w:rPr>
        <w:t>Medpace Holdings (</w:t>
      </w:r>
      <w:proofErr w:type="gramStart"/>
      <w:r>
        <w:rPr>
          <w:rFonts w:ascii="Calibri" w:eastAsia="Calibri" w:hAnsi="Calibri" w:cs="Calibri"/>
          <w:b/>
          <w:bCs/>
          <w:color w:val="1A1A1A"/>
          <w:sz w:val="36"/>
          <w:szCs w:val="36"/>
        </w:rPr>
        <w:t>MEDP) —</w:t>
      </w:r>
      <w:proofErr w:type="gramEnd"/>
      <w:r>
        <w:rPr>
          <w:rFonts w:ascii="Calibri" w:eastAsia="Calibri" w:hAnsi="Calibri" w:cs="Calibri"/>
          <w:b/>
          <w:bCs/>
          <w:color w:val="1A1A1A"/>
          <w:sz w:val="36"/>
          <w:szCs w:val="36"/>
        </w:rPr>
        <w:t xml:space="preserve"> Q4 2025 Reality Check</w:t>
      </w:r>
    </w:p>
    <w:p w14:paraId="26C04C88" w14:textId="77777777" w:rsidR="00FB3DA4" w:rsidRDefault="00000000">
      <w:pPr>
        <w:spacing w:after="360"/>
      </w:pPr>
      <w:r>
        <w:rPr>
          <w:rFonts w:ascii="Calibri" w:eastAsia="Calibri" w:hAnsi="Calibri" w:cs="Calibri"/>
          <w:color w:val="666666"/>
          <w:sz w:val="20"/>
          <w:szCs w:val="20"/>
        </w:rPr>
        <w:t>Analysis date: 19 April 2026   |   Source: Q4 2025 Earnings Presentation, filed 9 February 2026</w:t>
      </w:r>
    </w:p>
    <w:p w14:paraId="3A44CEB4" w14:textId="77777777" w:rsidR="00FB3DA4" w:rsidRDefault="00000000">
      <w:pPr>
        <w:pBdr>
          <w:bottom w:val="single" w:sz="6" w:space="4" w:color="C4C4C4"/>
        </w:pBdr>
        <w:spacing w:before="360" w:after="140"/>
      </w:pPr>
      <w:r>
        <w:rPr>
          <w:rFonts w:ascii="Calibri" w:eastAsia="Calibri" w:hAnsi="Calibri" w:cs="Calibri"/>
          <w:b/>
          <w:bCs/>
          <w:color w:val="1A1A1A"/>
          <w:sz w:val="26"/>
          <w:szCs w:val="26"/>
        </w:rPr>
        <w:t>Financial Lens Stamp</w:t>
      </w:r>
    </w:p>
    <w:p w14:paraId="7CBAAC4C" w14:textId="77777777" w:rsidR="00FB3DA4" w:rsidRDefault="00000000">
      <w:pPr>
        <w:spacing w:before="80" w:after="140" w:line="320" w:lineRule="auto"/>
      </w:pPr>
      <w:r>
        <w:t xml:space="preserve">Full-service CRO. Cash earned on </w:t>
      </w:r>
      <w:proofErr w:type="gramStart"/>
      <w:r>
        <w:t>fixed-fee</w:t>
      </w:r>
      <w:proofErr w:type="gramEnd"/>
      <w:r>
        <w:t xml:space="preserve"> and pass-through billings over trial duration.</w:t>
      </w:r>
    </w:p>
    <w:p w14:paraId="2070E8CE" w14:textId="77777777" w:rsidR="00FB3DA4" w:rsidRDefault="00000000">
      <w:pPr>
        <w:spacing w:before="80" w:after="140" w:line="320" w:lineRule="auto"/>
      </w:pPr>
      <w:r>
        <w:t>Capital sits in working capital — unbilled receivables netted against advance billings. Backlog, book-to-bill, and backlog conversion rate are the load-bearing metrics.</w:t>
      </w:r>
    </w:p>
    <w:p w14:paraId="269FF0CB" w14:textId="77777777" w:rsidR="00FB3DA4" w:rsidRDefault="00000000">
      <w:pPr>
        <w:spacing w:before="80" w:after="140" w:line="320" w:lineRule="auto"/>
      </w:pPr>
      <w:r>
        <w:t xml:space="preserve">Accounting discretion concentrates </w:t>
      </w:r>
      <w:proofErr w:type="gramStart"/>
      <w:r>
        <w:t>in</w:t>
      </w:r>
      <w:proofErr w:type="gramEnd"/>
      <w:r>
        <w:t xml:space="preserve"> percentage-of-completion revenue recognition, backlog composition, and gross presentation of pass-through expenses. Drift risk: pass-through revenue inflating the top line without margin; backlog staleness obscuring underlying demand.</w:t>
      </w:r>
    </w:p>
    <w:p w14:paraId="60E559EF" w14:textId="77777777" w:rsidR="00FB3DA4" w:rsidRDefault="00000000">
      <w:pPr>
        <w:pBdr>
          <w:bottom w:val="single" w:sz="6" w:space="4" w:color="C4C4C4"/>
        </w:pBdr>
        <w:spacing w:before="360" w:after="140"/>
      </w:pPr>
      <w:r>
        <w:rPr>
          <w:rFonts w:ascii="Calibri" w:eastAsia="Calibri" w:hAnsi="Calibri" w:cs="Calibri"/>
          <w:b/>
          <w:bCs/>
          <w:color w:val="1A1A1A"/>
          <w:sz w:val="26"/>
          <w:szCs w:val="26"/>
        </w:rPr>
        <w:t>Bottom Line</w:t>
      </w:r>
    </w:p>
    <w:p w14:paraId="59B81CE2" w14:textId="77777777" w:rsidR="00FB3DA4" w:rsidRDefault="00000000">
      <w:pPr>
        <w:spacing w:before="80" w:after="140" w:line="320" w:lineRule="auto"/>
      </w:pPr>
      <w:r>
        <w:t xml:space="preserve">The reported 32% Q4 revenue growth is structurally different from the headline. Roughly three-quarters of the Q4 dollar increase is pass-through reimbursable expenses, not service revenue. Direct service costs — the truer proxy for what Medpace </w:t>
      </w:r>
      <w:proofErr w:type="gramStart"/>
      <w:r>
        <w:t>actually does</w:t>
      </w:r>
      <w:proofErr w:type="gramEnd"/>
      <w:r>
        <w:t xml:space="preserve"> — grew 8.7%. Management's own 2026 guidance of 8.9–12.8% corroborates that the service business is growing at roughly half the reported rate. The gap between the deck's tone and its numbers is the central finding.</w:t>
      </w:r>
    </w:p>
    <w:p w14:paraId="0738FBFF" w14:textId="77777777" w:rsidR="00FB3DA4" w:rsidRDefault="00000000">
      <w:pPr>
        <w:pBdr>
          <w:bottom w:val="single" w:sz="6" w:space="4" w:color="C4C4C4"/>
        </w:pBdr>
        <w:spacing w:before="360" w:after="140"/>
      </w:pPr>
      <w:r>
        <w:rPr>
          <w:rFonts w:ascii="Calibri" w:eastAsia="Calibri" w:hAnsi="Calibri" w:cs="Calibri"/>
          <w:b/>
          <w:bCs/>
          <w:color w:val="1A1A1A"/>
          <w:sz w:val="26"/>
          <w:szCs w:val="26"/>
        </w:rPr>
        <w:t>Executive Summary</w:t>
      </w:r>
    </w:p>
    <w:p w14:paraId="30281CB6" w14:textId="77777777" w:rsidR="00FB3DA4" w:rsidRDefault="00000000">
      <w:pPr>
        <w:spacing w:before="220" w:after="60"/>
      </w:pPr>
      <w:r>
        <w:rPr>
          <w:rFonts w:ascii="Calibri" w:eastAsia="Calibri" w:hAnsi="Calibri" w:cs="Calibri"/>
          <w:b/>
          <w:bCs/>
        </w:rPr>
        <w:t>The growth headline is mostly pass-through</w:t>
      </w:r>
    </w:p>
    <w:p w14:paraId="0DE23901" w14:textId="77777777" w:rsidR="00FB3DA4" w:rsidRDefault="00000000">
      <w:pPr>
        <w:spacing w:before="80" w:after="140" w:line="320" w:lineRule="auto"/>
      </w:pPr>
      <w:r>
        <w:t xml:space="preserve">Q4 revenue rose $171.9 m YoY. Reimbursed out-of-pocket expenses rose $130.2 m — 76% of that increase. Pass-throughs carry no margin. Direct service costs grew 8.7%. EBITDA margin compressed 230 bps in Q4 (24.9% → 22.6%) and 80 bps for the year (22.8% → 22.0%). The business is mixing </w:t>
      </w:r>
      <w:proofErr w:type="gramStart"/>
      <w:r>
        <w:t>toward</w:t>
      </w:r>
      <w:proofErr w:type="gramEnd"/>
      <w:r>
        <w:t xml:space="preserve"> lower-quality revenue.</w:t>
      </w:r>
    </w:p>
    <w:p w14:paraId="3AB18865" w14:textId="77777777" w:rsidR="00FB3DA4" w:rsidRDefault="00000000">
      <w:pPr>
        <w:spacing w:before="220" w:after="60"/>
      </w:pPr>
      <w:r>
        <w:rPr>
          <w:rFonts w:ascii="Calibri" w:eastAsia="Calibri" w:hAnsi="Calibri" w:cs="Calibri"/>
          <w:b/>
          <w:bCs/>
        </w:rPr>
        <w:t>Backlog is burning faster than it is replenishing</w:t>
      </w:r>
    </w:p>
    <w:p w14:paraId="47CA6AE6" w14:textId="77777777" w:rsidR="00FB3DA4" w:rsidRDefault="00000000">
      <w:pPr>
        <w:spacing w:before="80" w:after="140" w:line="320" w:lineRule="auto"/>
      </w:pPr>
      <w:r>
        <w:t xml:space="preserve">Backlog conversion rate jumped from 18.3% (4Q24) to 23.6% (4Q25), an unexplained ~30% acceleration. Ending backlog grew only 4.3% YoY. The company's own NTM conversion estimate — $1.9 bn of a $3.0 bn backlog — implies the rate moderates back. 1Q25 book-to-bill was 0.90x. Small-biopharma concentration deepened from 79% to 82%. </w:t>
      </w:r>
      <w:proofErr w:type="gramStart"/>
      <w:r>
        <w:t>Top-10</w:t>
      </w:r>
      <w:proofErr w:type="gramEnd"/>
      <w:r>
        <w:t xml:space="preserve"> customer share rose from 29% to 35%.</w:t>
      </w:r>
    </w:p>
    <w:p w14:paraId="3B73DC16" w14:textId="77777777" w:rsidR="00FB3DA4" w:rsidRDefault="00000000">
      <w:pPr>
        <w:spacing w:before="220" w:after="60"/>
      </w:pPr>
      <w:r>
        <w:rPr>
          <w:rFonts w:ascii="Calibri" w:eastAsia="Calibri" w:hAnsi="Calibri" w:cs="Calibri"/>
          <w:b/>
          <w:bCs/>
        </w:rPr>
        <w:t>Capital allocation signals conviction and caution at the same time</w:t>
      </w:r>
    </w:p>
    <w:p w14:paraId="66CF0C5C" w14:textId="77777777" w:rsidR="00FB3DA4" w:rsidRDefault="00000000">
      <w:pPr>
        <w:spacing w:before="80" w:after="140" w:line="320" w:lineRule="auto"/>
      </w:pPr>
      <w:r>
        <w:lastRenderedPageBreak/>
        <w:t xml:space="preserve">Management spent $912.9 m on buybacks in 2025 — 5.2x prior year, roughly twice net income — drawing cash from $669 m to $46 m mid-year before rebuilding to $497 m. The scale signals either strong conviction on valuation or limited organic reinvestment opportunity. Either way, interest income becomes a 2026 headwind. Full-year interest income </w:t>
      </w:r>
      <w:proofErr w:type="gramStart"/>
      <w:r>
        <w:t>already</w:t>
      </w:r>
      <w:proofErr w:type="gramEnd"/>
      <w:r>
        <w:t xml:space="preserve"> halved from $25.0 m to $12.8 m.</w:t>
      </w:r>
    </w:p>
    <w:p w14:paraId="301A137E" w14:textId="77777777" w:rsidR="00FB3DA4" w:rsidRDefault="00000000">
      <w:pPr>
        <w:pBdr>
          <w:bottom w:val="single" w:sz="6" w:space="4" w:color="C4C4C4"/>
        </w:pBdr>
        <w:spacing w:before="360" w:after="140"/>
      </w:pPr>
      <w:r>
        <w:rPr>
          <w:rFonts w:ascii="Calibri" w:eastAsia="Calibri" w:hAnsi="Calibri" w:cs="Calibri"/>
          <w:b/>
          <w:bCs/>
          <w:color w:val="1A1A1A"/>
          <w:sz w:val="26"/>
          <w:szCs w:val="26"/>
        </w:rPr>
        <w:t>Buried Details That Actually Matter</w:t>
      </w:r>
    </w:p>
    <w:p w14:paraId="736A9C17" w14:textId="77777777" w:rsidR="00FB3DA4" w:rsidRDefault="00000000">
      <w:pPr>
        <w:spacing w:before="280" w:after="60"/>
      </w:pPr>
      <w:r>
        <w:rPr>
          <w:rFonts w:ascii="Calibri" w:eastAsia="Calibri" w:hAnsi="Calibri" w:cs="Calibri"/>
          <w:b/>
          <w:bCs/>
          <w:color w:val="A61B1B"/>
          <w:sz w:val="24"/>
          <w:szCs w:val="24"/>
        </w:rPr>
        <w:t xml:space="preserve">01   </w:t>
      </w:r>
      <w:r>
        <w:rPr>
          <w:rFonts w:ascii="Calibri" w:eastAsia="Calibri" w:hAnsi="Calibri" w:cs="Calibri"/>
          <w:b/>
          <w:bCs/>
          <w:color w:val="1A1A1A"/>
          <w:sz w:val="24"/>
          <w:szCs w:val="24"/>
        </w:rPr>
        <w:t>Three-quarters of Q4 revenue growth was pass-through expense</w:t>
      </w:r>
    </w:p>
    <w:p w14:paraId="5BF31DF5" w14:textId="77777777" w:rsidR="00FB3DA4" w:rsidRDefault="00000000">
      <w:pPr>
        <w:spacing w:before="80" w:after="140" w:line="320" w:lineRule="auto"/>
      </w:pPr>
      <w:r>
        <w:t>Reimbursed out-of-pocket expenses grew 68.3% YoY in Q4 ($190.8 m → $321.0 m). That $130.2 m accounts for 76% of the $171.9 m total Q4 revenue increase. Pass-throughs are billed at zero margin. The underlying service business grew roughly 12% in Q4, not 32%.</w:t>
      </w:r>
    </w:p>
    <w:p w14:paraId="18D126BC" w14:textId="77777777" w:rsidR="00FB3DA4" w:rsidRDefault="00000000">
      <w:pPr>
        <w:pBdr>
          <w:left w:val="single" w:sz="8" w:space="12" w:color="C4C4C4"/>
        </w:pBdr>
        <w:spacing w:before="40" w:after="60" w:line="320" w:lineRule="auto"/>
        <w:ind w:left="220"/>
      </w:pPr>
      <w:r>
        <w:rPr>
          <w:b/>
          <w:bCs/>
          <w:i/>
          <w:iCs/>
          <w:color w:val="333333"/>
        </w:rPr>
        <w:t xml:space="preserve">Why it matters. </w:t>
      </w:r>
      <w:r>
        <w:rPr>
          <w:i/>
          <w:iCs/>
          <w:color w:val="333333"/>
        </w:rPr>
        <w:t>The growth narrative investors will take from the press release is structurally different from what the income statement shows.</w:t>
      </w:r>
    </w:p>
    <w:p w14:paraId="2AC7AEE6" w14:textId="77777777" w:rsidR="00FB3DA4" w:rsidRPr="00FD0B1E" w:rsidRDefault="00000000">
      <w:pPr>
        <w:spacing w:before="40" w:after="180"/>
        <w:rPr>
          <w:lang w:val="fr-FR"/>
        </w:rPr>
      </w:pPr>
      <w:proofErr w:type="gramStart"/>
      <w:r w:rsidRPr="00FD0B1E">
        <w:rPr>
          <w:rFonts w:ascii="Calibri" w:eastAsia="Calibri" w:hAnsi="Calibri" w:cs="Calibri"/>
          <w:i/>
          <w:iCs/>
          <w:color w:val="666666"/>
          <w:sz w:val="18"/>
          <w:szCs w:val="18"/>
          <w:lang w:val="fr-FR"/>
        </w:rPr>
        <w:t>Source:</w:t>
      </w:r>
      <w:proofErr w:type="gramEnd"/>
      <w:r w:rsidRPr="00FD0B1E">
        <w:rPr>
          <w:rFonts w:ascii="Calibri" w:eastAsia="Calibri" w:hAnsi="Calibri" w:cs="Calibri"/>
          <w:i/>
          <w:iCs/>
          <w:color w:val="666666"/>
          <w:sz w:val="18"/>
          <w:szCs w:val="18"/>
          <w:lang w:val="fr-FR"/>
        </w:rPr>
        <w:t xml:space="preserve"> Q4 2025 Income Statement, page 13.</w:t>
      </w:r>
    </w:p>
    <w:p w14:paraId="498D74A9" w14:textId="77777777" w:rsidR="00FB3DA4" w:rsidRDefault="00000000">
      <w:pPr>
        <w:spacing w:before="280" w:after="60"/>
      </w:pPr>
      <w:r>
        <w:rPr>
          <w:rFonts w:ascii="Calibri" w:eastAsia="Calibri" w:hAnsi="Calibri" w:cs="Calibri"/>
          <w:b/>
          <w:bCs/>
          <w:color w:val="A61B1B"/>
          <w:sz w:val="24"/>
          <w:szCs w:val="24"/>
        </w:rPr>
        <w:t xml:space="preserve">02   </w:t>
      </w:r>
      <w:r>
        <w:rPr>
          <w:rFonts w:ascii="Calibri" w:eastAsia="Calibri" w:hAnsi="Calibri" w:cs="Calibri"/>
          <w:b/>
          <w:bCs/>
          <w:color w:val="1A1A1A"/>
          <w:sz w:val="24"/>
          <w:szCs w:val="24"/>
        </w:rPr>
        <w:t>EBITDA margin compressed in both Q4 and full year</w:t>
      </w:r>
    </w:p>
    <w:p w14:paraId="52C15FB2" w14:textId="77777777" w:rsidR="00FB3DA4" w:rsidRDefault="00000000">
      <w:pPr>
        <w:spacing w:before="80" w:after="140" w:line="320" w:lineRule="auto"/>
      </w:pPr>
      <w:r>
        <w:t>Q4 EBITDA margin 22.6% vs 24.9% prior year (-230 bps). FY 22.0% vs 22.8% prior year (-80 bps). Not small-numbers noise — three of the last four quarters printed between 21.2% and 22.6% after 4Q24 peaked at 24.9%.</w:t>
      </w:r>
    </w:p>
    <w:p w14:paraId="5F810382" w14:textId="77777777" w:rsidR="00FB3DA4" w:rsidRDefault="00000000">
      <w:pPr>
        <w:pBdr>
          <w:left w:val="single" w:sz="8" w:space="12" w:color="C4C4C4"/>
        </w:pBdr>
        <w:spacing w:before="40" w:after="60" w:line="320" w:lineRule="auto"/>
        <w:ind w:left="220"/>
      </w:pPr>
      <w:r>
        <w:rPr>
          <w:b/>
          <w:bCs/>
          <w:i/>
          <w:iCs/>
          <w:color w:val="333333"/>
        </w:rPr>
        <w:t xml:space="preserve">Why it matters. </w:t>
      </w:r>
      <w:r>
        <w:rPr>
          <w:i/>
          <w:iCs/>
          <w:color w:val="333333"/>
        </w:rPr>
        <w:t>For a CRO that historically expanded margin with scale, the direction has reversed.</w:t>
      </w:r>
    </w:p>
    <w:p w14:paraId="737075E1" w14:textId="77777777" w:rsidR="00FB3DA4" w:rsidRDefault="00000000">
      <w:pPr>
        <w:spacing w:before="40" w:after="180"/>
      </w:pPr>
      <w:r>
        <w:rPr>
          <w:rFonts w:ascii="Calibri" w:eastAsia="Calibri" w:hAnsi="Calibri" w:cs="Calibri"/>
          <w:i/>
          <w:iCs/>
          <w:color w:val="666666"/>
          <w:sz w:val="18"/>
          <w:szCs w:val="18"/>
        </w:rPr>
        <w:t>Source: Key Financial Trends, page 6.</w:t>
      </w:r>
    </w:p>
    <w:p w14:paraId="3C6728E8" w14:textId="77777777" w:rsidR="00FB3DA4" w:rsidRDefault="00000000">
      <w:pPr>
        <w:spacing w:before="280" w:after="60"/>
      </w:pPr>
      <w:r>
        <w:rPr>
          <w:rFonts w:ascii="Calibri" w:eastAsia="Calibri" w:hAnsi="Calibri" w:cs="Calibri"/>
          <w:b/>
          <w:bCs/>
          <w:color w:val="A61B1B"/>
          <w:sz w:val="24"/>
          <w:szCs w:val="24"/>
        </w:rPr>
        <w:t xml:space="preserve">03   </w:t>
      </w:r>
      <w:r>
        <w:rPr>
          <w:rFonts w:ascii="Calibri" w:eastAsia="Calibri" w:hAnsi="Calibri" w:cs="Calibri"/>
          <w:b/>
          <w:bCs/>
          <w:color w:val="1A1A1A"/>
          <w:sz w:val="24"/>
          <w:szCs w:val="24"/>
        </w:rPr>
        <w:t>Backlog conversion rate surged without narrative explanation</w:t>
      </w:r>
    </w:p>
    <w:p w14:paraId="5C9922F9" w14:textId="77777777" w:rsidR="00FB3DA4" w:rsidRDefault="00000000">
      <w:pPr>
        <w:spacing w:before="80" w:after="140" w:line="320" w:lineRule="auto"/>
      </w:pPr>
      <w:r>
        <w:t>From 18.3% (4Q24) to 23.6% (</w:t>
      </w:r>
      <w:proofErr w:type="gramStart"/>
      <w:r>
        <w:t>4Q25) —</w:t>
      </w:r>
      <w:proofErr w:type="gramEnd"/>
      <w:r>
        <w:t xml:space="preserve"> a ~30% acceleration in backlog burn. Ending backlog grew only 4.3% despite a 1.05x full-</w:t>
      </w:r>
      <w:proofErr w:type="gramStart"/>
      <w:r>
        <w:t>year book</w:t>
      </w:r>
      <w:proofErr w:type="gramEnd"/>
      <w:r>
        <w:t>-to-bill.</w:t>
      </w:r>
    </w:p>
    <w:p w14:paraId="79DF8A5D" w14:textId="77777777" w:rsidR="00FB3DA4" w:rsidRDefault="00000000">
      <w:pPr>
        <w:pBdr>
          <w:left w:val="single" w:sz="8" w:space="12" w:color="C4C4C4"/>
        </w:pBdr>
        <w:spacing w:before="40" w:after="60" w:line="320" w:lineRule="auto"/>
        <w:ind w:left="220"/>
      </w:pPr>
      <w:r>
        <w:rPr>
          <w:b/>
          <w:bCs/>
          <w:i/>
          <w:iCs/>
          <w:color w:val="333333"/>
        </w:rPr>
        <w:t xml:space="preserve">Why it matters. </w:t>
      </w:r>
      <w:r>
        <w:rPr>
          <w:i/>
          <w:iCs/>
          <w:color w:val="333333"/>
        </w:rPr>
        <w:t xml:space="preserve">Either trial execution improved dramatically in four quarters (no disclosure supports this) or backlog is aging and burning through without full replacement. </w:t>
      </w:r>
      <w:r>
        <w:rPr>
          <w:rFonts w:ascii="Calibri" w:eastAsia="Calibri" w:hAnsi="Calibri" w:cs="Calibri"/>
          <w:b/>
          <w:bCs/>
          <w:color w:val="A61B1B"/>
          <w:sz w:val="16"/>
          <w:szCs w:val="16"/>
        </w:rPr>
        <w:t>[INFERENCE]</w:t>
      </w:r>
    </w:p>
    <w:p w14:paraId="0FCBFECF" w14:textId="77777777" w:rsidR="00FB3DA4" w:rsidRDefault="00000000">
      <w:pPr>
        <w:spacing w:before="40" w:after="180"/>
      </w:pPr>
      <w:r>
        <w:rPr>
          <w:rFonts w:ascii="Calibri" w:eastAsia="Calibri" w:hAnsi="Calibri" w:cs="Calibri"/>
          <w:i/>
          <w:iCs/>
          <w:color w:val="666666"/>
          <w:sz w:val="18"/>
          <w:szCs w:val="18"/>
        </w:rPr>
        <w:t>Source: Backlog and New Award Trends, page 4.</w:t>
      </w:r>
    </w:p>
    <w:p w14:paraId="1FFB09C4" w14:textId="77777777" w:rsidR="00FB3DA4" w:rsidRDefault="00000000">
      <w:pPr>
        <w:spacing w:before="280" w:after="60"/>
      </w:pPr>
      <w:r>
        <w:rPr>
          <w:rFonts w:ascii="Calibri" w:eastAsia="Calibri" w:hAnsi="Calibri" w:cs="Calibri"/>
          <w:b/>
          <w:bCs/>
          <w:color w:val="A61B1B"/>
          <w:sz w:val="24"/>
          <w:szCs w:val="24"/>
        </w:rPr>
        <w:t xml:space="preserve">04   </w:t>
      </w:r>
      <w:r>
        <w:rPr>
          <w:rFonts w:ascii="Calibri" w:eastAsia="Calibri" w:hAnsi="Calibri" w:cs="Calibri"/>
          <w:b/>
          <w:bCs/>
          <w:color w:val="1A1A1A"/>
          <w:sz w:val="24"/>
          <w:szCs w:val="24"/>
        </w:rPr>
        <w:t>2026 guidance effectively signals zero sequential growth</w:t>
      </w:r>
    </w:p>
    <w:p w14:paraId="7CB27160" w14:textId="77777777" w:rsidR="00FB3DA4" w:rsidRDefault="00000000">
      <w:pPr>
        <w:spacing w:before="80" w:after="140" w:line="320" w:lineRule="auto"/>
      </w:pPr>
      <w:r>
        <w:t xml:space="preserve">Guidance midpoint $2,805 m revenue vs 4Q25 </w:t>
      </w:r>
      <w:proofErr w:type="spellStart"/>
      <w:r>
        <w:t>annualised</w:t>
      </w:r>
      <w:proofErr w:type="spellEnd"/>
      <w:r>
        <w:t xml:space="preserve"> run-rate of $2,834 m. Management sees no further sequential expansion.</w:t>
      </w:r>
    </w:p>
    <w:p w14:paraId="64B47386" w14:textId="77777777" w:rsidR="00FB3DA4" w:rsidRDefault="00000000">
      <w:pPr>
        <w:pBdr>
          <w:left w:val="single" w:sz="8" w:space="12" w:color="C4C4C4"/>
        </w:pBdr>
        <w:spacing w:before="40" w:after="60" w:line="320" w:lineRule="auto"/>
        <w:ind w:left="220"/>
      </w:pPr>
      <w:r>
        <w:rPr>
          <w:b/>
          <w:bCs/>
          <w:i/>
          <w:iCs/>
          <w:color w:val="333333"/>
        </w:rPr>
        <w:t xml:space="preserve">Why it matters. </w:t>
      </w:r>
      <w:r>
        <w:rPr>
          <w:i/>
          <w:iCs/>
          <w:color w:val="333333"/>
        </w:rPr>
        <w:t>Management has the clearest view of backlog composition. Their guide is the forward-looking truth check on a headline year.</w:t>
      </w:r>
    </w:p>
    <w:p w14:paraId="79C0BB0F" w14:textId="77777777" w:rsidR="00FB3DA4" w:rsidRDefault="00000000">
      <w:pPr>
        <w:spacing w:before="40" w:after="180"/>
      </w:pPr>
      <w:r>
        <w:rPr>
          <w:rFonts w:ascii="Calibri" w:eastAsia="Calibri" w:hAnsi="Calibri" w:cs="Calibri"/>
          <w:i/>
          <w:iCs/>
          <w:color w:val="666666"/>
          <w:sz w:val="18"/>
          <w:szCs w:val="18"/>
        </w:rPr>
        <w:t>Source: Full Year 2026 Guidance, page 11.</w:t>
      </w:r>
    </w:p>
    <w:p w14:paraId="71D5376A" w14:textId="77777777" w:rsidR="00FB3DA4" w:rsidRDefault="00000000">
      <w:pPr>
        <w:spacing w:before="280" w:after="60"/>
      </w:pPr>
      <w:r>
        <w:rPr>
          <w:rFonts w:ascii="Calibri" w:eastAsia="Calibri" w:hAnsi="Calibri" w:cs="Calibri"/>
          <w:b/>
          <w:bCs/>
          <w:color w:val="A61B1B"/>
          <w:sz w:val="24"/>
          <w:szCs w:val="24"/>
        </w:rPr>
        <w:lastRenderedPageBreak/>
        <w:t xml:space="preserve">05   </w:t>
      </w:r>
      <w:r>
        <w:rPr>
          <w:rFonts w:ascii="Calibri" w:eastAsia="Calibri" w:hAnsi="Calibri" w:cs="Calibri"/>
          <w:b/>
          <w:bCs/>
          <w:color w:val="1A1A1A"/>
          <w:sz w:val="24"/>
          <w:szCs w:val="24"/>
        </w:rPr>
        <w:t>Share buybacks of $912.9 m drew cash to $46 m mid-year</w:t>
      </w:r>
    </w:p>
    <w:p w14:paraId="1BBBDF36" w14:textId="77777777" w:rsidR="00FB3DA4" w:rsidRDefault="00000000">
      <w:pPr>
        <w:spacing w:before="80" w:after="140" w:line="320" w:lineRule="auto"/>
      </w:pPr>
      <w:r>
        <w:t>Buybacks consumed 134% of 2025 free cash flow ($682 m). Cash dropped from $669 m (4Q24) to $46 m (2Q25), recovered to $497 m by year-end. Prior year buybacks were $174.2 m.</w:t>
      </w:r>
    </w:p>
    <w:p w14:paraId="116EDE48" w14:textId="77777777" w:rsidR="00FB3DA4" w:rsidRDefault="00000000">
      <w:pPr>
        <w:pBdr>
          <w:left w:val="single" w:sz="8" w:space="12" w:color="C4C4C4"/>
        </w:pBdr>
        <w:spacing w:before="40" w:after="60" w:line="320" w:lineRule="auto"/>
        <w:ind w:left="220"/>
      </w:pPr>
      <w:r>
        <w:rPr>
          <w:b/>
          <w:bCs/>
          <w:i/>
          <w:iCs/>
          <w:color w:val="333333"/>
        </w:rPr>
        <w:t xml:space="preserve">Why it matters. </w:t>
      </w:r>
      <w:r>
        <w:rPr>
          <w:i/>
          <w:iCs/>
          <w:color w:val="333333"/>
        </w:rPr>
        <w:t>The scale implies either management conviction on intrinsic value or a shortage of organic reinvestment opportunities. Possibly both.</w:t>
      </w:r>
    </w:p>
    <w:p w14:paraId="65522474" w14:textId="77777777" w:rsidR="00FB3DA4" w:rsidRDefault="00000000">
      <w:pPr>
        <w:spacing w:before="40" w:after="180"/>
      </w:pPr>
      <w:r>
        <w:rPr>
          <w:rFonts w:ascii="Calibri" w:eastAsia="Calibri" w:hAnsi="Calibri" w:cs="Calibri"/>
          <w:i/>
          <w:iCs/>
          <w:color w:val="666666"/>
          <w:sz w:val="18"/>
          <w:szCs w:val="18"/>
        </w:rPr>
        <w:t>Source: Q4 2025 Cash Position, page 10.</w:t>
      </w:r>
    </w:p>
    <w:p w14:paraId="1B4D6E1A" w14:textId="77777777" w:rsidR="00FB3DA4" w:rsidRDefault="00000000">
      <w:pPr>
        <w:spacing w:before="280" w:after="60"/>
      </w:pPr>
      <w:r>
        <w:rPr>
          <w:rFonts w:ascii="Calibri" w:eastAsia="Calibri" w:hAnsi="Calibri" w:cs="Calibri"/>
          <w:b/>
          <w:bCs/>
          <w:color w:val="A61B1B"/>
          <w:sz w:val="24"/>
          <w:szCs w:val="24"/>
        </w:rPr>
        <w:t xml:space="preserve">06   </w:t>
      </w:r>
      <w:r>
        <w:rPr>
          <w:rFonts w:ascii="Calibri" w:eastAsia="Calibri" w:hAnsi="Calibri" w:cs="Calibri"/>
          <w:b/>
          <w:bCs/>
          <w:color w:val="1A1A1A"/>
          <w:sz w:val="24"/>
          <w:szCs w:val="24"/>
        </w:rPr>
        <w:t>Net DSO compression from -71 to -58 days</w:t>
      </w:r>
    </w:p>
    <w:p w14:paraId="0485ADDF" w14:textId="77777777" w:rsidR="00FB3DA4" w:rsidRDefault="00000000">
      <w:pPr>
        <w:spacing w:before="80" w:after="140" w:line="320" w:lineRule="auto"/>
      </w:pPr>
      <w:r>
        <w:t>Negative DSO reflects advance billings exceeding receivables — the CRO working-capital virtue. It narrowed steadily through 2025.</w:t>
      </w:r>
    </w:p>
    <w:p w14:paraId="176BEFFF" w14:textId="77777777" w:rsidR="00FB3DA4" w:rsidRDefault="00000000">
      <w:pPr>
        <w:pBdr>
          <w:left w:val="single" w:sz="8" w:space="12" w:color="C4C4C4"/>
        </w:pBdr>
        <w:spacing w:before="40" w:after="60" w:line="320" w:lineRule="auto"/>
        <w:ind w:left="220"/>
      </w:pPr>
      <w:r>
        <w:rPr>
          <w:b/>
          <w:bCs/>
          <w:i/>
          <w:iCs/>
          <w:color w:val="333333"/>
        </w:rPr>
        <w:t xml:space="preserve">Why it matters. </w:t>
      </w:r>
      <w:r>
        <w:rPr>
          <w:i/>
          <w:iCs/>
          <w:color w:val="333333"/>
        </w:rPr>
        <w:t xml:space="preserve">The advance-billing cushion that lets CROs carry less working capital is shrinking. Sustained compression would pressure the cash conversion machine over time. </w:t>
      </w:r>
      <w:r>
        <w:rPr>
          <w:rFonts w:ascii="Calibri" w:eastAsia="Calibri" w:hAnsi="Calibri" w:cs="Calibri"/>
          <w:b/>
          <w:bCs/>
          <w:color w:val="A61B1B"/>
          <w:sz w:val="16"/>
          <w:szCs w:val="16"/>
        </w:rPr>
        <w:t>[INFERENCE]</w:t>
      </w:r>
    </w:p>
    <w:p w14:paraId="22E2D504" w14:textId="77777777" w:rsidR="00FB3DA4" w:rsidRDefault="00000000">
      <w:pPr>
        <w:spacing w:before="40" w:after="180"/>
      </w:pPr>
      <w:r>
        <w:rPr>
          <w:rFonts w:ascii="Calibri" w:eastAsia="Calibri" w:hAnsi="Calibri" w:cs="Calibri"/>
          <w:i/>
          <w:iCs/>
          <w:color w:val="666666"/>
          <w:sz w:val="18"/>
          <w:szCs w:val="18"/>
        </w:rPr>
        <w:t>Source: Q4 2025 Cash Position, page 10.</w:t>
      </w:r>
    </w:p>
    <w:p w14:paraId="7312C9F3" w14:textId="77777777" w:rsidR="00FB3DA4" w:rsidRDefault="00000000">
      <w:pPr>
        <w:spacing w:before="280" w:after="60"/>
      </w:pPr>
      <w:r>
        <w:rPr>
          <w:rFonts w:ascii="Calibri" w:eastAsia="Calibri" w:hAnsi="Calibri" w:cs="Calibri"/>
          <w:b/>
          <w:bCs/>
          <w:color w:val="A61B1B"/>
          <w:sz w:val="24"/>
          <w:szCs w:val="24"/>
        </w:rPr>
        <w:t xml:space="preserve">07   </w:t>
      </w:r>
      <w:proofErr w:type="gramStart"/>
      <w:r>
        <w:rPr>
          <w:rFonts w:ascii="Calibri" w:eastAsia="Calibri" w:hAnsi="Calibri" w:cs="Calibri"/>
          <w:b/>
          <w:bCs/>
          <w:color w:val="1A1A1A"/>
          <w:sz w:val="24"/>
          <w:szCs w:val="24"/>
        </w:rPr>
        <w:t>Top-10</w:t>
      </w:r>
      <w:proofErr w:type="gramEnd"/>
      <w:r>
        <w:rPr>
          <w:rFonts w:ascii="Calibri" w:eastAsia="Calibri" w:hAnsi="Calibri" w:cs="Calibri"/>
          <w:b/>
          <w:bCs/>
          <w:color w:val="1A1A1A"/>
          <w:sz w:val="24"/>
          <w:szCs w:val="24"/>
        </w:rPr>
        <w:t xml:space="preserve"> customer concentration widened from 29% to 35%</w:t>
      </w:r>
    </w:p>
    <w:p w14:paraId="32DA64C4" w14:textId="77777777" w:rsidR="00FB3DA4" w:rsidRDefault="00000000">
      <w:pPr>
        <w:spacing w:before="80" w:after="140" w:line="320" w:lineRule="auto"/>
      </w:pPr>
      <w:r>
        <w:t>Top 5: 22% → 25%. Rest of Top 10: 7% → 10%. "All other": 71% → 65%.</w:t>
      </w:r>
    </w:p>
    <w:p w14:paraId="7F5885D8" w14:textId="77777777" w:rsidR="00FB3DA4" w:rsidRDefault="00000000">
      <w:pPr>
        <w:pBdr>
          <w:left w:val="single" w:sz="8" w:space="12" w:color="C4C4C4"/>
        </w:pBdr>
        <w:spacing w:before="40" w:after="60" w:line="320" w:lineRule="auto"/>
        <w:ind w:left="220"/>
      </w:pPr>
      <w:r>
        <w:rPr>
          <w:b/>
          <w:bCs/>
          <w:i/>
          <w:iCs/>
          <w:color w:val="333333"/>
        </w:rPr>
        <w:t xml:space="preserve">Why it matters. </w:t>
      </w:r>
      <w:r>
        <w:rPr>
          <w:i/>
          <w:iCs/>
          <w:color w:val="333333"/>
        </w:rPr>
        <w:t>The small-biopharma diversification narrative is partly offset by rising dependence on the largest handful of clients.</w:t>
      </w:r>
    </w:p>
    <w:p w14:paraId="0213BD16" w14:textId="77777777" w:rsidR="00FB3DA4" w:rsidRDefault="00000000">
      <w:pPr>
        <w:spacing w:before="40" w:after="180"/>
      </w:pPr>
      <w:r>
        <w:rPr>
          <w:rFonts w:ascii="Calibri" w:eastAsia="Calibri" w:hAnsi="Calibri" w:cs="Calibri"/>
          <w:i/>
          <w:iCs/>
          <w:color w:val="666666"/>
          <w:sz w:val="18"/>
          <w:szCs w:val="18"/>
        </w:rPr>
        <w:t>Source: 2025 Revenue Composition, page 9.</w:t>
      </w:r>
    </w:p>
    <w:p w14:paraId="4A49B428" w14:textId="77777777" w:rsidR="00FB3DA4" w:rsidRDefault="00000000">
      <w:pPr>
        <w:spacing w:before="280" w:after="60"/>
      </w:pPr>
      <w:r>
        <w:rPr>
          <w:rFonts w:ascii="Calibri" w:eastAsia="Calibri" w:hAnsi="Calibri" w:cs="Calibri"/>
          <w:b/>
          <w:bCs/>
          <w:color w:val="A61B1B"/>
          <w:sz w:val="24"/>
          <w:szCs w:val="24"/>
        </w:rPr>
        <w:t xml:space="preserve">08   </w:t>
      </w:r>
      <w:r>
        <w:rPr>
          <w:rFonts w:ascii="Calibri" w:eastAsia="Calibri" w:hAnsi="Calibri" w:cs="Calibri"/>
          <w:b/>
          <w:bCs/>
          <w:color w:val="1A1A1A"/>
          <w:sz w:val="24"/>
          <w:szCs w:val="24"/>
        </w:rPr>
        <w:t>1Q25 book-to-bill of 0.90x is a deep trough masked by the annual average</w:t>
      </w:r>
    </w:p>
    <w:p w14:paraId="08914119" w14:textId="77777777" w:rsidR="00FB3DA4" w:rsidRDefault="00000000">
      <w:pPr>
        <w:spacing w:before="80" w:after="140" w:line="320" w:lineRule="auto"/>
      </w:pPr>
      <w:r>
        <w:t>Full year 1.05x vs 1.06x prior year. 3Q25 spike to 1.20x looks like catch-up. 4Q25 back to 1.04x.</w:t>
      </w:r>
    </w:p>
    <w:p w14:paraId="477B090A" w14:textId="77777777" w:rsidR="00FB3DA4" w:rsidRDefault="00000000">
      <w:pPr>
        <w:pBdr>
          <w:left w:val="single" w:sz="8" w:space="12" w:color="C4C4C4"/>
        </w:pBdr>
        <w:spacing w:before="40" w:after="60" w:line="320" w:lineRule="auto"/>
        <w:ind w:left="220"/>
      </w:pPr>
      <w:r>
        <w:rPr>
          <w:b/>
          <w:bCs/>
          <w:i/>
          <w:iCs/>
          <w:color w:val="333333"/>
        </w:rPr>
        <w:t xml:space="preserve">Why it matters. </w:t>
      </w:r>
      <w:r>
        <w:rPr>
          <w:i/>
          <w:iCs/>
          <w:color w:val="333333"/>
        </w:rPr>
        <w:t>A sub-1.0x quarter is a real signal in a CRO; the annual average flattened it.</w:t>
      </w:r>
    </w:p>
    <w:p w14:paraId="56169DDF" w14:textId="77777777" w:rsidR="00FB3DA4" w:rsidRDefault="00000000">
      <w:pPr>
        <w:spacing w:before="40" w:after="180"/>
      </w:pPr>
      <w:r>
        <w:rPr>
          <w:rFonts w:ascii="Calibri" w:eastAsia="Calibri" w:hAnsi="Calibri" w:cs="Calibri"/>
          <w:i/>
          <w:iCs/>
          <w:color w:val="666666"/>
          <w:sz w:val="18"/>
          <w:szCs w:val="18"/>
        </w:rPr>
        <w:t>Source: Backlog and New Award Trends, page 4.</w:t>
      </w:r>
    </w:p>
    <w:p w14:paraId="3CB35AAA" w14:textId="77777777" w:rsidR="00FB3DA4" w:rsidRDefault="00000000">
      <w:pPr>
        <w:spacing w:before="280" w:after="60"/>
      </w:pPr>
      <w:r>
        <w:rPr>
          <w:rFonts w:ascii="Calibri" w:eastAsia="Calibri" w:hAnsi="Calibri" w:cs="Calibri"/>
          <w:b/>
          <w:bCs/>
          <w:color w:val="A61B1B"/>
          <w:sz w:val="24"/>
          <w:szCs w:val="24"/>
        </w:rPr>
        <w:t xml:space="preserve">09   </w:t>
      </w:r>
      <w:r>
        <w:rPr>
          <w:rFonts w:ascii="Calibri" w:eastAsia="Calibri" w:hAnsi="Calibri" w:cs="Calibri"/>
          <w:b/>
          <w:bCs/>
          <w:color w:val="1A1A1A"/>
          <w:sz w:val="24"/>
          <w:szCs w:val="24"/>
        </w:rPr>
        <w:t>Abnormally low Q1 2025 tax rate of 3% and Q4 rate of 13.8%</w:t>
      </w:r>
    </w:p>
    <w:p w14:paraId="47A9FFC1" w14:textId="77777777" w:rsidR="00FB3DA4" w:rsidRDefault="00000000">
      <w:pPr>
        <w:spacing w:before="80" w:after="140" w:line="320" w:lineRule="auto"/>
      </w:pPr>
      <w:r>
        <w:t>Q1 tax provision $3.6 m on $118.2 m pretax. Q4 provision $21.7 m on $156.8 m. FY effective rate 16.8%. Both endpoint quarters flattered headline EPS.</w:t>
      </w:r>
    </w:p>
    <w:p w14:paraId="5FC55A57" w14:textId="77777777" w:rsidR="00FB3DA4" w:rsidRDefault="00000000">
      <w:pPr>
        <w:pBdr>
          <w:left w:val="single" w:sz="8" w:space="12" w:color="C4C4C4"/>
        </w:pBdr>
        <w:spacing w:before="40" w:after="60" w:line="320" w:lineRule="auto"/>
        <w:ind w:left="220"/>
      </w:pPr>
      <w:r>
        <w:rPr>
          <w:b/>
          <w:bCs/>
          <w:i/>
          <w:iCs/>
          <w:color w:val="333333"/>
        </w:rPr>
        <w:t xml:space="preserve">Why it matters. </w:t>
      </w:r>
      <w:r>
        <w:rPr>
          <w:i/>
          <w:iCs/>
          <w:color w:val="333333"/>
        </w:rPr>
        <w:t>Quarterly EPS comparisons are distorted. The 10-K will detail discrete items — stock-comp deductions, R&amp;D credits, or foreign mix most likely.</w:t>
      </w:r>
    </w:p>
    <w:p w14:paraId="3127A388" w14:textId="77777777" w:rsidR="00FB3DA4" w:rsidRDefault="00000000">
      <w:pPr>
        <w:spacing w:before="40" w:after="180"/>
      </w:pPr>
      <w:r>
        <w:rPr>
          <w:rFonts w:ascii="Calibri" w:eastAsia="Calibri" w:hAnsi="Calibri" w:cs="Calibri"/>
          <w:i/>
          <w:iCs/>
          <w:color w:val="666666"/>
          <w:sz w:val="18"/>
          <w:szCs w:val="18"/>
        </w:rPr>
        <w:t>Source: EBITDA Reconciliation, page 14.</w:t>
      </w:r>
    </w:p>
    <w:p w14:paraId="58B96FC5" w14:textId="77777777" w:rsidR="00FB3DA4" w:rsidRDefault="00000000">
      <w:pPr>
        <w:spacing w:before="280" w:after="60"/>
      </w:pPr>
      <w:r>
        <w:rPr>
          <w:rFonts w:ascii="Calibri" w:eastAsia="Calibri" w:hAnsi="Calibri" w:cs="Calibri"/>
          <w:b/>
          <w:bCs/>
          <w:color w:val="A61B1B"/>
          <w:sz w:val="24"/>
          <w:szCs w:val="24"/>
        </w:rPr>
        <w:t xml:space="preserve">10   </w:t>
      </w:r>
      <w:r>
        <w:rPr>
          <w:rFonts w:ascii="Calibri" w:eastAsia="Calibri" w:hAnsi="Calibri" w:cs="Calibri"/>
          <w:b/>
          <w:bCs/>
          <w:color w:val="1A1A1A"/>
          <w:sz w:val="24"/>
          <w:szCs w:val="24"/>
        </w:rPr>
        <w:t>New AI risk language appears in forward-looking statements</w:t>
      </w:r>
    </w:p>
    <w:p w14:paraId="5D01D0D3" w14:textId="77777777" w:rsidR="00FB3DA4" w:rsidRDefault="00000000">
      <w:pPr>
        <w:spacing w:before="80" w:after="140" w:line="320" w:lineRule="auto"/>
      </w:pPr>
      <w:r>
        <w:t>Legal disclaimer now explicitly flags "risks from use of machine learning and generative artificial intelligence ('AI'), including risks from insufficient human oversight of AI or lack of controls and procedures monitoring AI use."</w:t>
      </w:r>
    </w:p>
    <w:p w14:paraId="29B51CF3" w14:textId="77777777" w:rsidR="00FB3DA4" w:rsidRDefault="00000000">
      <w:pPr>
        <w:pBdr>
          <w:left w:val="single" w:sz="8" w:space="12" w:color="C4C4C4"/>
        </w:pBdr>
        <w:spacing w:before="40" w:after="60" w:line="320" w:lineRule="auto"/>
        <w:ind w:left="220"/>
      </w:pPr>
      <w:r>
        <w:rPr>
          <w:b/>
          <w:bCs/>
          <w:i/>
          <w:iCs/>
          <w:color w:val="333333"/>
        </w:rPr>
        <w:lastRenderedPageBreak/>
        <w:t xml:space="preserve">Why it matters. </w:t>
      </w:r>
      <w:r>
        <w:rPr>
          <w:i/>
          <w:iCs/>
          <w:color w:val="333333"/>
        </w:rPr>
        <w:t xml:space="preserve">Competitors (IQVIA, ICON) frame AI primarily as an opportunity. </w:t>
      </w:r>
      <w:proofErr w:type="spellStart"/>
      <w:r>
        <w:rPr>
          <w:i/>
          <w:iCs/>
          <w:color w:val="333333"/>
        </w:rPr>
        <w:t>Medpace's</w:t>
      </w:r>
      <w:proofErr w:type="spellEnd"/>
      <w:r>
        <w:rPr>
          <w:i/>
          <w:iCs/>
          <w:color w:val="333333"/>
        </w:rPr>
        <w:t xml:space="preserve"> legal framing is defensive. Tells you how management thinks about it internally.</w:t>
      </w:r>
    </w:p>
    <w:p w14:paraId="24245824" w14:textId="77777777" w:rsidR="00FB3DA4" w:rsidRDefault="00000000">
      <w:pPr>
        <w:spacing w:before="40" w:after="180"/>
      </w:pPr>
      <w:r>
        <w:rPr>
          <w:rFonts w:ascii="Calibri" w:eastAsia="Calibri" w:hAnsi="Calibri" w:cs="Calibri"/>
          <w:i/>
          <w:iCs/>
          <w:color w:val="666666"/>
          <w:sz w:val="18"/>
          <w:szCs w:val="18"/>
        </w:rPr>
        <w:t>Source: Forward-Looking Statements, page 2.</w:t>
      </w:r>
    </w:p>
    <w:p w14:paraId="215629F5" w14:textId="77777777" w:rsidR="00FB3DA4" w:rsidRDefault="00000000">
      <w:pPr>
        <w:pBdr>
          <w:bottom w:val="single" w:sz="6" w:space="4" w:color="C4C4C4"/>
        </w:pBdr>
        <w:spacing w:before="360" w:after="140"/>
      </w:pPr>
      <w:r>
        <w:rPr>
          <w:rFonts w:ascii="Calibri" w:eastAsia="Calibri" w:hAnsi="Calibri" w:cs="Calibri"/>
          <w:b/>
          <w:bCs/>
          <w:color w:val="1A1A1A"/>
          <w:sz w:val="26"/>
          <w:szCs w:val="26"/>
        </w:rPr>
        <w:t>Investigation Threads</w:t>
      </w:r>
    </w:p>
    <w:p w14:paraId="01945D6C" w14:textId="77777777" w:rsidR="00FB3DA4" w:rsidRDefault="00000000">
      <w:pPr>
        <w:spacing w:before="200" w:after="60"/>
      </w:pPr>
      <w:r>
        <w:rPr>
          <w:rFonts w:ascii="Calibri" w:eastAsia="Calibri" w:hAnsi="Calibri" w:cs="Calibri"/>
          <w:b/>
          <w:bCs/>
          <w:color w:val="1A1A1A"/>
          <w:sz w:val="26"/>
          <w:szCs w:val="26"/>
        </w:rPr>
        <w:t>Thread 1 — The headline growth is mostly pass-through, not service</w:t>
      </w:r>
    </w:p>
    <w:p w14:paraId="33D09B4D" w14:textId="77777777" w:rsidR="00FB3DA4" w:rsidRDefault="00000000">
      <w:pPr>
        <w:spacing w:after="120"/>
      </w:pPr>
      <w:r>
        <w:rPr>
          <w:i/>
          <w:iCs/>
          <w:color w:val="666666"/>
        </w:rPr>
        <w:t>Revenue rose 32% in Q4 but direct service costs grew only 8.7%. The difference sits in reimbursed out-of-pocket expenses.</w:t>
      </w:r>
    </w:p>
    <w:p w14:paraId="64E2B31C" w14:textId="77777777" w:rsidR="00FB3DA4" w:rsidRDefault="00000000">
      <w:pPr>
        <w:pBdr>
          <w:left w:val="single" w:sz="24" w:space="18" w:color="A61B1B"/>
        </w:pBdr>
        <w:spacing w:before="180" w:after="180" w:line="320" w:lineRule="auto"/>
        <w:ind w:left="360"/>
      </w:pPr>
      <w:r>
        <w:rPr>
          <w:i/>
          <w:iCs/>
          <w:color w:val="333333"/>
        </w:rPr>
        <w:t>Reimbursed out-of-pocket expenses rose $130.2 m in Q4, accounting for 76% of total Q4 revenue growth.</w:t>
      </w:r>
    </w:p>
    <w:p w14:paraId="67FE3237" w14:textId="77777777" w:rsidR="00FB3DA4" w:rsidRDefault="00000000">
      <w:pPr>
        <w:spacing w:before="220" w:after="60"/>
      </w:pPr>
      <w:r>
        <w:rPr>
          <w:rFonts w:ascii="Calibri" w:eastAsia="Calibri" w:hAnsi="Calibri" w:cs="Calibri"/>
          <w:b/>
          <w:bCs/>
        </w:rPr>
        <w:t>Why it matters economically</w:t>
      </w:r>
    </w:p>
    <w:p w14:paraId="1DD965DD" w14:textId="77777777" w:rsidR="00FB3DA4" w:rsidRDefault="00000000">
      <w:pPr>
        <w:spacing w:before="80" w:after="140" w:line="320" w:lineRule="auto"/>
      </w:pPr>
      <w:r>
        <w:t>Pass-throughs — third-</w:t>
      </w:r>
      <w:proofErr w:type="gramStart"/>
      <w:r>
        <w:t>party</w:t>
      </w:r>
      <w:proofErr w:type="gramEnd"/>
      <w:r>
        <w:t xml:space="preserve"> lab, investigator grants, travel, site payments — are billed to sponsors at cost. A CRO with a growing pass-through mix is delivering less value-add per revenue dollar. The EBITDA margin compression (-230 bps Q4, -80 bps FY) is the mechanical consequence. Management's 2026 guide of 8.9–12.8% revenue growth is consistent with underlying service revenue growth of roughly 10% — i.e., the true rate of business expansion.</w:t>
      </w:r>
    </w:p>
    <w:p w14:paraId="382588C2" w14:textId="77777777" w:rsidR="00FB3DA4" w:rsidRDefault="00000000">
      <w:pPr>
        <w:spacing w:before="220" w:after="60"/>
      </w:pPr>
      <w:r>
        <w:rPr>
          <w:rFonts w:ascii="Calibri" w:eastAsia="Calibri" w:hAnsi="Calibri" w:cs="Calibri"/>
          <w:b/>
          <w:bCs/>
        </w:rPr>
        <w:t>Why a fast reader might miss it</w:t>
      </w:r>
    </w:p>
    <w:p w14:paraId="12FC3A2B" w14:textId="77777777" w:rsidR="00FB3DA4" w:rsidRDefault="00000000">
      <w:pPr>
        <w:spacing w:before="80" w:after="140" w:line="320" w:lineRule="auto"/>
      </w:pPr>
      <w:r>
        <w:t xml:space="preserve">The press-release narrative leads with "32% Q4 revenue growth." Pass-through growth appears two layers down, in the Q4 income statement on page 13. Margin compression is visible but small-looking in the context of absolute dollar growth. </w:t>
      </w:r>
      <w:r>
        <w:rPr>
          <w:rFonts w:ascii="Calibri" w:eastAsia="Calibri" w:hAnsi="Calibri" w:cs="Calibri"/>
          <w:b/>
          <w:bCs/>
          <w:color w:val="A61B1B"/>
          <w:sz w:val="16"/>
          <w:szCs w:val="16"/>
        </w:rPr>
        <w:t>[CONFIRMED]</w:t>
      </w:r>
      <w:r>
        <w:t xml:space="preserve"> on the mechanics; </w:t>
      </w:r>
      <w:r>
        <w:rPr>
          <w:rFonts w:ascii="Calibri" w:eastAsia="Calibri" w:hAnsi="Calibri" w:cs="Calibri"/>
          <w:b/>
          <w:bCs/>
          <w:color w:val="A61B1B"/>
          <w:sz w:val="16"/>
          <w:szCs w:val="16"/>
        </w:rPr>
        <w:t>[INFERENCE]</w:t>
      </w:r>
      <w:r>
        <w:t xml:space="preserve"> on the 2026 guide = underlying service growth interpretation.</w:t>
      </w:r>
    </w:p>
    <w:p w14:paraId="7150463B" w14:textId="77777777" w:rsidR="00FB3DA4" w:rsidRDefault="00000000">
      <w:pPr>
        <w:spacing w:before="320" w:after="60"/>
      </w:pPr>
      <w:r>
        <w:rPr>
          <w:rFonts w:ascii="Calibri" w:eastAsia="Calibri" w:hAnsi="Calibri" w:cs="Calibri"/>
          <w:b/>
          <w:bCs/>
          <w:color w:val="1A1A1A"/>
          <w:sz w:val="26"/>
          <w:szCs w:val="26"/>
        </w:rPr>
        <w:t>Thread 2 — Backlog conversion anomaly: operational improvement or backlog degradation?</w:t>
      </w:r>
    </w:p>
    <w:p w14:paraId="2FA331A2" w14:textId="77777777" w:rsidR="00FB3DA4" w:rsidRDefault="00000000">
      <w:pPr>
        <w:spacing w:after="120"/>
      </w:pPr>
      <w:r>
        <w:rPr>
          <w:i/>
          <w:iCs/>
          <w:color w:val="666666"/>
        </w:rPr>
        <w:t>An unexplained ~30% jump in conversion rate that management's own forward estimate says will moderate.</w:t>
      </w:r>
    </w:p>
    <w:p w14:paraId="22B3D26B" w14:textId="77777777" w:rsidR="00FB3DA4" w:rsidRDefault="00000000">
      <w:pPr>
        <w:pBdr>
          <w:left w:val="single" w:sz="24" w:space="18" w:color="A61B1B"/>
        </w:pBdr>
        <w:spacing w:before="180" w:after="180" w:line="320" w:lineRule="auto"/>
        <w:ind w:left="360"/>
      </w:pPr>
      <w:r>
        <w:rPr>
          <w:i/>
          <w:iCs/>
          <w:color w:val="333333"/>
        </w:rPr>
        <w:t>Backlog conversion rate jumped from 18.3% to 23.6%. Ending backlog grew only 4.3%.</w:t>
      </w:r>
    </w:p>
    <w:p w14:paraId="679C200C" w14:textId="77777777" w:rsidR="00FB3DA4" w:rsidRDefault="00000000">
      <w:pPr>
        <w:spacing w:before="220" w:after="60"/>
      </w:pPr>
      <w:r>
        <w:rPr>
          <w:rFonts w:ascii="Calibri" w:eastAsia="Calibri" w:hAnsi="Calibri" w:cs="Calibri"/>
          <w:b/>
          <w:bCs/>
        </w:rPr>
        <w:t>Why it matters economically</w:t>
      </w:r>
    </w:p>
    <w:p w14:paraId="6B8649A5" w14:textId="77777777" w:rsidR="00FB3DA4" w:rsidRDefault="00000000">
      <w:pPr>
        <w:spacing w:before="80" w:after="140" w:line="320" w:lineRule="auto"/>
      </w:pPr>
      <w:r>
        <w:t>Backlog conversion — revenue ÷ beginning backlog — is a throughput measure. It sat at 18.2–18.3% every quarter through 2024. From 1Q25 it climbed steadily: 19.2%, 21.2%, 23.0%, 23.6%. Faster burn means either higher throughput (good — operational leverage) or burn of a backlog that is not being replenished (bad — forward revenue risk).</w:t>
      </w:r>
    </w:p>
    <w:p w14:paraId="19C41E41" w14:textId="77777777" w:rsidR="00FB3DA4" w:rsidRDefault="00000000">
      <w:pPr>
        <w:spacing w:before="80" w:after="140" w:line="320" w:lineRule="auto"/>
      </w:pPr>
      <w:r>
        <w:t xml:space="preserve">The company's own NTM conversion estimate of $1.9 bn against a $3.03 bn backlog implies a forward rate of roughly 63% </w:t>
      </w:r>
      <w:proofErr w:type="spellStart"/>
      <w:r>
        <w:t>annualised</w:t>
      </w:r>
      <w:proofErr w:type="spellEnd"/>
      <w:r>
        <w:t xml:space="preserve"> — consistent with the recent ~23% quarterly rate being </w:t>
      </w:r>
      <w:r>
        <w:lastRenderedPageBreak/>
        <w:t xml:space="preserve">unsustainable. The 1Q25 book-to-bill of 0.90x is the bookend evidence for the bear read. Deepening small-biopharma concentration (79% → 82%) and rising </w:t>
      </w:r>
      <w:proofErr w:type="gramStart"/>
      <w:r>
        <w:t>top-10</w:t>
      </w:r>
      <w:proofErr w:type="gramEnd"/>
      <w:r>
        <w:t xml:space="preserve"> dependence (29% → 35%) tilt interpretation toward the bear.</w:t>
      </w:r>
    </w:p>
    <w:p w14:paraId="13C958E4" w14:textId="77777777" w:rsidR="00FB3DA4" w:rsidRDefault="00000000">
      <w:pPr>
        <w:spacing w:before="220" w:after="60"/>
      </w:pPr>
      <w:r>
        <w:rPr>
          <w:rFonts w:ascii="Calibri" w:eastAsia="Calibri" w:hAnsi="Calibri" w:cs="Calibri"/>
          <w:b/>
          <w:bCs/>
        </w:rPr>
        <w:t>Why a fast reader might miss it</w:t>
      </w:r>
    </w:p>
    <w:p w14:paraId="2E63DBED" w14:textId="77777777" w:rsidR="00FB3DA4" w:rsidRDefault="00000000">
      <w:pPr>
        <w:spacing w:before="80" w:after="140" w:line="320" w:lineRule="auto"/>
      </w:pPr>
      <w:r>
        <w:t xml:space="preserve">The conversion-rate chart on page 4 reads left-to-right as an unambiguous positive. The fact that the company's own NTM estimate requires the rate to moderate sits on a separate chart on the same page. </w:t>
      </w:r>
      <w:r>
        <w:rPr>
          <w:rFonts w:ascii="Calibri" w:eastAsia="Calibri" w:hAnsi="Calibri" w:cs="Calibri"/>
          <w:b/>
          <w:bCs/>
          <w:color w:val="A61B1B"/>
          <w:sz w:val="16"/>
          <w:szCs w:val="16"/>
        </w:rPr>
        <w:t>[CONFIRMED]</w:t>
      </w:r>
      <w:r>
        <w:t xml:space="preserve"> on numbers; </w:t>
      </w:r>
      <w:r>
        <w:rPr>
          <w:rFonts w:ascii="Calibri" w:eastAsia="Calibri" w:hAnsi="Calibri" w:cs="Calibri"/>
          <w:b/>
          <w:bCs/>
          <w:color w:val="A61B1B"/>
          <w:sz w:val="16"/>
          <w:szCs w:val="16"/>
        </w:rPr>
        <w:t>[INFERENCE]</w:t>
      </w:r>
      <w:r>
        <w:t xml:space="preserve"> on interpretation — 10-K segment disclosure would resolve.</w:t>
      </w:r>
    </w:p>
    <w:p w14:paraId="47F8D64F" w14:textId="77777777" w:rsidR="00FB3DA4" w:rsidRDefault="00000000">
      <w:pPr>
        <w:spacing w:before="320" w:after="60"/>
      </w:pPr>
      <w:r>
        <w:rPr>
          <w:rFonts w:ascii="Calibri" w:eastAsia="Calibri" w:hAnsi="Calibri" w:cs="Calibri"/>
          <w:b/>
          <w:bCs/>
          <w:color w:val="1A1A1A"/>
          <w:sz w:val="26"/>
          <w:szCs w:val="26"/>
        </w:rPr>
        <w:t>Thread 3 — The buyback: high-conviction value signal or admission that cash has nowhere to go?</w:t>
      </w:r>
    </w:p>
    <w:p w14:paraId="30426BEB" w14:textId="77777777" w:rsidR="00FB3DA4" w:rsidRDefault="00000000">
      <w:pPr>
        <w:spacing w:after="120"/>
      </w:pPr>
      <w:r>
        <w:rPr>
          <w:i/>
          <w:iCs/>
          <w:color w:val="666666"/>
        </w:rPr>
        <w:t>A 5x increase in buyback spend drew the cash balance to a multi-year low before rebuilding.</w:t>
      </w:r>
    </w:p>
    <w:p w14:paraId="7F32DA54" w14:textId="77777777" w:rsidR="00FB3DA4" w:rsidRDefault="00000000">
      <w:pPr>
        <w:pBdr>
          <w:left w:val="single" w:sz="24" w:space="18" w:color="A61B1B"/>
        </w:pBdr>
        <w:spacing w:before="180" w:after="180" w:line="320" w:lineRule="auto"/>
        <w:ind w:left="360"/>
      </w:pPr>
      <w:r>
        <w:rPr>
          <w:i/>
          <w:iCs/>
          <w:color w:val="333333"/>
        </w:rPr>
        <w:t>$912.9 m in buybacks consumed 134% of 2025 free cash flow.</w:t>
      </w:r>
    </w:p>
    <w:p w14:paraId="5CEEBF0D" w14:textId="77777777" w:rsidR="00FB3DA4" w:rsidRDefault="00000000">
      <w:pPr>
        <w:spacing w:before="220" w:after="60"/>
      </w:pPr>
      <w:r>
        <w:rPr>
          <w:rFonts w:ascii="Calibri" w:eastAsia="Calibri" w:hAnsi="Calibri" w:cs="Calibri"/>
          <w:b/>
          <w:bCs/>
        </w:rPr>
        <w:t>Why it matters economically</w:t>
      </w:r>
    </w:p>
    <w:p w14:paraId="4E243D59" w14:textId="77777777" w:rsidR="00FB3DA4" w:rsidRDefault="00000000">
      <w:pPr>
        <w:spacing w:before="80" w:after="140" w:line="320" w:lineRule="auto"/>
      </w:pPr>
      <w:r>
        <w:t xml:space="preserve">Two readings coexist. The bullish read: a founder-CEO with meaningful ownership is </w:t>
      </w:r>
      <w:proofErr w:type="spellStart"/>
      <w:r>
        <w:t>signalling</w:t>
      </w:r>
      <w:proofErr w:type="spellEnd"/>
      <w:r>
        <w:t xml:space="preserve"> high conviction that shares are undervalued. The cautionary read: a CRO with no M&amp;A appetite, modest capex, and 22% EBITDA margins that are not expanding has limited ways to compound capital internally.</w:t>
      </w:r>
    </w:p>
    <w:p w14:paraId="5F526130" w14:textId="77777777" w:rsidR="00FB3DA4" w:rsidRDefault="00000000">
      <w:pPr>
        <w:spacing w:before="80" w:after="140" w:line="320" w:lineRule="auto"/>
      </w:pPr>
      <w:r>
        <w:t xml:space="preserve">Interest income fell from $25.0 m (2024) to $12.8 m (2025) and will </w:t>
      </w:r>
      <w:proofErr w:type="gramStart"/>
      <w:r>
        <w:t>step down</w:t>
      </w:r>
      <w:proofErr w:type="gramEnd"/>
      <w:r>
        <w:t xml:space="preserve"> further in 2026 given the lower average cash balance. That headwind is not explicitly addressed in the 2026 EPS midpoint of roughly $17.09.</w:t>
      </w:r>
    </w:p>
    <w:p w14:paraId="766750D1" w14:textId="77777777" w:rsidR="00FB3DA4" w:rsidRDefault="00000000">
      <w:pPr>
        <w:spacing w:before="220" w:after="60"/>
      </w:pPr>
      <w:r>
        <w:rPr>
          <w:rFonts w:ascii="Calibri" w:eastAsia="Calibri" w:hAnsi="Calibri" w:cs="Calibri"/>
          <w:b/>
          <w:bCs/>
        </w:rPr>
        <w:t>Why a fast reader might miss it</w:t>
      </w:r>
    </w:p>
    <w:p w14:paraId="74944EB8" w14:textId="77777777" w:rsidR="00FB3DA4" w:rsidRDefault="00000000">
      <w:pPr>
        <w:spacing w:before="80" w:after="140" w:line="320" w:lineRule="auto"/>
      </w:pPr>
      <w:r>
        <w:t xml:space="preserve">The Cash Position slide on page 10 shows cash ending at $497 m — an unremarkable number if you do not compare to the $669 m starting position or notice the $46 m trough. The interest income line in the EBITDA reconciliation (page 14) quietly halved year-over-year. </w:t>
      </w:r>
      <w:r>
        <w:rPr>
          <w:rFonts w:ascii="Calibri" w:eastAsia="Calibri" w:hAnsi="Calibri" w:cs="Calibri"/>
          <w:b/>
          <w:bCs/>
          <w:color w:val="A61B1B"/>
          <w:sz w:val="16"/>
          <w:szCs w:val="16"/>
        </w:rPr>
        <w:t>[CONFIRMED]</w:t>
      </w:r>
      <w:r>
        <w:t xml:space="preserve"> on numbers; </w:t>
      </w:r>
      <w:r>
        <w:rPr>
          <w:rFonts w:ascii="Calibri" w:eastAsia="Calibri" w:hAnsi="Calibri" w:cs="Calibri"/>
          <w:b/>
          <w:bCs/>
          <w:color w:val="A61B1B"/>
          <w:sz w:val="16"/>
          <w:szCs w:val="16"/>
        </w:rPr>
        <w:t>[INFERENCE]</w:t>
      </w:r>
      <w:r>
        <w:t xml:space="preserve"> on intent.</w:t>
      </w:r>
    </w:p>
    <w:p w14:paraId="789CDF27" w14:textId="77777777" w:rsidR="00FB3DA4" w:rsidRDefault="00000000">
      <w:pPr>
        <w:pBdr>
          <w:bottom w:val="single" w:sz="6" w:space="4" w:color="C4C4C4"/>
        </w:pBdr>
        <w:spacing w:before="360" w:after="140"/>
      </w:pPr>
      <w:r>
        <w:rPr>
          <w:rFonts w:ascii="Calibri" w:eastAsia="Calibri" w:hAnsi="Calibri" w:cs="Calibri"/>
          <w:b/>
          <w:bCs/>
          <w:color w:val="1A1A1A"/>
          <w:sz w:val="26"/>
          <w:szCs w:val="26"/>
        </w:rPr>
        <w:t>Earnings Quality Read</w:t>
      </w:r>
    </w:p>
    <w:p w14:paraId="3529D42E" w14:textId="77777777" w:rsidR="00FB3DA4" w:rsidRDefault="00000000">
      <w:pPr>
        <w:spacing w:before="220" w:after="60"/>
      </w:pPr>
      <w:r>
        <w:rPr>
          <w:rFonts w:ascii="Calibri" w:eastAsia="Calibri" w:hAnsi="Calibri" w:cs="Calibri"/>
          <w:b/>
          <w:bCs/>
        </w:rPr>
        <w:t>What looks cleaner than reality</w:t>
      </w:r>
    </w:p>
    <w:p w14:paraId="20BDA9AD" w14:textId="77777777" w:rsidR="00FB3DA4" w:rsidRDefault="00000000">
      <w:pPr>
        <w:spacing w:before="80" w:after="140" w:line="320" w:lineRule="auto"/>
      </w:pPr>
      <w:r>
        <w:t>The 32% Q4 revenue growth headline. Two-thirds of it is pass-through expense that carries no margin. EBITDA-dollar growth of 20% for the quarter masks margin compression of 230 bps.</w:t>
      </w:r>
    </w:p>
    <w:p w14:paraId="272317D5" w14:textId="77777777" w:rsidR="00FB3DA4" w:rsidRDefault="00000000">
      <w:pPr>
        <w:spacing w:before="220" w:after="60"/>
      </w:pPr>
      <w:r>
        <w:rPr>
          <w:rFonts w:ascii="Calibri" w:eastAsia="Calibri" w:hAnsi="Calibri" w:cs="Calibri"/>
          <w:b/>
          <w:bCs/>
        </w:rPr>
        <w:t>What may be better than the headline</w:t>
      </w:r>
    </w:p>
    <w:p w14:paraId="085612E2" w14:textId="77777777" w:rsidR="00FB3DA4" w:rsidRDefault="00000000">
      <w:pPr>
        <w:spacing w:before="80" w:after="140" w:line="320" w:lineRule="auto"/>
      </w:pPr>
      <w:r>
        <w:lastRenderedPageBreak/>
        <w:t>Free cash flow conversion of 122% for the year is strong. Operating cash flow grew 17% as EBITDA grew 16% — cash generation tracks or exceeds earnings. The buyback was executed near share-price lows by management with the clearest view, implying disciplined timing.</w:t>
      </w:r>
    </w:p>
    <w:p w14:paraId="691F2D09" w14:textId="77777777" w:rsidR="00FB3DA4" w:rsidRDefault="00000000">
      <w:pPr>
        <w:spacing w:before="220" w:after="60"/>
      </w:pPr>
      <w:r>
        <w:rPr>
          <w:rFonts w:ascii="Calibri" w:eastAsia="Calibri" w:hAnsi="Calibri" w:cs="Calibri"/>
          <w:b/>
          <w:bCs/>
        </w:rPr>
        <w:t>What remains unclear</w:t>
      </w:r>
    </w:p>
    <w:p w14:paraId="6C0F904D" w14:textId="77777777" w:rsidR="00FB3DA4" w:rsidRDefault="00000000">
      <w:pPr>
        <w:spacing w:before="80" w:after="140" w:line="320" w:lineRule="auto"/>
      </w:pPr>
      <w:r>
        <w:t>The backlog conversion acceleration is unexplained. The 1Q25 book-to-bill trough is not addressed. The composition of reimbursed out-of-pocket growth is a black box. The mix of tax-rate discrete items between Q1 and Q4 is not disclosed.</w:t>
      </w:r>
    </w:p>
    <w:p w14:paraId="2C1FD89A" w14:textId="77777777" w:rsidR="00FB3DA4" w:rsidRDefault="00000000">
      <w:pPr>
        <w:pBdr>
          <w:bottom w:val="single" w:sz="6" w:space="4" w:color="C4C4C4"/>
        </w:pBdr>
        <w:spacing w:before="360" w:after="140"/>
      </w:pPr>
      <w:r>
        <w:rPr>
          <w:rFonts w:ascii="Calibri" w:eastAsia="Calibri" w:hAnsi="Calibri" w:cs="Calibri"/>
          <w:b/>
          <w:bCs/>
          <w:color w:val="1A1A1A"/>
          <w:sz w:val="26"/>
          <w:szCs w:val="26"/>
        </w:rPr>
        <w:t>Cash Flow Reality</w:t>
      </w:r>
    </w:p>
    <w:p w14:paraId="5CC564E2" w14:textId="77777777" w:rsidR="00FB3DA4" w:rsidRDefault="00000000">
      <w:pPr>
        <w:spacing w:before="80" w:after="140" w:line="320" w:lineRule="auto"/>
      </w:pPr>
      <w:r>
        <w:t>Cash generation remains strong (FCF $682 m, 122% EBITDA conversion), but the advance-billing cushion (negative DSO) is narrowing, and cash yield on the balance sheet has halved as buybacks drew the pile.</w:t>
      </w:r>
    </w:p>
    <w:p w14:paraId="1BBC233F" w14:textId="77777777" w:rsidR="00FB3DA4" w:rsidRDefault="00000000">
      <w:pPr>
        <w:pBdr>
          <w:bottom w:val="single" w:sz="6" w:space="4" w:color="C4C4C4"/>
        </w:pBdr>
        <w:spacing w:before="360" w:after="140"/>
      </w:pPr>
      <w:r>
        <w:rPr>
          <w:rFonts w:ascii="Calibri" w:eastAsia="Calibri" w:hAnsi="Calibri" w:cs="Calibri"/>
          <w:b/>
          <w:bCs/>
          <w:color w:val="1A1A1A"/>
          <w:sz w:val="26"/>
          <w:szCs w:val="26"/>
        </w:rPr>
        <w:t>Balance Sheet Reality</w:t>
      </w:r>
    </w:p>
    <w:p w14:paraId="1BA0E601" w14:textId="77777777" w:rsidR="00FB3DA4" w:rsidRDefault="00000000">
      <w:pPr>
        <w:spacing w:before="80" w:after="140" w:line="320" w:lineRule="auto"/>
      </w:pPr>
      <w:r>
        <w:t xml:space="preserve">$497 m ending cash, no debt disclosed in this deck, $3.0 bn backlog — a fortress balance sheet, but one that just paid out </w:t>
      </w:r>
      <w:proofErr w:type="gramStart"/>
      <w:r>
        <w:t>the majority of</w:t>
      </w:r>
      <w:proofErr w:type="gramEnd"/>
      <w:r>
        <w:t xml:space="preserve"> its liquid capital to shareholders.</w:t>
      </w:r>
    </w:p>
    <w:p w14:paraId="06A47E19" w14:textId="77777777" w:rsidR="00FB3DA4" w:rsidRDefault="00000000">
      <w:pPr>
        <w:pBdr>
          <w:bottom w:val="single" w:sz="6" w:space="4" w:color="C4C4C4"/>
        </w:pBdr>
        <w:spacing w:before="360" w:after="140"/>
      </w:pPr>
      <w:r>
        <w:rPr>
          <w:rFonts w:ascii="Calibri" w:eastAsia="Calibri" w:hAnsi="Calibri" w:cs="Calibri"/>
          <w:b/>
          <w:bCs/>
          <w:color w:val="1A1A1A"/>
          <w:sz w:val="26"/>
          <w:szCs w:val="26"/>
        </w:rPr>
        <w:t>Follow-up Questions (for the 10-K)</w:t>
      </w:r>
    </w:p>
    <w:p w14:paraId="6F862E5D" w14:textId="77777777" w:rsidR="00FB3DA4" w:rsidRDefault="00000000">
      <w:pPr>
        <w:pStyle w:val="ListParagraph"/>
        <w:numPr>
          <w:ilvl w:val="0"/>
          <w:numId w:val="2"/>
        </w:numPr>
        <w:spacing w:before="60" w:after="60" w:line="300" w:lineRule="auto"/>
      </w:pPr>
      <w:r>
        <w:t>Full-year 2025 split of revenue between direct service and reimbursed out-of-pocket. YoY growth of each.</w:t>
      </w:r>
    </w:p>
    <w:p w14:paraId="09ADA937" w14:textId="77777777" w:rsidR="00FB3DA4" w:rsidRDefault="00000000">
      <w:pPr>
        <w:pStyle w:val="ListParagraph"/>
        <w:numPr>
          <w:ilvl w:val="0"/>
          <w:numId w:val="2"/>
        </w:numPr>
        <w:spacing w:before="60" w:after="60" w:line="300" w:lineRule="auto"/>
      </w:pPr>
      <w:r>
        <w:t>What drove the Q4 2025 reimbursed OOP growth of 68.3% specifically — trial enrollment ramps, site activations, or unit-cost inflation?</w:t>
      </w:r>
    </w:p>
    <w:p w14:paraId="6641472B" w14:textId="77777777" w:rsidR="00FB3DA4" w:rsidRDefault="00000000">
      <w:pPr>
        <w:pStyle w:val="ListParagraph"/>
        <w:numPr>
          <w:ilvl w:val="0"/>
          <w:numId w:val="2"/>
        </w:numPr>
        <w:spacing w:before="60" w:after="60" w:line="300" w:lineRule="auto"/>
      </w:pPr>
      <w:r>
        <w:t>Why did backlog conversion rate jump from 18.3% to 23.6% over four quarters? Was there a methodology change?</w:t>
      </w:r>
    </w:p>
    <w:p w14:paraId="7154328E" w14:textId="77777777" w:rsidR="00FB3DA4" w:rsidRDefault="00000000">
      <w:pPr>
        <w:pStyle w:val="ListParagraph"/>
        <w:numPr>
          <w:ilvl w:val="0"/>
          <w:numId w:val="2"/>
        </w:numPr>
        <w:spacing w:before="60" w:after="60" w:line="300" w:lineRule="auto"/>
      </w:pPr>
      <w:r>
        <w:t>What was the cancellation dollar volume in 1Q25 that produced the 0.90x book-to-bill?</w:t>
      </w:r>
    </w:p>
    <w:p w14:paraId="46246E0B" w14:textId="77777777" w:rsidR="00FB3DA4" w:rsidRDefault="00000000">
      <w:pPr>
        <w:pStyle w:val="ListParagraph"/>
        <w:numPr>
          <w:ilvl w:val="0"/>
          <w:numId w:val="2"/>
        </w:numPr>
        <w:spacing w:before="60" w:after="60" w:line="300" w:lineRule="auto"/>
      </w:pPr>
      <w:r>
        <w:t>What share of the $3.0 bn backlog is tied to customers whose remaining cash runway is under 18 months?</w:t>
      </w:r>
    </w:p>
    <w:p w14:paraId="7E9E6A98" w14:textId="77777777" w:rsidR="00FB3DA4" w:rsidRDefault="00000000">
      <w:pPr>
        <w:pStyle w:val="ListParagraph"/>
        <w:numPr>
          <w:ilvl w:val="0"/>
          <w:numId w:val="2"/>
        </w:numPr>
        <w:spacing w:before="60" w:after="60" w:line="300" w:lineRule="auto"/>
      </w:pPr>
      <w:r>
        <w:t>Was the $912.9 m buyback executed via open market or ASR? Was there any insider selling during the repurchase window?</w:t>
      </w:r>
    </w:p>
    <w:p w14:paraId="1E6C37D1" w14:textId="77777777" w:rsidR="00FB3DA4" w:rsidRDefault="00000000">
      <w:pPr>
        <w:pStyle w:val="ListParagraph"/>
        <w:numPr>
          <w:ilvl w:val="0"/>
          <w:numId w:val="2"/>
        </w:numPr>
        <w:spacing w:before="60" w:after="60" w:line="300" w:lineRule="auto"/>
      </w:pPr>
      <w:r>
        <w:t>What drove the 1Q25 effective tax rate of 3% and the 4Q25 rate of 13.8%? Was there a discrete stock-compensation benefit?</w:t>
      </w:r>
    </w:p>
    <w:p w14:paraId="38A6044C" w14:textId="77777777" w:rsidR="00FB3DA4" w:rsidRDefault="00000000">
      <w:pPr>
        <w:pStyle w:val="ListParagraph"/>
        <w:numPr>
          <w:ilvl w:val="0"/>
          <w:numId w:val="2"/>
        </w:numPr>
        <w:spacing w:before="60" w:after="60" w:line="300" w:lineRule="auto"/>
      </w:pPr>
      <w:r>
        <w:t>What is management's expected 2026 interest income assumption, and how does that factor into the EPS guidance midpoint of $17.09?</w:t>
      </w:r>
    </w:p>
    <w:p w14:paraId="53FFBA5D" w14:textId="77777777" w:rsidR="00FB3DA4" w:rsidRDefault="00000000">
      <w:pPr>
        <w:pStyle w:val="ListParagraph"/>
        <w:numPr>
          <w:ilvl w:val="0"/>
          <w:numId w:val="2"/>
        </w:numPr>
        <w:spacing w:before="60" w:after="60" w:line="300" w:lineRule="auto"/>
      </w:pPr>
      <w:r>
        <w:lastRenderedPageBreak/>
        <w:t>What specific AI use cases has Medpace deployed internally, and where do associated cost savings appear — direct service costs or SG&amp;A?</w:t>
      </w:r>
    </w:p>
    <w:p w14:paraId="149D6B10" w14:textId="77777777" w:rsidR="00FB3DA4" w:rsidRDefault="00000000">
      <w:pPr>
        <w:pStyle w:val="ListParagraph"/>
        <w:numPr>
          <w:ilvl w:val="0"/>
          <w:numId w:val="2"/>
        </w:numPr>
        <w:spacing w:before="60" w:after="60" w:line="300" w:lineRule="auto"/>
      </w:pPr>
      <w:r>
        <w:t>What share of the NTM $1.9 bn backlog-to-revenue estimate is derived from the top 10 customers?</w:t>
      </w:r>
    </w:p>
    <w:p w14:paraId="76210027" w14:textId="77777777" w:rsidR="00FB3DA4" w:rsidRDefault="00000000">
      <w:pPr>
        <w:pBdr>
          <w:bottom w:val="single" w:sz="6" w:space="4" w:color="C4C4C4"/>
        </w:pBdr>
        <w:spacing w:before="360" w:after="140"/>
      </w:pPr>
      <w:r>
        <w:rPr>
          <w:rFonts w:ascii="Calibri" w:eastAsia="Calibri" w:hAnsi="Calibri" w:cs="Calibri"/>
          <w:b/>
          <w:bCs/>
          <w:color w:val="1A1A1A"/>
          <w:sz w:val="26"/>
          <w:szCs w:val="26"/>
        </w:rPr>
        <w:t>Close</w:t>
      </w:r>
    </w:p>
    <w:p w14:paraId="6B0FD2F9" w14:textId="77777777" w:rsidR="00FB3DA4" w:rsidRDefault="00000000">
      <w:pPr>
        <w:spacing w:before="80" w:after="140" w:line="320" w:lineRule="auto"/>
      </w:pPr>
      <w:r>
        <w:t xml:space="preserve">Stripped </w:t>
      </w:r>
      <w:proofErr w:type="gramStart"/>
      <w:r>
        <w:t>of</w:t>
      </w:r>
      <w:proofErr w:type="gramEnd"/>
      <w:r>
        <w:t xml:space="preserve"> narrative framing, the 2025 deck tells a simpler story: </w:t>
      </w:r>
      <w:proofErr w:type="spellStart"/>
      <w:r>
        <w:t>Medpace's</w:t>
      </w:r>
      <w:proofErr w:type="spellEnd"/>
      <w:r>
        <w:t xml:space="preserve"> service business grew roughly 10% at compressed margins; pass-through revenue inflated the top line; backlog burned faster than it was replenished; and the company returned nearly a billion dollars to shareholders because it had more cash than it had organic opportunities. Management's 2026 guidance is the most honest line in the deck.</w:t>
      </w:r>
    </w:p>
    <w:p w14:paraId="591D8F92" w14:textId="77777777" w:rsidR="00FB3DA4" w:rsidRDefault="00000000">
      <w:pPr>
        <w:pBdr>
          <w:top w:val="single" w:sz="4" w:space="10" w:color="C4C4C4"/>
        </w:pBdr>
        <w:spacing w:before="360"/>
      </w:pPr>
      <w:r>
        <w:rPr>
          <w:i/>
          <w:iCs/>
          <w:color w:val="666666"/>
          <w:sz w:val="18"/>
          <w:szCs w:val="18"/>
        </w:rPr>
        <w:t>Analytical framework, not investment advice. Source-locked to MEDP_4Q25_Earnings_Presentation.pdf as provided. Prepared 19 April 2026.</w:t>
      </w:r>
    </w:p>
    <w:sectPr w:rsidR="00FB3DA4">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7ECEA" w14:textId="77777777" w:rsidR="003A671F" w:rsidRDefault="003A671F">
      <w:r>
        <w:separator/>
      </w:r>
    </w:p>
  </w:endnote>
  <w:endnote w:type="continuationSeparator" w:id="0">
    <w:p w14:paraId="244FA8DA" w14:textId="77777777" w:rsidR="003A671F" w:rsidRDefault="003A6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B5417" w14:textId="77777777" w:rsidR="00FB3DA4" w:rsidRDefault="00000000">
    <w:pPr>
      <w:jc w:val="right"/>
    </w:pPr>
    <w:r>
      <w:rPr>
        <w:rFonts w:ascii="Calibri" w:eastAsia="Calibri" w:hAnsi="Calibri" w:cs="Calibri"/>
        <w:color w:val="666666"/>
        <w:sz w:val="16"/>
        <w:szCs w:val="16"/>
      </w:rPr>
      <w:t xml:space="preserve">Medpace Q4 2025 Reality Check   |   </w:t>
    </w:r>
    <w:r>
      <w:rPr>
        <w:rFonts w:ascii="Calibri" w:eastAsia="Calibri" w:hAnsi="Calibri" w:cs="Calibri"/>
        <w:color w:val="666666"/>
        <w:sz w:val="16"/>
        <w:szCs w:val="16"/>
      </w:rPr>
      <w:fldChar w:fldCharType="begin"/>
    </w:r>
    <w:r>
      <w:rPr>
        <w:rFonts w:ascii="Calibri" w:eastAsia="Calibri" w:hAnsi="Calibri" w:cs="Calibri"/>
        <w:color w:val="666666"/>
        <w:sz w:val="16"/>
        <w:szCs w:val="16"/>
      </w:rPr>
      <w:instrText>PAGE</w:instrText>
    </w:r>
    <w:r>
      <w:rPr>
        <w:rFonts w:ascii="Calibri" w:eastAsia="Calibri" w:hAnsi="Calibri" w:cs="Calibri"/>
        <w:color w:val="666666"/>
        <w:sz w:val="16"/>
        <w:szCs w:val="16"/>
      </w:rPr>
      <w:fldChar w:fldCharType="separate"/>
    </w:r>
    <w:r w:rsidR="00FD0B1E">
      <w:rPr>
        <w:rFonts w:ascii="Calibri" w:eastAsia="Calibri" w:hAnsi="Calibri" w:cs="Calibri"/>
        <w:noProof/>
        <w:color w:val="666666"/>
        <w:sz w:val="16"/>
        <w:szCs w:val="16"/>
      </w:rPr>
      <w:t>1</w:t>
    </w:r>
    <w:r>
      <w:rPr>
        <w:rFonts w:ascii="Calibri" w:eastAsia="Calibri" w:hAnsi="Calibri" w:cs="Calibri"/>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046F5" w14:textId="77777777" w:rsidR="003A671F" w:rsidRDefault="003A671F">
      <w:r>
        <w:separator/>
      </w:r>
    </w:p>
  </w:footnote>
  <w:footnote w:type="continuationSeparator" w:id="0">
    <w:p w14:paraId="71D8119D" w14:textId="77777777" w:rsidR="003A671F" w:rsidRDefault="003A67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16355"/>
    <w:multiLevelType w:val="hybridMultilevel"/>
    <w:tmpl w:val="19589DD0"/>
    <w:lvl w:ilvl="0" w:tplc="DDAED74C">
      <w:start w:val="1"/>
      <w:numFmt w:val="decimal"/>
      <w:lvlText w:val="%1."/>
      <w:lvlJc w:val="left"/>
      <w:pPr>
        <w:ind w:left="520" w:hanging="260"/>
      </w:pPr>
    </w:lvl>
    <w:lvl w:ilvl="1" w:tplc="248EC624">
      <w:numFmt w:val="decimal"/>
      <w:lvlText w:val=""/>
      <w:lvlJc w:val="left"/>
    </w:lvl>
    <w:lvl w:ilvl="2" w:tplc="DC5AE48C">
      <w:numFmt w:val="decimal"/>
      <w:lvlText w:val=""/>
      <w:lvlJc w:val="left"/>
    </w:lvl>
    <w:lvl w:ilvl="3" w:tplc="62C0E7B6">
      <w:numFmt w:val="decimal"/>
      <w:lvlText w:val=""/>
      <w:lvlJc w:val="left"/>
    </w:lvl>
    <w:lvl w:ilvl="4" w:tplc="AFEED350">
      <w:numFmt w:val="decimal"/>
      <w:lvlText w:val=""/>
      <w:lvlJc w:val="left"/>
    </w:lvl>
    <w:lvl w:ilvl="5" w:tplc="4CE20ED6">
      <w:numFmt w:val="decimal"/>
      <w:lvlText w:val=""/>
      <w:lvlJc w:val="left"/>
    </w:lvl>
    <w:lvl w:ilvl="6" w:tplc="8B641986">
      <w:numFmt w:val="decimal"/>
      <w:lvlText w:val=""/>
      <w:lvlJc w:val="left"/>
    </w:lvl>
    <w:lvl w:ilvl="7" w:tplc="B3AA0880">
      <w:numFmt w:val="decimal"/>
      <w:lvlText w:val=""/>
      <w:lvlJc w:val="left"/>
    </w:lvl>
    <w:lvl w:ilvl="8" w:tplc="90D8187A">
      <w:numFmt w:val="decimal"/>
      <w:lvlText w:val=""/>
      <w:lvlJc w:val="left"/>
    </w:lvl>
  </w:abstractNum>
  <w:abstractNum w:abstractNumId="1" w15:restartNumberingAfterBreak="0">
    <w:nsid w:val="54370CED"/>
    <w:multiLevelType w:val="hybridMultilevel"/>
    <w:tmpl w:val="16B8D6A8"/>
    <w:lvl w:ilvl="0" w:tplc="A7ACFCB6">
      <w:start w:val="1"/>
      <w:numFmt w:val="bullet"/>
      <w:lvlText w:val="•"/>
      <w:lvlJc w:val="left"/>
      <w:pPr>
        <w:ind w:left="520" w:hanging="260"/>
      </w:pPr>
    </w:lvl>
    <w:lvl w:ilvl="1" w:tplc="7814FF58">
      <w:numFmt w:val="decimal"/>
      <w:lvlText w:val=""/>
      <w:lvlJc w:val="left"/>
    </w:lvl>
    <w:lvl w:ilvl="2" w:tplc="6DD02CE0">
      <w:numFmt w:val="decimal"/>
      <w:lvlText w:val=""/>
      <w:lvlJc w:val="left"/>
    </w:lvl>
    <w:lvl w:ilvl="3" w:tplc="08782084">
      <w:numFmt w:val="decimal"/>
      <w:lvlText w:val=""/>
      <w:lvlJc w:val="left"/>
    </w:lvl>
    <w:lvl w:ilvl="4" w:tplc="DCF071D8">
      <w:numFmt w:val="decimal"/>
      <w:lvlText w:val=""/>
      <w:lvlJc w:val="left"/>
    </w:lvl>
    <w:lvl w:ilvl="5" w:tplc="C4D0EEE8">
      <w:numFmt w:val="decimal"/>
      <w:lvlText w:val=""/>
      <w:lvlJc w:val="left"/>
    </w:lvl>
    <w:lvl w:ilvl="6" w:tplc="EE3878F8">
      <w:numFmt w:val="decimal"/>
      <w:lvlText w:val=""/>
      <w:lvlJc w:val="left"/>
    </w:lvl>
    <w:lvl w:ilvl="7" w:tplc="63FEA4B2">
      <w:numFmt w:val="decimal"/>
      <w:lvlText w:val=""/>
      <w:lvlJc w:val="left"/>
    </w:lvl>
    <w:lvl w:ilvl="8" w:tplc="B0B23DE8">
      <w:numFmt w:val="decimal"/>
      <w:lvlText w:val=""/>
      <w:lvlJc w:val="left"/>
    </w:lvl>
  </w:abstractNum>
  <w:abstractNum w:abstractNumId="2" w15:restartNumberingAfterBreak="0">
    <w:nsid w:val="7B0C59EC"/>
    <w:multiLevelType w:val="hybridMultilevel"/>
    <w:tmpl w:val="FE30185A"/>
    <w:lvl w:ilvl="0" w:tplc="8EF01904">
      <w:start w:val="1"/>
      <w:numFmt w:val="bullet"/>
      <w:lvlText w:val="●"/>
      <w:lvlJc w:val="left"/>
      <w:pPr>
        <w:ind w:left="720" w:hanging="360"/>
      </w:pPr>
    </w:lvl>
    <w:lvl w:ilvl="1" w:tplc="F63284E6">
      <w:start w:val="1"/>
      <w:numFmt w:val="bullet"/>
      <w:lvlText w:val="○"/>
      <w:lvlJc w:val="left"/>
      <w:pPr>
        <w:ind w:left="1440" w:hanging="360"/>
      </w:pPr>
    </w:lvl>
    <w:lvl w:ilvl="2" w:tplc="13B45B00">
      <w:start w:val="1"/>
      <w:numFmt w:val="bullet"/>
      <w:lvlText w:val="■"/>
      <w:lvlJc w:val="left"/>
      <w:pPr>
        <w:ind w:left="2160" w:hanging="360"/>
      </w:pPr>
    </w:lvl>
    <w:lvl w:ilvl="3" w:tplc="6ADA9410">
      <w:start w:val="1"/>
      <w:numFmt w:val="bullet"/>
      <w:lvlText w:val="●"/>
      <w:lvlJc w:val="left"/>
      <w:pPr>
        <w:ind w:left="2880" w:hanging="360"/>
      </w:pPr>
    </w:lvl>
    <w:lvl w:ilvl="4" w:tplc="99F036E0">
      <w:start w:val="1"/>
      <w:numFmt w:val="bullet"/>
      <w:lvlText w:val="○"/>
      <w:lvlJc w:val="left"/>
      <w:pPr>
        <w:ind w:left="3600" w:hanging="360"/>
      </w:pPr>
    </w:lvl>
    <w:lvl w:ilvl="5" w:tplc="B3F2EFD4">
      <w:start w:val="1"/>
      <w:numFmt w:val="bullet"/>
      <w:lvlText w:val="■"/>
      <w:lvlJc w:val="left"/>
      <w:pPr>
        <w:ind w:left="4320" w:hanging="360"/>
      </w:pPr>
    </w:lvl>
    <w:lvl w:ilvl="6" w:tplc="18C489FC">
      <w:start w:val="1"/>
      <w:numFmt w:val="bullet"/>
      <w:lvlText w:val="●"/>
      <w:lvlJc w:val="left"/>
      <w:pPr>
        <w:ind w:left="5040" w:hanging="360"/>
      </w:pPr>
    </w:lvl>
    <w:lvl w:ilvl="7" w:tplc="00D8ACF8">
      <w:start w:val="1"/>
      <w:numFmt w:val="bullet"/>
      <w:lvlText w:val="●"/>
      <w:lvlJc w:val="left"/>
      <w:pPr>
        <w:ind w:left="5760" w:hanging="360"/>
      </w:pPr>
    </w:lvl>
    <w:lvl w:ilvl="8" w:tplc="4246E99A">
      <w:start w:val="1"/>
      <w:numFmt w:val="bullet"/>
      <w:lvlText w:val="●"/>
      <w:lvlJc w:val="left"/>
      <w:pPr>
        <w:ind w:left="6480" w:hanging="360"/>
      </w:pPr>
    </w:lvl>
  </w:abstractNum>
  <w:num w:numId="1" w16cid:durableId="1936815848">
    <w:abstractNumId w:val="2"/>
    <w:lvlOverride w:ilvl="0">
      <w:startOverride w:val="1"/>
    </w:lvlOverride>
  </w:num>
  <w:num w:numId="2" w16cid:durableId="19115749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DA4"/>
    <w:rsid w:val="003A671F"/>
    <w:rsid w:val="00872D86"/>
    <w:rsid w:val="00FB3DA4"/>
    <w:rsid w:val="00FD0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B35A6"/>
  <w15:docId w15:val="{7122A0CF-B9D2-4D0D-8C92-F44CE1833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2051</Words>
  <Characters>11110</Characters>
  <Application>Microsoft Office Word</Application>
  <DocSecurity>0</DocSecurity>
  <Lines>195</Lines>
  <Paragraphs>105</Paragraphs>
  <ScaleCrop>false</ScaleCrop>
  <Company/>
  <LinksUpToDate>false</LinksUpToDate>
  <CharactersWithSpaces>13107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Medpace Q4 2025 Reality Check</dc:title>
  <dc:creator>Claude</dc:creator>
  <cp:lastModifiedBy>ampsson ampsson</cp:lastModifiedBy>
  <cp:revision>2</cp:revision>
  <dcterms:created xsi:type="dcterms:W3CDTF">2026-04-20T04:19:00Z</dcterms:created>
  <dcterms:modified xsi:type="dcterms:W3CDTF">2026-04-20T05:25:00Z</dcterms:modified>
</cp:coreProperties>
</file>