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F9FF1" w14:textId="77777777" w:rsidR="00062741" w:rsidRDefault="00000000">
      <w:pPr>
        <w:spacing w:after="80"/>
      </w:pPr>
      <w:r>
        <w:rPr>
          <w:rFonts w:ascii="Calibri" w:eastAsia="Calibri" w:hAnsi="Calibri" w:cs="Calibri"/>
          <w:b/>
          <w:bCs/>
          <w:color w:val="8B1A1A"/>
          <w:spacing w:val="80"/>
          <w:sz w:val="18"/>
          <w:szCs w:val="18"/>
        </w:rPr>
        <w:t>FILING REALITY CHECK</w:t>
      </w:r>
    </w:p>
    <w:p w14:paraId="18B7CC13" w14:textId="77777777" w:rsidR="00062741" w:rsidRDefault="00000000">
      <w:pPr>
        <w:spacing w:after="40"/>
      </w:pPr>
      <w:r>
        <w:rPr>
          <w:rFonts w:ascii="Calibri" w:eastAsia="Calibri" w:hAnsi="Calibri" w:cs="Calibri"/>
          <w:b/>
          <w:bCs/>
          <w:sz w:val="40"/>
          <w:szCs w:val="40"/>
        </w:rPr>
        <w:t xml:space="preserve">Veeva Systems </w:t>
      </w:r>
      <w:proofErr w:type="gramStart"/>
      <w:r>
        <w:rPr>
          <w:rFonts w:ascii="Calibri" w:eastAsia="Calibri" w:hAnsi="Calibri" w:cs="Calibri"/>
          <w:b/>
          <w:bCs/>
          <w:sz w:val="40"/>
          <w:szCs w:val="40"/>
        </w:rPr>
        <w:t>Inc. —</w:t>
      </w:r>
      <w:proofErr w:type="gramEnd"/>
      <w:r>
        <w:rPr>
          <w:rFonts w:ascii="Calibri" w:eastAsia="Calibri" w:hAnsi="Calibri" w:cs="Calibri"/>
          <w:b/>
          <w:bCs/>
          <w:sz w:val="40"/>
          <w:szCs w:val="40"/>
        </w:rPr>
        <w:t xml:space="preserve"> Form 10-K</w:t>
      </w:r>
    </w:p>
    <w:p w14:paraId="5E1CC17A" w14:textId="77777777" w:rsidR="00062741" w:rsidRDefault="00000000">
      <w:pPr>
        <w:spacing w:after="80"/>
      </w:pPr>
      <w:r>
        <w:rPr>
          <w:rFonts w:ascii="Calibri" w:eastAsia="Calibri" w:hAnsi="Calibri" w:cs="Calibri"/>
          <w:color w:val="6B6B6B"/>
          <w:sz w:val="20"/>
          <w:szCs w:val="20"/>
        </w:rPr>
        <w:t xml:space="preserve">Fiscal year ended January 31, </w:t>
      </w:r>
      <w:proofErr w:type="gramStart"/>
      <w:r>
        <w:rPr>
          <w:rFonts w:ascii="Calibri" w:eastAsia="Calibri" w:hAnsi="Calibri" w:cs="Calibri"/>
          <w:color w:val="6B6B6B"/>
          <w:sz w:val="20"/>
          <w:szCs w:val="20"/>
        </w:rPr>
        <w:t>2026  |</w:t>
      </w:r>
      <w:proofErr w:type="gramEnd"/>
      <w:r>
        <w:rPr>
          <w:rFonts w:ascii="Calibri" w:eastAsia="Calibri" w:hAnsi="Calibri" w:cs="Calibri"/>
          <w:color w:val="6B6B6B"/>
          <w:sz w:val="20"/>
          <w:szCs w:val="20"/>
        </w:rPr>
        <w:t xml:space="preserve">  Filed March 20, 2026</w:t>
      </w:r>
    </w:p>
    <w:p w14:paraId="10375797" w14:textId="77777777" w:rsidR="00062741" w:rsidRDefault="00000000">
      <w:pPr>
        <w:pBdr>
          <w:bottom w:val="single" w:sz="6" w:space="1" w:color="1A1A1A"/>
        </w:pBdr>
        <w:spacing w:after="240"/>
      </w:pPr>
      <w:r>
        <w:rPr>
          <w:rFonts w:ascii="Calibri" w:eastAsia="Calibri" w:hAnsi="Calibri" w:cs="Calibri"/>
          <w:i/>
          <w:iCs/>
          <w:color w:val="6B6B6B"/>
          <w:sz w:val="18"/>
          <w:szCs w:val="18"/>
        </w:rPr>
        <w:t>Analysis date: April 19, 2026</w:t>
      </w:r>
    </w:p>
    <w:p w14:paraId="3627EF68" w14:textId="77777777" w:rsidR="00062741" w:rsidRDefault="00000000">
      <w:pPr>
        <w:spacing w:before="80" w:after="40"/>
      </w:pPr>
      <w:r>
        <w:rPr>
          <w:rFonts w:ascii="Calibri" w:eastAsia="Calibri" w:hAnsi="Calibri" w:cs="Calibri"/>
          <w:b/>
          <w:bCs/>
          <w:color w:val="8B1A1A"/>
          <w:spacing w:val="40"/>
          <w:sz w:val="16"/>
          <w:szCs w:val="16"/>
        </w:rPr>
        <w:t>FINANCIAL LENS STAMP</w:t>
      </w:r>
    </w:p>
    <w:p w14:paraId="3518416C" w14:textId="77777777" w:rsidR="00062741" w:rsidRDefault="00000000">
      <w:pPr>
        <w:spacing w:before="120" w:after="120" w:line="320" w:lineRule="auto"/>
      </w:pPr>
      <w:r>
        <w:t>Veeva earns cash through upfront-billed annual subscriptions — 84% of total revenue — sold to large life-sciences enterprises under typically one-year terms.</w:t>
      </w:r>
    </w:p>
    <w:p w14:paraId="7E92A180" w14:textId="77777777" w:rsidR="00062741" w:rsidRDefault="00000000">
      <w:pPr>
        <w:spacing w:before="120" w:after="120" w:line="320" w:lineRule="auto"/>
      </w:pPr>
      <w:r>
        <w:t>Capital sits almost entirely in cash and short-term investments ($6.6B of a $9.0B balance sheet); the economic moat is the Vault platform, customer relationships, and 7,928 employees carrying $473m of annual stock-based compensation.</w:t>
      </w:r>
    </w:p>
    <w:p w14:paraId="5A4AA076" w14:textId="77777777" w:rsidR="00062741" w:rsidRDefault="00000000">
      <w:pPr>
        <w:spacing w:before="120" w:after="120" w:line="320" w:lineRule="auto"/>
      </w:pPr>
      <w:r>
        <w:t xml:space="preserve">Accounting discretion concentrates </w:t>
      </w:r>
      <w:proofErr w:type="gramStart"/>
      <w:r>
        <w:t>in</w:t>
      </w:r>
      <w:proofErr w:type="gramEnd"/>
      <w:r>
        <w:t xml:space="preserve"> revenue allocation across multi-performance-obligation contracts, sales-commission amortization (3-year period), stock-based compensation valuation, APM definitions, and tax-position judgments (FDII, R&amp;D credits, OBBBA mechanics).</w:t>
      </w:r>
    </w:p>
    <w:p w14:paraId="7BFABD88" w14:textId="77777777" w:rsidR="00062741" w:rsidRDefault="00000000">
      <w:pPr>
        <w:spacing w:before="120" w:after="120" w:line="320" w:lineRule="auto"/>
      </w:pPr>
      <w:r>
        <w:t>Where reported accounting most drifts from economic reality: SBC treatment in non-GAAP (excluding ~50% of GAAP operating income), the Salesforce-platform revenue transition, litigation framed as non-recurring, and OBBBA-driven divergence between cash-tax and accrual-rate signals.</w:t>
      </w:r>
    </w:p>
    <w:p w14:paraId="5D461579" w14:textId="77777777" w:rsidR="00062741" w:rsidRDefault="00000000">
      <w:pPr>
        <w:pStyle w:val="Heading2"/>
        <w:spacing w:before="320" w:after="160" w:line="320" w:lineRule="auto"/>
      </w:pPr>
      <w:r>
        <w:rPr>
          <w:rFonts w:ascii="Calibri" w:eastAsia="Calibri" w:hAnsi="Calibri" w:cs="Calibri"/>
          <w:b/>
          <w:bCs/>
          <w:color w:val="1A1A1A"/>
          <w:sz w:val="28"/>
          <w:szCs w:val="28"/>
        </w:rPr>
        <w:t>Bottom line</w:t>
      </w:r>
    </w:p>
    <w:p w14:paraId="64B2A197" w14:textId="77777777" w:rsidR="00062741" w:rsidRDefault="00000000">
      <w:pPr>
        <w:spacing w:before="120" w:after="120" w:line="320" w:lineRule="auto"/>
      </w:pPr>
      <w:r>
        <w:t xml:space="preserve">FY26 revenue grew 16% to $3.2B with GAAP operating margin near </w:t>
      </w:r>
      <w:proofErr w:type="gramStart"/>
      <w:r>
        <w:t>29% —</w:t>
      </w:r>
      <w:proofErr w:type="gramEnd"/>
      <w:r>
        <w:t xml:space="preserve"> strong by any measure. But three buried realities reshape the read. First, the Salesforce platform contract has a hard September 2030 sunset and, since September 2025, a 150% seat cap on existing customers — structurally constraining legacy CRM expansion. Second, non-GAAP operating income of $1.43B excludes $473</w:t>
      </w:r>
      <w:proofErr w:type="gramStart"/>
      <w:r>
        <w:t>m of</w:t>
      </w:r>
      <w:proofErr w:type="gramEnd"/>
      <w:r>
        <w:t xml:space="preserve"> stock-based compensation and $30.6m of "non-recurring" litigation charges that are in fact the success fee paid to Veeva's own lawyers following the IQVIA settlement in which neither party paid damages. Third, the One Big Beautiful Bill Act is delivering an estimated ~$92m cash-tax tailwind that obscures the underlying accrual rate, which rose to 23.9%. R&amp;D and Quality Solutions </w:t>
      </w:r>
      <w:proofErr w:type="gramStart"/>
      <w:r>
        <w:t>is</w:t>
      </w:r>
      <w:proofErr w:type="gramEnd"/>
      <w:r>
        <w:t xml:space="preserve"> genuinely accelerating (+21% subscription growth); Commercial Solutions is decelerating (+14%) under CRM transition pressure.</w:t>
      </w:r>
    </w:p>
    <w:p w14:paraId="33EE0781" w14:textId="77777777" w:rsidR="00062741" w:rsidRDefault="00000000">
      <w:pPr>
        <w:pStyle w:val="Heading2"/>
        <w:spacing w:before="320" w:after="160" w:line="320" w:lineRule="auto"/>
      </w:pPr>
      <w:r>
        <w:rPr>
          <w:rFonts w:ascii="Calibri" w:eastAsia="Calibri" w:hAnsi="Calibri" w:cs="Calibri"/>
          <w:b/>
          <w:bCs/>
          <w:color w:val="1A1A1A"/>
          <w:sz w:val="28"/>
          <w:szCs w:val="28"/>
        </w:rPr>
        <w:t>Executive summary</w:t>
      </w:r>
    </w:p>
    <w:p w14:paraId="4DA2BE0C" w14:textId="77777777" w:rsidR="00062741" w:rsidRDefault="00000000">
      <w:pPr>
        <w:spacing w:before="160" w:after="60" w:line="320" w:lineRule="auto"/>
      </w:pPr>
      <w:r>
        <w:rPr>
          <w:rFonts w:ascii="Calibri" w:eastAsia="Calibri" w:hAnsi="Calibri" w:cs="Calibri"/>
          <w:b/>
          <w:bCs/>
        </w:rPr>
        <w:t>The Salesforce cliff is closer than the headline suggests</w:t>
      </w:r>
    </w:p>
    <w:p w14:paraId="7761B88F" w14:textId="77777777" w:rsidR="00062741" w:rsidRDefault="00000000">
      <w:pPr>
        <w:spacing w:before="120" w:after="120" w:line="320" w:lineRule="auto"/>
      </w:pPr>
      <w:r>
        <w:t xml:space="preserve">The Salesforce reseller agreement expired September 1, </w:t>
      </w:r>
      <w:proofErr w:type="gramStart"/>
      <w:r>
        <w:t>2025</w:t>
      </w:r>
      <w:proofErr w:type="gramEnd"/>
      <w:r>
        <w:t xml:space="preserve"> and entered a five-year wind-down. Through September 1, 2030, Veeva may not sell Salesforce-platform applications to any new customer, and sales to each existing customer are capped at 150% of their seat count as of the </w:t>
      </w:r>
      <w:r>
        <w:lastRenderedPageBreak/>
        <w:t>wind-down start. After September 1, 2030, no sales at all. Management discloses that "a number of our customers have informed us of their intent to move to Salesforce as their CRM provider." (p. 15, 25)</w:t>
      </w:r>
    </w:p>
    <w:p w14:paraId="7AF23CDB" w14:textId="77777777" w:rsidR="00062741" w:rsidRDefault="00000000">
      <w:pPr>
        <w:spacing w:before="160" w:after="60" w:line="320" w:lineRule="auto"/>
      </w:pPr>
      <w:r>
        <w:rPr>
          <w:rFonts w:ascii="Calibri" w:eastAsia="Calibri" w:hAnsi="Calibri" w:cs="Calibri"/>
          <w:b/>
          <w:bCs/>
        </w:rPr>
        <w:t>Non-GAAP operating income excludes 57% of the gap to GAAP</w:t>
      </w:r>
    </w:p>
    <w:p w14:paraId="3A15A7F4" w14:textId="77777777" w:rsidR="00062741" w:rsidRDefault="00000000">
      <w:pPr>
        <w:spacing w:before="120" w:after="120" w:line="320" w:lineRule="auto"/>
      </w:pPr>
      <w:r>
        <w:t>GAAP operating income was $916m; adjusted operating income was $1.43B. The $517m wedge is dominated by $473m of SBC. Share count rose from 162.6m to 163.8m despite the $180m January 2026 buyback. The "non-recurring" $30.6m litigation charge is, by Veeva's own disclosure, the outcome-based contingency fee paid to Veeva's own law firms after the IQVIA settlement in which neither party paid damages. (p. 44, 49; Note 13 p. 78–79)</w:t>
      </w:r>
    </w:p>
    <w:p w14:paraId="6BD901FF" w14:textId="77777777" w:rsidR="00062741" w:rsidRDefault="00000000">
      <w:pPr>
        <w:spacing w:before="160" w:after="60" w:line="320" w:lineRule="auto"/>
      </w:pPr>
      <w:r>
        <w:rPr>
          <w:rFonts w:ascii="Calibri" w:eastAsia="Calibri" w:hAnsi="Calibri" w:cs="Calibri"/>
          <w:b/>
          <w:bCs/>
        </w:rPr>
        <w:t>R&amp;D and Quality is where the growth is — and where the mix is shifting</w:t>
      </w:r>
    </w:p>
    <w:p w14:paraId="7F2E82FA" w14:textId="77777777" w:rsidR="00062741" w:rsidRDefault="00000000">
      <w:pPr>
        <w:spacing w:before="120" w:after="120" w:line="320" w:lineRule="auto"/>
      </w:pPr>
      <w:r>
        <w:t>Subscription revenue by segment: R&amp;D and Quality grew 21% to $1.43B; Commercial Solutions grew 14% to $1.26B. Management explicitly forecasts R&amp;D and Quality will continue rising as a share. Against this, Commercial includes the legacy CRM that must migrate off Salesforce and is further exposed to EU Data Act termination rights live since September 12, 2025 — Europe is 28% of subscription revenue. (p. 41, 24, 27; Note 15 p. 80)</w:t>
      </w:r>
    </w:p>
    <w:p w14:paraId="3663AE07" w14:textId="77777777" w:rsidR="00062741" w:rsidRDefault="00000000">
      <w:pPr>
        <w:spacing w:before="160" w:after="60" w:line="320" w:lineRule="auto"/>
      </w:pPr>
      <w:r>
        <w:rPr>
          <w:rFonts w:ascii="Calibri" w:eastAsia="Calibri" w:hAnsi="Calibri" w:cs="Calibri"/>
          <w:b/>
          <w:bCs/>
        </w:rPr>
        <w:t>The OBBBA tax tailwind is real but masks the accrual trend</w:t>
      </w:r>
    </w:p>
    <w:p w14:paraId="29180A1A" w14:textId="77777777" w:rsidR="00062741" w:rsidRDefault="00000000">
      <w:pPr>
        <w:spacing w:before="120" w:after="120" w:line="320" w:lineRule="auto"/>
      </w:pPr>
      <w:r>
        <w:t>Cash taxes paid fell from $322m to $230m despite pre-tax income rising ~30%. The One Big Beautiful Bill Act restored immediate R&amp;D expensing and allowed accelerating the deduction of FY23–FY25 capitalized R&amp;D over two years. The trade: FDII deduction benefit halved, from $30.5m to $13.1m; effective tax rate rose from 22.3% to 23.9%. The cash benefit is a current windfall; the accrual rate is trending up. (p. 47, 49; Note 7 p. 71)</w:t>
      </w:r>
    </w:p>
    <w:p w14:paraId="1A484CD5" w14:textId="77777777" w:rsidR="00062741" w:rsidRDefault="00000000">
      <w:pPr>
        <w:spacing w:before="160" w:after="60" w:line="320" w:lineRule="auto"/>
      </w:pPr>
      <w:r>
        <w:rPr>
          <w:rFonts w:ascii="Calibri" w:eastAsia="Calibri" w:hAnsi="Calibri" w:cs="Calibri"/>
          <w:b/>
          <w:bCs/>
        </w:rPr>
        <w:t>Receivables built faster than revenue; a top customer dropped below disclosure</w:t>
      </w:r>
    </w:p>
    <w:p w14:paraId="62B8427F" w14:textId="77777777" w:rsidR="00062741" w:rsidRDefault="00000000">
      <w:pPr>
        <w:spacing w:before="120" w:after="120" w:line="320" w:lineRule="auto"/>
      </w:pPr>
      <w:r>
        <w:t>Accounts receivable grew 24% year-over-year against revenue growth of 16%. Unbilled AR also grew 24%. Allowance for credit losses moved from $57k to $256k — still trivial absolute but a 4.5x increase. The one customer that represented 10.1% of AR a year ago is no longer disclosed, and KPMG flagged "evaluation of the sufficiency of audit evidence over revenue" as its sole critical audit matter. (p. 56, Note 1 p. 61, p. 55)</w:t>
      </w:r>
    </w:p>
    <w:p w14:paraId="51DBE80A" w14:textId="77777777" w:rsidR="00062741" w:rsidRDefault="00000000">
      <w:pPr>
        <w:pStyle w:val="Heading2"/>
        <w:spacing w:before="320" w:after="160" w:line="320" w:lineRule="auto"/>
      </w:pPr>
      <w:r>
        <w:rPr>
          <w:rFonts w:ascii="Calibri" w:eastAsia="Calibri" w:hAnsi="Calibri" w:cs="Calibri"/>
          <w:b/>
          <w:bCs/>
          <w:color w:val="1A1A1A"/>
          <w:sz w:val="28"/>
          <w:szCs w:val="28"/>
        </w:rPr>
        <w:t xml:space="preserve">Buried details that </w:t>
      </w:r>
      <w:proofErr w:type="gramStart"/>
      <w:r>
        <w:rPr>
          <w:rFonts w:ascii="Calibri" w:eastAsia="Calibri" w:hAnsi="Calibri" w:cs="Calibri"/>
          <w:b/>
          <w:bCs/>
          <w:color w:val="1A1A1A"/>
          <w:sz w:val="28"/>
          <w:szCs w:val="28"/>
        </w:rPr>
        <w:t>actually matter</w:t>
      </w:r>
      <w:proofErr w:type="gramEnd"/>
    </w:p>
    <w:p w14:paraId="7C61A2AB" w14:textId="77777777" w:rsidR="00062741" w:rsidRDefault="00000000">
      <w:pPr>
        <w:spacing w:before="280" w:after="60" w:line="300" w:lineRule="auto"/>
      </w:pPr>
      <w:r>
        <w:rPr>
          <w:rFonts w:ascii="Calibri" w:eastAsia="Calibri" w:hAnsi="Calibri" w:cs="Calibri"/>
          <w:b/>
          <w:bCs/>
          <w:color w:val="8B1A1A"/>
          <w:sz w:val="26"/>
          <w:szCs w:val="26"/>
        </w:rPr>
        <w:t>1</w:t>
      </w:r>
      <w:proofErr w:type="gramStart"/>
      <w:r>
        <w:rPr>
          <w:rFonts w:ascii="Calibri" w:eastAsia="Calibri" w:hAnsi="Calibri" w:cs="Calibri"/>
          <w:b/>
          <w:bCs/>
          <w:color w:val="8B1A1A"/>
          <w:sz w:val="26"/>
          <w:szCs w:val="26"/>
        </w:rPr>
        <w:t xml:space="preserve">.  </w:t>
      </w:r>
      <w:r>
        <w:rPr>
          <w:rFonts w:ascii="Calibri" w:eastAsia="Calibri" w:hAnsi="Calibri" w:cs="Calibri"/>
          <w:b/>
          <w:bCs/>
          <w:sz w:val="24"/>
          <w:szCs w:val="24"/>
        </w:rPr>
        <w:t>The</w:t>
      </w:r>
      <w:proofErr w:type="gramEnd"/>
      <w:r>
        <w:rPr>
          <w:rFonts w:ascii="Calibri" w:eastAsia="Calibri" w:hAnsi="Calibri" w:cs="Calibri"/>
          <w:b/>
          <w:bCs/>
          <w:sz w:val="24"/>
          <w:szCs w:val="24"/>
        </w:rPr>
        <w:t xml:space="preserve"> Salesforce platform sunset is final and calendar-dated</w:t>
      </w:r>
    </w:p>
    <w:p w14:paraId="48AA6E8F" w14:textId="77777777" w:rsidR="00062741" w:rsidRDefault="00000000">
      <w:pPr>
        <w:spacing w:before="120" w:after="120" w:line="320" w:lineRule="auto"/>
      </w:pPr>
      <w:r>
        <w:t xml:space="preserve">After September 1, 2030, Veeva "will not be able to sell applications that utilize the Salesforce platform to any customers." The wind-down period from September 1, </w:t>
      </w:r>
      <w:proofErr w:type="gramStart"/>
      <w:r>
        <w:t>2025</w:t>
      </w:r>
      <w:proofErr w:type="gramEnd"/>
      <w:r>
        <w:t xml:space="preserve"> caps sales to existing </w:t>
      </w:r>
      <w:r>
        <w:lastRenderedPageBreak/>
        <w:t>customers at 150% of their seat count as of that date. Salesforce also has the right to terminate the wind-down early in certain circumstances, including a change of control. Why it matters: legacy Veeva CRM revenue has a codified ceiling and a calendar-dated end, and the Vault CRM migration must compress five-plus years of execution into that window.</w:t>
      </w:r>
    </w:p>
    <w:p w14:paraId="4D604847" w14:textId="77777777" w:rsidR="00062741" w:rsidRDefault="00000000">
      <w:pPr>
        <w:spacing w:before="20" w:after="20"/>
      </w:pPr>
      <w:r>
        <w:rPr>
          <w:rFonts w:ascii="Consolas" w:eastAsia="Consolas" w:hAnsi="Consolas" w:cs="Consolas"/>
          <w:b/>
          <w:bCs/>
          <w:color w:val="2F6B2F"/>
          <w:sz w:val="16"/>
          <w:szCs w:val="16"/>
        </w:rPr>
        <w:t xml:space="preserve"> [CONFIRMED]</w:t>
      </w:r>
    </w:p>
    <w:p w14:paraId="01C1ADF4" w14:textId="77777777" w:rsidR="00062741" w:rsidRDefault="00000000">
      <w:pPr>
        <w:spacing w:before="40" w:after="160" w:line="280" w:lineRule="auto"/>
      </w:pPr>
      <w:r>
        <w:rPr>
          <w:rFonts w:ascii="Calibri" w:eastAsia="Calibri" w:hAnsi="Calibri" w:cs="Calibri"/>
          <w:i/>
          <w:iCs/>
          <w:color w:val="6B6B6B"/>
          <w:sz w:val="18"/>
          <w:szCs w:val="18"/>
        </w:rPr>
        <w:t>Source: Risk Factors, p. 25; p. 15.</w:t>
      </w:r>
    </w:p>
    <w:p w14:paraId="7E3B1B2A" w14:textId="77777777" w:rsidR="00062741" w:rsidRDefault="00000000">
      <w:pPr>
        <w:spacing w:before="280" w:after="60" w:line="300" w:lineRule="auto"/>
      </w:pPr>
      <w:r>
        <w:rPr>
          <w:rFonts w:ascii="Calibri" w:eastAsia="Calibri" w:hAnsi="Calibri" w:cs="Calibri"/>
          <w:b/>
          <w:bCs/>
          <w:color w:val="8B1A1A"/>
          <w:sz w:val="26"/>
          <w:szCs w:val="26"/>
        </w:rPr>
        <w:t>2</w:t>
      </w:r>
      <w:proofErr w:type="gramStart"/>
      <w:r>
        <w:rPr>
          <w:rFonts w:ascii="Calibri" w:eastAsia="Calibri" w:hAnsi="Calibri" w:cs="Calibri"/>
          <w:b/>
          <w:bCs/>
          <w:color w:val="8B1A1A"/>
          <w:sz w:val="26"/>
          <w:szCs w:val="26"/>
        </w:rPr>
        <w:t xml:space="preserve">.  </w:t>
      </w:r>
      <w:r>
        <w:rPr>
          <w:rFonts w:ascii="Calibri" w:eastAsia="Calibri" w:hAnsi="Calibri" w:cs="Calibri"/>
          <w:b/>
          <w:bCs/>
          <w:sz w:val="24"/>
          <w:szCs w:val="24"/>
        </w:rPr>
        <w:t>Veeva</w:t>
      </w:r>
      <w:proofErr w:type="gramEnd"/>
      <w:r>
        <w:rPr>
          <w:rFonts w:ascii="Calibri" w:eastAsia="Calibri" w:hAnsi="Calibri" w:cs="Calibri"/>
          <w:b/>
          <w:bCs/>
          <w:sz w:val="24"/>
          <w:szCs w:val="24"/>
        </w:rPr>
        <w:t xml:space="preserve"> paid $31m to its own lawyers in the "no damages" IQVIA settlement</w:t>
      </w:r>
    </w:p>
    <w:p w14:paraId="3C8E1CF0" w14:textId="77777777" w:rsidR="00062741" w:rsidRDefault="00000000">
      <w:pPr>
        <w:spacing w:before="120" w:after="120" w:line="320" w:lineRule="auto"/>
      </w:pPr>
      <w:proofErr w:type="gramStart"/>
      <w:r>
        <w:t>The August</w:t>
      </w:r>
      <w:proofErr w:type="gramEnd"/>
      <w:r>
        <w:t xml:space="preserve"> 13, </w:t>
      </w:r>
      <w:proofErr w:type="gramStart"/>
      <w:r>
        <w:t>2025</w:t>
      </w:r>
      <w:proofErr w:type="gramEnd"/>
      <w:r>
        <w:t xml:space="preserve"> IQVIA settlement dismissed all claims and counterclaims, and "neither party paid damages." But Veeva paid "approximately $31 million to certain law firms with whom we entered into partial contingency fee arrangements, pursuant to which such law firms were entitled to a success fee if certain non-monetary outcomes are achieved." That charge is the same $30.6m "litigation settlement-related charges" excluded from non-GAAP operating income as "non-recurring and outside the ordinary course of business." Why it matters: the cash is out the door either way, and the framing as non-recurring sits uneasily against an eight-year litigation history and an ongoing non-practicing-entity patent claim also disclosed in the filing.</w:t>
      </w:r>
    </w:p>
    <w:p w14:paraId="32F8E55A" w14:textId="77777777" w:rsidR="00062741" w:rsidRDefault="00000000">
      <w:pPr>
        <w:spacing w:before="20" w:after="20"/>
      </w:pPr>
      <w:r>
        <w:rPr>
          <w:rFonts w:ascii="Consolas" w:eastAsia="Consolas" w:hAnsi="Consolas" w:cs="Consolas"/>
          <w:b/>
          <w:bCs/>
          <w:color w:val="2F6B2F"/>
          <w:sz w:val="16"/>
          <w:szCs w:val="16"/>
        </w:rPr>
        <w:t xml:space="preserve"> [CONFIRMED]</w:t>
      </w:r>
    </w:p>
    <w:p w14:paraId="11837016" w14:textId="77777777" w:rsidR="00062741" w:rsidRDefault="00000000">
      <w:pPr>
        <w:spacing w:before="40" w:after="160" w:line="280" w:lineRule="auto"/>
      </w:pPr>
      <w:r>
        <w:rPr>
          <w:rFonts w:ascii="Calibri" w:eastAsia="Calibri" w:hAnsi="Calibri" w:cs="Calibri"/>
          <w:i/>
          <w:iCs/>
          <w:color w:val="6B6B6B"/>
          <w:sz w:val="18"/>
          <w:szCs w:val="18"/>
        </w:rPr>
        <w:t>Source: Note 13 p. 78–79; non-GAAP reconciliation p. 48–49; risk factors p. 12.</w:t>
      </w:r>
    </w:p>
    <w:p w14:paraId="7A6FACEB" w14:textId="77777777" w:rsidR="00062741" w:rsidRDefault="00000000">
      <w:pPr>
        <w:spacing w:before="280" w:after="60" w:line="300" w:lineRule="auto"/>
      </w:pPr>
      <w:r>
        <w:rPr>
          <w:rFonts w:ascii="Calibri" w:eastAsia="Calibri" w:hAnsi="Calibri" w:cs="Calibri"/>
          <w:b/>
          <w:bCs/>
          <w:color w:val="8B1A1A"/>
          <w:sz w:val="26"/>
          <w:szCs w:val="26"/>
        </w:rPr>
        <w:t>3</w:t>
      </w:r>
      <w:proofErr w:type="gramStart"/>
      <w:r>
        <w:rPr>
          <w:rFonts w:ascii="Calibri" w:eastAsia="Calibri" w:hAnsi="Calibri" w:cs="Calibri"/>
          <w:b/>
          <w:bCs/>
          <w:color w:val="8B1A1A"/>
          <w:sz w:val="26"/>
          <w:szCs w:val="26"/>
        </w:rPr>
        <w:t xml:space="preserve">.  </w:t>
      </w:r>
      <w:r>
        <w:rPr>
          <w:rFonts w:ascii="Calibri" w:eastAsia="Calibri" w:hAnsi="Calibri" w:cs="Calibri"/>
          <w:b/>
          <w:bCs/>
          <w:sz w:val="24"/>
          <w:szCs w:val="24"/>
        </w:rPr>
        <w:t>CEO</w:t>
      </w:r>
      <w:proofErr w:type="gramEnd"/>
      <w:r>
        <w:rPr>
          <w:rFonts w:ascii="Calibri" w:eastAsia="Calibri" w:hAnsi="Calibri" w:cs="Calibri"/>
          <w:b/>
          <w:bCs/>
          <w:sz w:val="24"/>
          <w:szCs w:val="24"/>
        </w:rPr>
        <w:t xml:space="preserve"> option grant of $172m fair value — market condition already achieved</w:t>
      </w:r>
    </w:p>
    <w:p w14:paraId="2949A4AA" w14:textId="77777777" w:rsidR="00062741" w:rsidRDefault="00000000">
      <w:pPr>
        <w:spacing w:before="120" w:after="120" w:line="320" w:lineRule="auto"/>
      </w:pPr>
      <w:r>
        <w:t>The FY25 grant of 2,650,000 options at $236.90 strike to Peter Gassner was valued at approximately $172m using a Monte Carlo simulation (volatility 39%, expected term 7.6 years). As of January 31, 2026, "the market condition has been achieved, but no time-based vesting milestone has been reached." The amortization — roughly $22m per year — will continue through 2030 regardless of future stock performance. Why it matters: the downside gating on this economic cost has been removed, and the concentration of compensation on the founder/CEO is material enough to name him by name in the risk factors.</w:t>
      </w:r>
    </w:p>
    <w:p w14:paraId="093ED9D0" w14:textId="77777777" w:rsidR="00062741" w:rsidRDefault="00000000">
      <w:pPr>
        <w:spacing w:before="20" w:after="20"/>
      </w:pPr>
      <w:r>
        <w:rPr>
          <w:rFonts w:ascii="Consolas" w:eastAsia="Consolas" w:hAnsi="Consolas" w:cs="Consolas"/>
          <w:b/>
          <w:bCs/>
          <w:color w:val="2F6B2F"/>
          <w:sz w:val="16"/>
          <w:szCs w:val="16"/>
        </w:rPr>
        <w:t xml:space="preserve"> [CONFIRMED]</w:t>
      </w:r>
    </w:p>
    <w:p w14:paraId="4B36C20D" w14:textId="77777777" w:rsidR="00062741" w:rsidRDefault="00000000">
      <w:pPr>
        <w:spacing w:before="40" w:after="160" w:line="280" w:lineRule="auto"/>
      </w:pPr>
      <w:r>
        <w:rPr>
          <w:rFonts w:ascii="Calibri" w:eastAsia="Calibri" w:hAnsi="Calibri" w:cs="Calibri"/>
          <w:i/>
          <w:iCs/>
          <w:color w:val="6B6B6B"/>
          <w:sz w:val="18"/>
          <w:szCs w:val="18"/>
        </w:rPr>
        <w:t>Source: Note 10 p. 76; risk factor on key personnel, p. 20.</w:t>
      </w:r>
    </w:p>
    <w:p w14:paraId="0EBF3D20" w14:textId="77777777" w:rsidR="00062741" w:rsidRDefault="00000000">
      <w:pPr>
        <w:spacing w:before="280" w:after="60" w:line="300" w:lineRule="auto"/>
      </w:pPr>
      <w:r>
        <w:rPr>
          <w:rFonts w:ascii="Calibri" w:eastAsia="Calibri" w:hAnsi="Calibri" w:cs="Calibri"/>
          <w:b/>
          <w:bCs/>
          <w:color w:val="8B1A1A"/>
          <w:sz w:val="26"/>
          <w:szCs w:val="26"/>
        </w:rPr>
        <w:t>4</w:t>
      </w:r>
      <w:proofErr w:type="gramStart"/>
      <w:r>
        <w:rPr>
          <w:rFonts w:ascii="Calibri" w:eastAsia="Calibri" w:hAnsi="Calibri" w:cs="Calibri"/>
          <w:b/>
          <w:bCs/>
          <w:color w:val="8B1A1A"/>
          <w:sz w:val="26"/>
          <w:szCs w:val="26"/>
        </w:rPr>
        <w:t xml:space="preserve">.  </w:t>
      </w:r>
      <w:r>
        <w:rPr>
          <w:rFonts w:ascii="Calibri" w:eastAsia="Calibri" w:hAnsi="Calibri" w:cs="Calibri"/>
          <w:b/>
          <w:bCs/>
          <w:sz w:val="24"/>
          <w:szCs w:val="24"/>
        </w:rPr>
        <w:t>EU</w:t>
      </w:r>
      <w:proofErr w:type="gramEnd"/>
      <w:r>
        <w:rPr>
          <w:rFonts w:ascii="Calibri" w:eastAsia="Calibri" w:hAnsi="Calibri" w:cs="Calibri"/>
          <w:b/>
          <w:bCs/>
          <w:sz w:val="24"/>
          <w:szCs w:val="24"/>
        </w:rPr>
        <w:t xml:space="preserve"> Data Act termination right live since September 12, 2025</w:t>
      </w:r>
    </w:p>
    <w:p w14:paraId="5998A447" w14:textId="77777777" w:rsidR="00062741" w:rsidRDefault="00000000">
      <w:pPr>
        <w:spacing w:before="120" w:after="120" w:line="320" w:lineRule="auto"/>
      </w:pPr>
      <w:r>
        <w:t xml:space="preserve">The EU Data Act, which came into effect September 12, 2025, "allows our EU customers to cancel their subscriptions without cause upon providing the notice and after the transition period specified by the Act." Europe </w:t>
      </w:r>
      <w:proofErr w:type="gramStart"/>
      <w:r>
        <w:t>is</w:t>
      </w:r>
      <w:proofErr w:type="gramEnd"/>
      <w:r>
        <w:t xml:space="preserve"> 28% of subscription revenue — roughly $750m. Why it matters: this is a structural change to the renewal certainty of European subscriptions and is a new factor layered on top of the CRM transition risk. It is mentioned in three different risk paragraphs but never quantified against European revenue in the same place.</w:t>
      </w:r>
    </w:p>
    <w:p w14:paraId="4FE325B6" w14:textId="77777777" w:rsidR="00062741" w:rsidRDefault="00000000">
      <w:pPr>
        <w:spacing w:before="20" w:after="20"/>
      </w:pPr>
      <w:r>
        <w:rPr>
          <w:rFonts w:ascii="Consolas" w:eastAsia="Consolas" w:hAnsi="Consolas" w:cs="Consolas"/>
          <w:b/>
          <w:bCs/>
          <w:color w:val="2F6B2F"/>
          <w:sz w:val="16"/>
          <w:szCs w:val="16"/>
        </w:rPr>
        <w:lastRenderedPageBreak/>
        <w:t xml:space="preserve"> [CONFIRMED]</w:t>
      </w:r>
    </w:p>
    <w:p w14:paraId="582AA2DD" w14:textId="77777777" w:rsidR="00062741" w:rsidRDefault="00000000">
      <w:pPr>
        <w:spacing w:before="40" w:after="160" w:line="280" w:lineRule="auto"/>
      </w:pPr>
      <w:r>
        <w:rPr>
          <w:rFonts w:ascii="Calibri" w:eastAsia="Calibri" w:hAnsi="Calibri" w:cs="Calibri"/>
          <w:i/>
          <w:iCs/>
          <w:color w:val="6B6B6B"/>
          <w:sz w:val="18"/>
          <w:szCs w:val="18"/>
        </w:rPr>
        <w:t>Source: Risk Factors p. 24, 27; geographic revenue Note 15 p. 80.</w:t>
      </w:r>
    </w:p>
    <w:p w14:paraId="76B6D9C4" w14:textId="77777777" w:rsidR="00062741" w:rsidRDefault="00000000">
      <w:pPr>
        <w:spacing w:before="280" w:after="60" w:line="300" w:lineRule="auto"/>
      </w:pPr>
      <w:r>
        <w:rPr>
          <w:rFonts w:ascii="Calibri" w:eastAsia="Calibri" w:hAnsi="Calibri" w:cs="Calibri"/>
          <w:b/>
          <w:bCs/>
          <w:color w:val="8B1A1A"/>
          <w:sz w:val="26"/>
          <w:szCs w:val="26"/>
        </w:rPr>
        <w:t>5</w:t>
      </w:r>
      <w:proofErr w:type="gramStart"/>
      <w:r>
        <w:rPr>
          <w:rFonts w:ascii="Calibri" w:eastAsia="Calibri" w:hAnsi="Calibri" w:cs="Calibri"/>
          <w:b/>
          <w:bCs/>
          <w:color w:val="8B1A1A"/>
          <w:sz w:val="26"/>
          <w:szCs w:val="26"/>
        </w:rPr>
        <w:t xml:space="preserve">.  </w:t>
      </w:r>
      <w:r>
        <w:rPr>
          <w:rFonts w:ascii="Calibri" w:eastAsia="Calibri" w:hAnsi="Calibri" w:cs="Calibri"/>
          <w:b/>
          <w:bCs/>
          <w:sz w:val="24"/>
          <w:szCs w:val="24"/>
        </w:rPr>
        <w:t>Accounts</w:t>
      </w:r>
      <w:proofErr w:type="gramEnd"/>
      <w:r>
        <w:rPr>
          <w:rFonts w:ascii="Calibri" w:eastAsia="Calibri" w:hAnsi="Calibri" w:cs="Calibri"/>
          <w:b/>
          <w:bCs/>
          <w:sz w:val="24"/>
          <w:szCs w:val="24"/>
        </w:rPr>
        <w:t xml:space="preserve"> receivable grew 24% while revenue grew 16%</w:t>
      </w:r>
    </w:p>
    <w:p w14:paraId="5FCD1A1B" w14:textId="77777777" w:rsidR="00062741" w:rsidRDefault="00000000">
      <w:pPr>
        <w:spacing w:before="120" w:after="120" w:line="320" w:lineRule="auto"/>
      </w:pPr>
      <w:r>
        <w:t xml:space="preserve">Accounts receivable: $1.02B → $1.26B (+24%). Unbilled accounts receivable: $41m → $51m (+24%). Revenue growth: 16%. Allowance for credit losses: $57k → $256k — still tiny in absolute terms but a 4.5x jump. No MD&amp;A narrative accounts for the faster AR build. Why it matters: the billings-to-cash conversion is stretching. It could be benign (end-of-quarter billing-timing or renewal-date shifts the company specifically warns about) or it could signal renewal </w:t>
      </w:r>
      <w:proofErr w:type="gramStart"/>
      <w:r>
        <w:t>push-outs</w:t>
      </w:r>
      <w:proofErr w:type="gramEnd"/>
      <w:r>
        <w:t xml:space="preserve"> at larger customers.</w:t>
      </w:r>
    </w:p>
    <w:p w14:paraId="5A6F58D8" w14:textId="77777777" w:rsidR="00062741" w:rsidRDefault="00000000">
      <w:pPr>
        <w:spacing w:before="20" w:after="20"/>
      </w:pPr>
      <w:r>
        <w:rPr>
          <w:rFonts w:ascii="Consolas" w:eastAsia="Consolas" w:hAnsi="Consolas" w:cs="Consolas"/>
          <w:b/>
          <w:bCs/>
          <w:color w:val="A35F00"/>
          <w:sz w:val="16"/>
          <w:szCs w:val="16"/>
        </w:rPr>
        <w:t xml:space="preserve"> [INFERENCE]</w:t>
      </w:r>
    </w:p>
    <w:p w14:paraId="7CB04AE7" w14:textId="77777777" w:rsidR="00062741" w:rsidRDefault="00000000">
      <w:pPr>
        <w:spacing w:before="40" w:after="160" w:line="280" w:lineRule="auto"/>
      </w:pPr>
      <w:r>
        <w:rPr>
          <w:rFonts w:ascii="Calibri" w:eastAsia="Calibri" w:hAnsi="Calibri" w:cs="Calibri"/>
          <w:i/>
          <w:iCs/>
          <w:color w:val="6B6B6B"/>
          <w:sz w:val="18"/>
          <w:szCs w:val="18"/>
        </w:rPr>
        <w:t>Source: Consolidated balance sheet p. 56; AR concentration Note 1 p. 61.</w:t>
      </w:r>
    </w:p>
    <w:p w14:paraId="12368A77" w14:textId="77777777" w:rsidR="00062741" w:rsidRDefault="00000000">
      <w:pPr>
        <w:spacing w:before="280" w:after="60" w:line="300" w:lineRule="auto"/>
      </w:pPr>
      <w:r>
        <w:rPr>
          <w:rFonts w:ascii="Calibri" w:eastAsia="Calibri" w:hAnsi="Calibri" w:cs="Calibri"/>
          <w:b/>
          <w:bCs/>
          <w:color w:val="8B1A1A"/>
          <w:sz w:val="26"/>
          <w:szCs w:val="26"/>
        </w:rPr>
        <w:t>6</w:t>
      </w:r>
      <w:proofErr w:type="gramStart"/>
      <w:r>
        <w:rPr>
          <w:rFonts w:ascii="Calibri" w:eastAsia="Calibri" w:hAnsi="Calibri" w:cs="Calibri"/>
          <w:b/>
          <w:bCs/>
          <w:color w:val="8B1A1A"/>
          <w:sz w:val="26"/>
          <w:szCs w:val="26"/>
        </w:rPr>
        <w:t xml:space="preserve">.  </w:t>
      </w:r>
      <w:r>
        <w:rPr>
          <w:rFonts w:ascii="Calibri" w:eastAsia="Calibri" w:hAnsi="Calibri" w:cs="Calibri"/>
          <w:b/>
          <w:bCs/>
          <w:sz w:val="24"/>
          <w:szCs w:val="24"/>
        </w:rPr>
        <w:t>The</w:t>
      </w:r>
      <w:proofErr w:type="gramEnd"/>
      <w:r>
        <w:rPr>
          <w:rFonts w:ascii="Calibri" w:eastAsia="Calibri" w:hAnsi="Calibri" w:cs="Calibri"/>
          <w:b/>
          <w:bCs/>
          <w:sz w:val="24"/>
          <w:szCs w:val="24"/>
        </w:rPr>
        <w:t xml:space="preserve"> top AR customer dropped below the 10% disclosure threshold</w:t>
      </w:r>
    </w:p>
    <w:p w14:paraId="516AA529" w14:textId="77777777" w:rsidR="00062741" w:rsidRDefault="00000000">
      <w:pPr>
        <w:spacing w:before="120" w:after="120" w:line="320" w:lineRule="auto"/>
      </w:pPr>
      <w:r>
        <w:t xml:space="preserve">In FY25, Customer 1 was 10.1% of total accounts receivable. In FY26, no </w:t>
      </w:r>
      <w:proofErr w:type="gramStart"/>
      <w:r>
        <w:t>customer</w:t>
      </w:r>
      <w:proofErr w:type="gramEnd"/>
      <w:r>
        <w:t xml:space="preserve"> exceeded 10%. No single customer exceeded 10% of revenue in either year. The drop is not discussed in MD&amp;A or risk factors. Why it matters: this could be a simple timing shift, </w:t>
      </w:r>
      <w:proofErr w:type="gramStart"/>
      <w:r>
        <w:t>a customer</w:t>
      </w:r>
      <w:proofErr w:type="gramEnd"/>
      <w:r>
        <w:t xml:space="preserve"> payment, </w:t>
      </w:r>
      <w:proofErr w:type="gramStart"/>
      <w:r>
        <w:t>a customer</w:t>
      </w:r>
      <w:proofErr w:type="gramEnd"/>
      <w:r>
        <w:t xml:space="preserve"> downsizing, or an early indicator of renewal dynamics inside the largest accounts — exactly the kind of detail a careful reader wants to chase.</w:t>
      </w:r>
    </w:p>
    <w:p w14:paraId="034EFD00" w14:textId="77777777" w:rsidR="00062741" w:rsidRDefault="00000000">
      <w:pPr>
        <w:spacing w:before="20" w:after="20"/>
      </w:pPr>
      <w:r>
        <w:rPr>
          <w:rFonts w:ascii="Consolas" w:eastAsia="Consolas" w:hAnsi="Consolas" w:cs="Consolas"/>
          <w:b/>
          <w:bCs/>
          <w:color w:val="2F6B2F"/>
          <w:sz w:val="16"/>
          <w:szCs w:val="16"/>
        </w:rPr>
        <w:t xml:space="preserve"> [CONFIRMED]</w:t>
      </w:r>
    </w:p>
    <w:p w14:paraId="084C9A15" w14:textId="77777777" w:rsidR="00062741" w:rsidRDefault="00000000">
      <w:pPr>
        <w:spacing w:before="40" w:after="160" w:line="280" w:lineRule="auto"/>
      </w:pPr>
      <w:r>
        <w:rPr>
          <w:rFonts w:ascii="Calibri" w:eastAsia="Calibri" w:hAnsi="Calibri" w:cs="Calibri"/>
          <w:i/>
          <w:iCs/>
          <w:color w:val="6B6B6B"/>
          <w:sz w:val="18"/>
          <w:szCs w:val="18"/>
        </w:rPr>
        <w:t>Source: Note 1 p. 61.</w:t>
      </w:r>
    </w:p>
    <w:p w14:paraId="7DBFCA21" w14:textId="77777777" w:rsidR="00062741" w:rsidRDefault="00000000">
      <w:pPr>
        <w:spacing w:before="280" w:after="60" w:line="300" w:lineRule="auto"/>
      </w:pPr>
      <w:r>
        <w:rPr>
          <w:rFonts w:ascii="Calibri" w:eastAsia="Calibri" w:hAnsi="Calibri" w:cs="Calibri"/>
          <w:b/>
          <w:bCs/>
          <w:color w:val="8B1A1A"/>
          <w:sz w:val="26"/>
          <w:szCs w:val="26"/>
        </w:rPr>
        <w:t>7</w:t>
      </w:r>
      <w:proofErr w:type="gramStart"/>
      <w:r>
        <w:rPr>
          <w:rFonts w:ascii="Calibri" w:eastAsia="Calibri" w:hAnsi="Calibri" w:cs="Calibri"/>
          <w:b/>
          <w:bCs/>
          <w:color w:val="8B1A1A"/>
          <w:sz w:val="26"/>
          <w:szCs w:val="26"/>
        </w:rPr>
        <w:t xml:space="preserve">.  </w:t>
      </w:r>
      <w:r>
        <w:rPr>
          <w:rFonts w:ascii="Calibri" w:eastAsia="Calibri" w:hAnsi="Calibri" w:cs="Calibri"/>
          <w:b/>
          <w:bCs/>
          <w:sz w:val="24"/>
          <w:szCs w:val="24"/>
        </w:rPr>
        <w:t>Cash</w:t>
      </w:r>
      <w:proofErr w:type="gramEnd"/>
      <w:r>
        <w:rPr>
          <w:rFonts w:ascii="Calibri" w:eastAsia="Calibri" w:hAnsi="Calibri" w:cs="Calibri"/>
          <w:b/>
          <w:bCs/>
          <w:sz w:val="24"/>
          <w:szCs w:val="24"/>
        </w:rPr>
        <w:t xml:space="preserve"> taxes paid fell $92m while pre-tax income rose ~30%</w:t>
      </w:r>
    </w:p>
    <w:p w14:paraId="41BA5528" w14:textId="77777777" w:rsidR="00062741" w:rsidRDefault="00000000">
      <w:pPr>
        <w:spacing w:before="120" w:after="120" w:line="320" w:lineRule="auto"/>
      </w:pPr>
      <w:r>
        <w:t xml:space="preserve">Cash taxes paid: $322m (FY25) → $230m (FY26). Pre-tax income: $919m → $1.19B. The delta is the OBBBA's restoration of immediate domestic R&amp;D </w:t>
      </w:r>
      <w:proofErr w:type="gramStart"/>
      <w:r>
        <w:t>expensing</w:t>
      </w:r>
      <w:proofErr w:type="gramEnd"/>
      <w:r>
        <w:t xml:space="preserve"> plus the election to accelerate the deduction of previously capitalized R&amp;D over two years. The deferred tax asset for capitalized expenditures fell from $327m to $246m — the other side of the same entry. Why it matters: the cash tax benefit is a transitional windfall tied to the OBBBA catch-up; the run-rate cash benefit after the two-year acceleration ends will be smaller.</w:t>
      </w:r>
    </w:p>
    <w:p w14:paraId="2461AFEE" w14:textId="77777777" w:rsidR="00062741" w:rsidRDefault="00000000">
      <w:pPr>
        <w:spacing w:before="20" w:after="20"/>
      </w:pPr>
      <w:r>
        <w:rPr>
          <w:rFonts w:ascii="Consolas" w:eastAsia="Consolas" w:hAnsi="Consolas" w:cs="Consolas"/>
          <w:b/>
          <w:bCs/>
          <w:color w:val="2F6B2F"/>
          <w:sz w:val="16"/>
          <w:szCs w:val="16"/>
        </w:rPr>
        <w:t xml:space="preserve"> [CONFIRMED]</w:t>
      </w:r>
    </w:p>
    <w:p w14:paraId="52A7137A" w14:textId="77777777" w:rsidR="00062741" w:rsidRDefault="00000000">
      <w:pPr>
        <w:spacing w:before="40" w:after="160" w:line="280" w:lineRule="auto"/>
      </w:pPr>
      <w:r>
        <w:rPr>
          <w:rFonts w:ascii="Calibri" w:eastAsia="Calibri" w:hAnsi="Calibri" w:cs="Calibri"/>
          <w:i/>
          <w:iCs/>
          <w:color w:val="6B6B6B"/>
          <w:sz w:val="18"/>
          <w:szCs w:val="18"/>
        </w:rPr>
        <w:t>Source: Consolidated statements of cash flow p. 59; Note 7 p. 72; supplemental disclosures p. 73.</w:t>
      </w:r>
    </w:p>
    <w:p w14:paraId="6EA31D3D" w14:textId="77777777" w:rsidR="00062741" w:rsidRDefault="00000000">
      <w:pPr>
        <w:spacing w:before="280" w:after="60" w:line="300" w:lineRule="auto"/>
      </w:pPr>
      <w:r>
        <w:rPr>
          <w:rFonts w:ascii="Calibri" w:eastAsia="Calibri" w:hAnsi="Calibri" w:cs="Calibri"/>
          <w:b/>
          <w:bCs/>
          <w:color w:val="8B1A1A"/>
          <w:sz w:val="26"/>
          <w:szCs w:val="26"/>
        </w:rPr>
        <w:t>8</w:t>
      </w:r>
      <w:proofErr w:type="gramStart"/>
      <w:r>
        <w:rPr>
          <w:rFonts w:ascii="Calibri" w:eastAsia="Calibri" w:hAnsi="Calibri" w:cs="Calibri"/>
          <w:b/>
          <w:bCs/>
          <w:color w:val="8B1A1A"/>
          <w:sz w:val="26"/>
          <w:szCs w:val="26"/>
        </w:rPr>
        <w:t xml:space="preserve">.  </w:t>
      </w:r>
      <w:r>
        <w:rPr>
          <w:rFonts w:ascii="Calibri" w:eastAsia="Calibri" w:hAnsi="Calibri" w:cs="Calibri"/>
          <w:b/>
          <w:bCs/>
          <w:sz w:val="24"/>
          <w:szCs w:val="24"/>
        </w:rPr>
        <w:t>FDII</w:t>
      </w:r>
      <w:proofErr w:type="gramEnd"/>
      <w:r>
        <w:rPr>
          <w:rFonts w:ascii="Calibri" w:eastAsia="Calibri" w:hAnsi="Calibri" w:cs="Calibri"/>
          <w:b/>
          <w:bCs/>
          <w:sz w:val="24"/>
          <w:szCs w:val="24"/>
        </w:rPr>
        <w:t xml:space="preserve"> deduction benefit halved; effective tax rate rose to 23.9%</w:t>
      </w:r>
    </w:p>
    <w:p w14:paraId="02A598E9" w14:textId="77777777" w:rsidR="00062741" w:rsidRDefault="00000000">
      <w:pPr>
        <w:spacing w:before="120" w:after="120" w:line="320" w:lineRule="auto"/>
      </w:pPr>
      <w:r>
        <w:t xml:space="preserve">FDII deduction benefit: $30.5m (FY25) → $13.1m (FY26), a ~$17m net-income headwind. Effective tax rate: 22.3% → 23.9%. Management attributes the compression to the OBBBA's interaction with FDII: "the OBBBA restored the immediate </w:t>
      </w:r>
      <w:proofErr w:type="gramStart"/>
      <w:r>
        <w:t>expensing</w:t>
      </w:r>
      <w:proofErr w:type="gramEnd"/>
      <w:r>
        <w:t xml:space="preserve"> of certain domestic R&amp;D expenditures... which decreased our taxable income resulting in a decrease in our FDII benefit." Why it matters: the cash-</w:t>
      </w:r>
      <w:r>
        <w:lastRenderedPageBreak/>
        <w:t>tax and accrual-rate signals point in opposite directions, and the effective rate is likely to drift higher before Pillar Two implications are resolved.</w:t>
      </w:r>
    </w:p>
    <w:p w14:paraId="25E7DDEA" w14:textId="77777777" w:rsidR="00062741" w:rsidRDefault="00000000">
      <w:pPr>
        <w:spacing w:before="20" w:after="20"/>
      </w:pPr>
      <w:r>
        <w:rPr>
          <w:rFonts w:ascii="Consolas" w:eastAsia="Consolas" w:hAnsi="Consolas" w:cs="Consolas"/>
          <w:b/>
          <w:bCs/>
          <w:color w:val="2F6B2F"/>
          <w:sz w:val="16"/>
          <w:szCs w:val="16"/>
        </w:rPr>
        <w:t xml:space="preserve"> [CONFIRMED]</w:t>
      </w:r>
    </w:p>
    <w:p w14:paraId="4B39277C" w14:textId="77777777" w:rsidR="00062741" w:rsidRDefault="00000000">
      <w:pPr>
        <w:spacing w:before="40" w:after="160" w:line="280" w:lineRule="auto"/>
      </w:pPr>
      <w:r>
        <w:rPr>
          <w:rFonts w:ascii="Calibri" w:eastAsia="Calibri" w:hAnsi="Calibri" w:cs="Calibri"/>
          <w:i/>
          <w:iCs/>
          <w:color w:val="6B6B6B"/>
          <w:sz w:val="18"/>
          <w:szCs w:val="18"/>
        </w:rPr>
        <w:t>Source: Note 7 p. 71.</w:t>
      </w:r>
    </w:p>
    <w:p w14:paraId="6AACA9D8" w14:textId="77777777" w:rsidR="00062741" w:rsidRDefault="00000000">
      <w:pPr>
        <w:spacing w:before="280" w:after="60" w:line="300" w:lineRule="auto"/>
      </w:pPr>
      <w:r>
        <w:rPr>
          <w:rFonts w:ascii="Calibri" w:eastAsia="Calibri" w:hAnsi="Calibri" w:cs="Calibri"/>
          <w:b/>
          <w:bCs/>
          <w:color w:val="8B1A1A"/>
          <w:sz w:val="26"/>
          <w:szCs w:val="26"/>
        </w:rPr>
        <w:t>9</w:t>
      </w:r>
      <w:proofErr w:type="gramStart"/>
      <w:r>
        <w:rPr>
          <w:rFonts w:ascii="Calibri" w:eastAsia="Calibri" w:hAnsi="Calibri" w:cs="Calibri"/>
          <w:b/>
          <w:bCs/>
          <w:color w:val="8B1A1A"/>
          <w:sz w:val="26"/>
          <w:szCs w:val="26"/>
        </w:rPr>
        <w:t xml:space="preserve">.  </w:t>
      </w:r>
      <w:r>
        <w:rPr>
          <w:rFonts w:ascii="Calibri" w:eastAsia="Calibri" w:hAnsi="Calibri" w:cs="Calibri"/>
          <w:b/>
          <w:bCs/>
          <w:sz w:val="24"/>
          <w:szCs w:val="24"/>
        </w:rPr>
        <w:t>Veeva</w:t>
      </w:r>
      <w:proofErr w:type="gramEnd"/>
      <w:r>
        <w:rPr>
          <w:rFonts w:ascii="Calibri" w:eastAsia="Calibri" w:hAnsi="Calibri" w:cs="Calibri"/>
          <w:b/>
          <w:bCs/>
          <w:sz w:val="24"/>
          <w:szCs w:val="24"/>
        </w:rPr>
        <w:t xml:space="preserve"> AI runs on Anthropic and Amazon LLMs via Bedrock — new variable-cost driver</w:t>
      </w:r>
    </w:p>
    <w:p w14:paraId="7CFCAF96" w14:textId="77777777" w:rsidR="00062741" w:rsidRDefault="00000000">
      <w:pPr>
        <w:spacing w:before="120" w:after="120" w:line="320" w:lineRule="auto"/>
      </w:pPr>
      <w:r>
        <w:t>"Our AI Agents use large language models from Anthropic and Amazon, hosted on Amazon Bedrock." The filing calls out "costs incurred with our use of large language models associated with our Veeva AI offering" as a future expenditure line. Why it matters: token-based pricing introduces variable cost into a subscription model that has long run on 85%+ gross margin for its core Vault software. Customer pricing pass-through is not disclosed.</w:t>
      </w:r>
    </w:p>
    <w:p w14:paraId="04E911D2" w14:textId="77777777" w:rsidR="00062741" w:rsidRDefault="00000000">
      <w:pPr>
        <w:spacing w:before="20" w:after="20"/>
      </w:pPr>
      <w:r>
        <w:rPr>
          <w:rFonts w:ascii="Consolas" w:eastAsia="Consolas" w:hAnsi="Consolas" w:cs="Consolas"/>
          <w:b/>
          <w:bCs/>
          <w:color w:val="2F6B2F"/>
          <w:sz w:val="16"/>
          <w:szCs w:val="16"/>
        </w:rPr>
        <w:t xml:space="preserve"> [CONFIRMED]</w:t>
      </w:r>
    </w:p>
    <w:p w14:paraId="7C5D505F" w14:textId="77777777" w:rsidR="00062741" w:rsidRDefault="00000000">
      <w:pPr>
        <w:spacing w:before="40" w:after="160" w:line="280" w:lineRule="auto"/>
      </w:pPr>
      <w:r>
        <w:rPr>
          <w:rFonts w:ascii="Calibri" w:eastAsia="Calibri" w:hAnsi="Calibri" w:cs="Calibri"/>
          <w:i/>
          <w:iCs/>
          <w:color w:val="6B6B6B"/>
          <w:sz w:val="18"/>
          <w:szCs w:val="18"/>
        </w:rPr>
        <w:t>Source: Business section p. 9; future expenditures commentary p. 28.</w:t>
      </w:r>
    </w:p>
    <w:p w14:paraId="22E1375D" w14:textId="77777777" w:rsidR="00062741" w:rsidRDefault="00000000">
      <w:pPr>
        <w:spacing w:before="280" w:after="60" w:line="300" w:lineRule="auto"/>
      </w:pPr>
      <w:r>
        <w:rPr>
          <w:rFonts w:ascii="Calibri" w:eastAsia="Calibri" w:hAnsi="Calibri" w:cs="Calibri"/>
          <w:b/>
          <w:bCs/>
          <w:color w:val="8B1A1A"/>
          <w:sz w:val="26"/>
          <w:szCs w:val="26"/>
        </w:rPr>
        <w:t>10</w:t>
      </w:r>
      <w:proofErr w:type="gramStart"/>
      <w:r>
        <w:rPr>
          <w:rFonts w:ascii="Calibri" w:eastAsia="Calibri" w:hAnsi="Calibri" w:cs="Calibri"/>
          <w:b/>
          <w:bCs/>
          <w:color w:val="8B1A1A"/>
          <w:sz w:val="26"/>
          <w:szCs w:val="26"/>
        </w:rPr>
        <w:t xml:space="preserve">.  </w:t>
      </w:r>
      <w:r>
        <w:rPr>
          <w:rFonts w:ascii="Calibri" w:eastAsia="Calibri" w:hAnsi="Calibri" w:cs="Calibri"/>
          <w:b/>
          <w:bCs/>
          <w:sz w:val="24"/>
          <w:szCs w:val="24"/>
        </w:rPr>
        <w:t>KPMG's</w:t>
      </w:r>
      <w:proofErr w:type="gramEnd"/>
      <w:r>
        <w:rPr>
          <w:rFonts w:ascii="Calibri" w:eastAsia="Calibri" w:hAnsi="Calibri" w:cs="Calibri"/>
          <w:b/>
          <w:bCs/>
          <w:sz w:val="24"/>
          <w:szCs w:val="24"/>
        </w:rPr>
        <w:t xml:space="preserve"> sole Critical Audit Matter is revenue</w:t>
      </w:r>
    </w:p>
    <w:p w14:paraId="35159F29" w14:textId="77777777" w:rsidR="00062741" w:rsidRDefault="00000000">
      <w:pPr>
        <w:spacing w:before="120" w:after="120" w:line="320" w:lineRule="auto"/>
      </w:pPr>
      <w:r>
        <w:t>The only critical audit matter KPMG flagged is "evaluation of the sufficiency of audit evidence over revenue," citing multiple service offerings and "the number of information technology (IT) applications involved in the revenue recognition processes." Why it matters: the auditor views the revenue system landscape as complex enough to isolate as a CAM. This is not unusual for a multi-product SaaS, but it is worth noting given the segment mix shift and the ongoing CRM transition.</w:t>
      </w:r>
    </w:p>
    <w:p w14:paraId="1987C076" w14:textId="77777777" w:rsidR="00062741" w:rsidRDefault="00000000">
      <w:pPr>
        <w:spacing w:before="20" w:after="20"/>
      </w:pPr>
      <w:r>
        <w:rPr>
          <w:rFonts w:ascii="Consolas" w:eastAsia="Consolas" w:hAnsi="Consolas" w:cs="Consolas"/>
          <w:b/>
          <w:bCs/>
          <w:color w:val="2F6B2F"/>
          <w:sz w:val="16"/>
          <w:szCs w:val="16"/>
        </w:rPr>
        <w:t xml:space="preserve"> [CONFIRMED]</w:t>
      </w:r>
    </w:p>
    <w:p w14:paraId="07EF3D2C" w14:textId="77777777" w:rsidR="00062741" w:rsidRDefault="00000000">
      <w:pPr>
        <w:spacing w:before="40" w:after="160" w:line="280" w:lineRule="auto"/>
      </w:pPr>
      <w:r>
        <w:rPr>
          <w:rFonts w:ascii="Calibri" w:eastAsia="Calibri" w:hAnsi="Calibri" w:cs="Calibri"/>
          <w:i/>
          <w:iCs/>
          <w:color w:val="6B6B6B"/>
          <w:sz w:val="18"/>
          <w:szCs w:val="18"/>
        </w:rPr>
        <w:t>Source: KPMG auditor report p. 55.</w:t>
      </w:r>
    </w:p>
    <w:p w14:paraId="000A6D59" w14:textId="77777777" w:rsidR="00062741" w:rsidRDefault="00000000">
      <w:pPr>
        <w:spacing w:before="280" w:after="60" w:line="300" w:lineRule="auto"/>
      </w:pPr>
      <w:r>
        <w:rPr>
          <w:rFonts w:ascii="Calibri" w:eastAsia="Calibri" w:hAnsi="Calibri" w:cs="Calibri"/>
          <w:b/>
          <w:bCs/>
          <w:color w:val="8B1A1A"/>
          <w:sz w:val="26"/>
          <w:szCs w:val="26"/>
        </w:rPr>
        <w:t>11</w:t>
      </w:r>
      <w:proofErr w:type="gramStart"/>
      <w:r>
        <w:rPr>
          <w:rFonts w:ascii="Calibri" w:eastAsia="Calibri" w:hAnsi="Calibri" w:cs="Calibri"/>
          <w:b/>
          <w:bCs/>
          <w:color w:val="8B1A1A"/>
          <w:sz w:val="26"/>
          <w:szCs w:val="26"/>
        </w:rPr>
        <w:t xml:space="preserve">.  </w:t>
      </w:r>
      <w:r>
        <w:rPr>
          <w:rFonts w:ascii="Calibri" w:eastAsia="Calibri" w:hAnsi="Calibri" w:cs="Calibri"/>
          <w:b/>
          <w:bCs/>
          <w:sz w:val="24"/>
          <w:szCs w:val="24"/>
        </w:rPr>
        <w:t>The</w:t>
      </w:r>
      <w:proofErr w:type="gramEnd"/>
      <w:r>
        <w:rPr>
          <w:rFonts w:ascii="Calibri" w:eastAsia="Calibri" w:hAnsi="Calibri" w:cs="Calibri"/>
          <w:b/>
          <w:bCs/>
          <w:sz w:val="24"/>
          <w:szCs w:val="24"/>
        </w:rPr>
        <w:t xml:space="preserve"> Employee Stock Purchase Plan has been dormant since June 2014</w:t>
      </w:r>
    </w:p>
    <w:p w14:paraId="2B1190D4" w14:textId="77777777" w:rsidR="00062741" w:rsidRDefault="00000000">
      <w:pPr>
        <w:spacing w:before="120" w:after="120" w:line="320" w:lineRule="auto"/>
      </w:pPr>
      <w:r>
        <w:t xml:space="preserve">The ESPP became effective at IPO (October 2013), ran </w:t>
      </w:r>
      <w:proofErr w:type="gramStart"/>
      <w:r>
        <w:t>one</w:t>
      </w:r>
      <w:proofErr w:type="gramEnd"/>
      <w:r>
        <w:t xml:space="preserve"> initial offering period that ended June 15, 2014, and has not had an open offering period since. 4.9m shares sit authorized but unused. Why it matters: unusual for a SaaS of this scale. It signals that all employee equity incentive lives inside RSUs and options — concentrating both the dilution and the messaging in higher-profile grant programs.</w:t>
      </w:r>
    </w:p>
    <w:p w14:paraId="5BEDCFE9" w14:textId="77777777" w:rsidR="00062741" w:rsidRDefault="00000000">
      <w:pPr>
        <w:spacing w:before="20" w:after="20"/>
      </w:pPr>
      <w:r>
        <w:rPr>
          <w:rFonts w:ascii="Consolas" w:eastAsia="Consolas" w:hAnsi="Consolas" w:cs="Consolas"/>
          <w:b/>
          <w:bCs/>
          <w:color w:val="2F6B2F"/>
          <w:sz w:val="16"/>
          <w:szCs w:val="16"/>
        </w:rPr>
        <w:t xml:space="preserve"> [CONFIRMED]</w:t>
      </w:r>
    </w:p>
    <w:p w14:paraId="4D4DFC47" w14:textId="77777777" w:rsidR="00062741" w:rsidRDefault="00000000">
      <w:pPr>
        <w:spacing w:before="40" w:after="160" w:line="280" w:lineRule="auto"/>
      </w:pPr>
      <w:r>
        <w:rPr>
          <w:rFonts w:ascii="Calibri" w:eastAsia="Calibri" w:hAnsi="Calibri" w:cs="Calibri"/>
          <w:i/>
          <w:iCs/>
          <w:color w:val="6B6B6B"/>
          <w:sz w:val="18"/>
          <w:szCs w:val="18"/>
        </w:rPr>
        <w:t>Source: Note 10 p. 75.</w:t>
      </w:r>
    </w:p>
    <w:p w14:paraId="43D41971" w14:textId="77777777" w:rsidR="00062741" w:rsidRDefault="00000000">
      <w:pPr>
        <w:spacing w:before="280" w:after="60" w:line="300" w:lineRule="auto"/>
      </w:pPr>
      <w:r>
        <w:rPr>
          <w:rFonts w:ascii="Calibri" w:eastAsia="Calibri" w:hAnsi="Calibri" w:cs="Calibri"/>
          <w:b/>
          <w:bCs/>
          <w:color w:val="8B1A1A"/>
          <w:sz w:val="26"/>
          <w:szCs w:val="26"/>
        </w:rPr>
        <w:t>12</w:t>
      </w:r>
      <w:proofErr w:type="gramStart"/>
      <w:r>
        <w:rPr>
          <w:rFonts w:ascii="Calibri" w:eastAsia="Calibri" w:hAnsi="Calibri" w:cs="Calibri"/>
          <w:b/>
          <w:bCs/>
          <w:color w:val="8B1A1A"/>
          <w:sz w:val="26"/>
          <w:szCs w:val="26"/>
        </w:rPr>
        <w:t xml:space="preserve">.  </w:t>
      </w:r>
      <w:r>
        <w:rPr>
          <w:rFonts w:ascii="Calibri" w:eastAsia="Calibri" w:hAnsi="Calibri" w:cs="Calibri"/>
          <w:b/>
          <w:bCs/>
          <w:sz w:val="24"/>
          <w:szCs w:val="24"/>
        </w:rPr>
        <w:t>Ostro</w:t>
      </w:r>
      <w:proofErr w:type="gramEnd"/>
      <w:r>
        <w:rPr>
          <w:rFonts w:ascii="Calibri" w:eastAsia="Calibri" w:hAnsi="Calibri" w:cs="Calibri"/>
          <w:b/>
          <w:bCs/>
          <w:sz w:val="24"/>
          <w:szCs w:val="24"/>
        </w:rPr>
        <w:t xml:space="preserve"> acquisition announced as subsequent event — $100m cash plus equity retention</w:t>
      </w:r>
    </w:p>
    <w:p w14:paraId="3AE0E23C" w14:textId="77777777" w:rsidR="00062741" w:rsidRDefault="00000000">
      <w:pPr>
        <w:spacing w:before="120" w:after="120" w:line="320" w:lineRule="auto"/>
      </w:pPr>
      <w:r>
        <w:t>On March 10, 2026, Veeva acquired Rise Healthcare Tech, Inc. ("Ostro</w:t>
      </w:r>
      <w:proofErr w:type="gramStart"/>
      <w:r>
        <w:t>") —</w:t>
      </w:r>
      <w:proofErr w:type="gramEnd"/>
      <w:r>
        <w:t xml:space="preserve"> an AI engagement platform for patients and doctors in life sciences — for approximately $100m in cash plus long-term equity retention grants. The accounting treatment and purchase price allocation are still being evaluated. </w:t>
      </w:r>
      <w:proofErr w:type="gramStart"/>
      <w:r>
        <w:t>Why it</w:t>
      </w:r>
      <w:proofErr w:type="gramEnd"/>
      <w:r>
        <w:t xml:space="preserve"> matters: this is the first acquisition in two years (goodwill was flat at $440m </w:t>
      </w:r>
      <w:r>
        <w:lastRenderedPageBreak/>
        <w:t>through FY26) and reintroduces integration risk, potential contingent consideration, and a renewed appetite for inorganic AI capability alongside the Anthropic/Amazon LLM reliance.</w:t>
      </w:r>
    </w:p>
    <w:p w14:paraId="6053FDFF" w14:textId="77777777" w:rsidR="00062741" w:rsidRDefault="00000000">
      <w:pPr>
        <w:spacing w:before="20" w:after="20"/>
      </w:pPr>
      <w:r>
        <w:rPr>
          <w:rFonts w:ascii="Consolas" w:eastAsia="Consolas" w:hAnsi="Consolas" w:cs="Consolas"/>
          <w:b/>
          <w:bCs/>
          <w:color w:val="2F6B2F"/>
          <w:sz w:val="16"/>
          <w:szCs w:val="16"/>
        </w:rPr>
        <w:t xml:space="preserve"> [CONFIRMED]</w:t>
      </w:r>
    </w:p>
    <w:p w14:paraId="1144168D" w14:textId="77777777" w:rsidR="00062741" w:rsidRDefault="00000000">
      <w:pPr>
        <w:spacing w:before="40" w:after="160" w:line="280" w:lineRule="auto"/>
      </w:pPr>
      <w:r>
        <w:rPr>
          <w:rFonts w:ascii="Calibri" w:eastAsia="Calibri" w:hAnsi="Calibri" w:cs="Calibri"/>
          <w:i/>
          <w:iCs/>
          <w:color w:val="6B6B6B"/>
          <w:sz w:val="18"/>
          <w:szCs w:val="18"/>
        </w:rPr>
        <w:t>Source: Note 17 p. 81.</w:t>
      </w:r>
    </w:p>
    <w:p w14:paraId="7C21DCCF" w14:textId="77777777" w:rsidR="00062741" w:rsidRDefault="00000000">
      <w:pPr>
        <w:pStyle w:val="Heading2"/>
        <w:spacing w:before="320" w:after="160" w:line="320" w:lineRule="auto"/>
      </w:pPr>
      <w:r>
        <w:rPr>
          <w:rFonts w:ascii="Calibri" w:eastAsia="Calibri" w:hAnsi="Calibri" w:cs="Calibri"/>
          <w:b/>
          <w:bCs/>
          <w:color w:val="1A1A1A"/>
          <w:sz w:val="28"/>
          <w:szCs w:val="28"/>
        </w:rPr>
        <w:t>Investigation threads</w:t>
      </w:r>
    </w:p>
    <w:p w14:paraId="3A20FD3E" w14:textId="77777777" w:rsidR="00062741" w:rsidRDefault="00000000">
      <w:pPr>
        <w:pStyle w:val="Heading3"/>
        <w:spacing w:before="240" w:after="120" w:line="320" w:lineRule="auto"/>
      </w:pPr>
      <w:r>
        <w:rPr>
          <w:rFonts w:ascii="Calibri" w:eastAsia="Calibri" w:hAnsi="Calibri" w:cs="Calibri"/>
          <w:b/>
          <w:bCs/>
          <w:color w:val="1A1A1A"/>
        </w:rPr>
        <w:t>The Salesforce cliff and the Commercial Solutions crossover</w:t>
      </w:r>
    </w:p>
    <w:p w14:paraId="1E9FF9BC" w14:textId="77777777" w:rsidR="00062741" w:rsidRDefault="00000000">
      <w:pPr>
        <w:spacing w:before="80" w:after="140"/>
      </w:pPr>
      <w:r>
        <w:rPr>
          <w:i/>
          <w:iCs/>
          <w:color w:val="6B6B6B"/>
        </w:rPr>
        <w:t>The 2030 platform sunset is not a distant risk — it is a codified constraint shaping revenue mix today, and the Commercial/R&amp;D crossover is already visible in the numbers.</w:t>
      </w:r>
    </w:p>
    <w:p w14:paraId="7A3C5C56" w14:textId="77777777" w:rsidR="00062741" w:rsidRDefault="00000000">
      <w:pPr>
        <w:pBdr>
          <w:left w:val="single" w:sz="18" w:space="12" w:color="8B1A1A"/>
        </w:pBdr>
        <w:spacing w:before="200" w:after="200" w:line="320" w:lineRule="auto"/>
        <w:ind w:left="720"/>
      </w:pPr>
      <w:r>
        <w:rPr>
          <w:i/>
          <w:iCs/>
          <w:sz w:val="24"/>
          <w:szCs w:val="24"/>
        </w:rPr>
        <w:t>"After September 1, 2030, we will not be able to sell applications that utilize the Salesforce platform to any customers."</w:t>
      </w:r>
    </w:p>
    <w:p w14:paraId="78AF5489" w14:textId="77777777" w:rsidR="00062741" w:rsidRDefault="00000000">
      <w:pPr>
        <w:spacing w:before="160" w:after="60" w:line="320" w:lineRule="auto"/>
      </w:pPr>
      <w:r>
        <w:rPr>
          <w:rFonts w:ascii="Calibri" w:eastAsia="Calibri" w:hAnsi="Calibri" w:cs="Calibri"/>
          <w:b/>
          <w:bCs/>
        </w:rPr>
        <w:t>The 150% seat cap compresses mid-cycle expansion</w:t>
      </w:r>
    </w:p>
    <w:p w14:paraId="794B115D" w14:textId="77777777" w:rsidR="00062741" w:rsidRDefault="00000000">
      <w:pPr>
        <w:spacing w:before="120" w:after="120" w:line="320" w:lineRule="auto"/>
      </w:pPr>
      <w:r>
        <w:t>Economically: existing customers on Veeva CRM (Salesforce platform) can grow their seat count only up to 150% of their September 2025 level over the five-year wind-down. This caps expansion revenue on the legacy product and forces a decision — commit to Vault CRM or move to Salesforce's own life-sciences CRM.</w:t>
      </w:r>
    </w:p>
    <w:p w14:paraId="4FE617E4" w14:textId="77777777" w:rsidR="00062741" w:rsidRDefault="00000000">
      <w:pPr>
        <w:spacing w:before="120" w:after="120" w:line="320" w:lineRule="auto"/>
      </w:pPr>
      <w:r>
        <w:t xml:space="preserve">Why a fast reader might miss it: the 150% cap appears deep in the third-party reliance section (Risk Factors, Risks Related to Our Reliance on Third Parties), not in MD&amp;A. Management frames the September 2025 expiry as a wind-down rather than as a live forcing function on seat-level expansion. The MD&amp;A narrative on Commercial Solutions revenue does not reference the cap at all. (Source: p. 25; </w:t>
      </w:r>
      <w:proofErr w:type="gramStart"/>
      <w:r>
        <w:t>compare</w:t>
      </w:r>
      <w:proofErr w:type="gramEnd"/>
      <w:r>
        <w:t xml:space="preserve"> with Commercial Solutions discussion p. 45)</w:t>
      </w:r>
    </w:p>
    <w:p w14:paraId="492F7073" w14:textId="77777777" w:rsidR="00062741" w:rsidRDefault="00000000">
      <w:pPr>
        <w:spacing w:before="160" w:after="60" w:line="320" w:lineRule="auto"/>
      </w:pPr>
      <w:r>
        <w:rPr>
          <w:rFonts w:ascii="Calibri" w:eastAsia="Calibri" w:hAnsi="Calibri" w:cs="Calibri"/>
          <w:b/>
          <w:bCs/>
        </w:rPr>
        <w:t>The Commercial vs R&amp;D crossover widened in FY26</w:t>
      </w:r>
    </w:p>
    <w:p w14:paraId="3BF9D7D3" w14:textId="77777777" w:rsidR="00062741" w:rsidRDefault="00000000">
      <w:pPr>
        <w:spacing w:before="120" w:after="120" w:line="320" w:lineRule="auto"/>
      </w:pPr>
      <w:r>
        <w:t xml:space="preserve">Economically: R&amp;D and Quality subscription revenue grew 21% to $1.43B. Commercial Solutions subscription grew 14% to $1.26B. The lines crossed in </w:t>
      </w:r>
      <w:proofErr w:type="gramStart"/>
      <w:r>
        <w:t>FY25</w:t>
      </w:r>
      <w:proofErr w:type="gramEnd"/>
      <w:r>
        <w:t xml:space="preserve"> and the gap widened in FY26; management projects the shift to continue. The acceleration in R&amp;D and Quality reflects expanding use by existing customers plus the inflation escalator; Commercial Solutions carries legacy Veeva CRM inside it.</w:t>
      </w:r>
    </w:p>
    <w:p w14:paraId="7AD990A4" w14:textId="77777777" w:rsidR="00062741" w:rsidRDefault="00000000">
      <w:pPr>
        <w:spacing w:before="120" w:after="120" w:line="320" w:lineRule="auto"/>
      </w:pPr>
      <w:r>
        <w:t xml:space="preserve">Why a fast reader might miss it: the crossover surfaces only as a dry mix-percentage in a narrative paragraph ("approximately 47% and 53%... respectively"). The dollar-level comparison </w:t>
      </w:r>
      <w:proofErr w:type="gramStart"/>
      <w:r>
        <w:t>has to</w:t>
      </w:r>
      <w:proofErr w:type="gramEnd"/>
      <w:r>
        <w:t xml:space="preserve"> be assembled from Note 15. The Salesforce disclosure and the Commercial deceleration are discussed in separate sections of the filing. (Source: p. 41; Note 15 p. 80)</w:t>
      </w:r>
    </w:p>
    <w:p w14:paraId="078EDF5D" w14:textId="77777777" w:rsidR="00062741" w:rsidRDefault="00000000">
      <w:pPr>
        <w:spacing w:before="160" w:after="60" w:line="320" w:lineRule="auto"/>
      </w:pPr>
      <w:r>
        <w:rPr>
          <w:rFonts w:ascii="Calibri" w:eastAsia="Calibri" w:hAnsi="Calibri" w:cs="Calibri"/>
          <w:b/>
          <w:bCs/>
        </w:rPr>
        <w:t>EU Data Act termination rights layered on top</w:t>
      </w:r>
    </w:p>
    <w:p w14:paraId="0F1BA8F6" w14:textId="77777777" w:rsidR="00062741" w:rsidRDefault="00000000">
      <w:pPr>
        <w:spacing w:before="120" w:after="120" w:line="320" w:lineRule="auto"/>
      </w:pPr>
      <w:r>
        <w:lastRenderedPageBreak/>
        <w:t xml:space="preserve">Economically: Europe </w:t>
      </w:r>
      <w:proofErr w:type="gramStart"/>
      <w:r>
        <w:t>is</w:t>
      </w:r>
      <w:proofErr w:type="gramEnd"/>
      <w:r>
        <w:t xml:space="preserve"> 28% of subscription revenue (~$750m by implication). The EU Data Act, effective September 12, 2025, allows EU customers to cancel without cause after the notice period. This is additive to the CRM transition risk — Europe has both the </w:t>
      </w:r>
      <w:proofErr w:type="gramStart"/>
      <w:r>
        <w:t>legacy</w:t>
      </w:r>
      <w:proofErr w:type="gramEnd"/>
      <w:r>
        <w:t xml:space="preserve"> CRM exposure and a new structural termination right.</w:t>
      </w:r>
    </w:p>
    <w:p w14:paraId="332DA55B" w14:textId="77777777" w:rsidR="00062741" w:rsidRDefault="00000000">
      <w:pPr>
        <w:spacing w:before="120" w:after="120" w:line="320" w:lineRule="auto"/>
      </w:pPr>
      <w:r>
        <w:t>Why a fast reader might miss it: the EU Data Act appears in three different risk-factor paragraphs and again in the revenue-recognition narrative (p. 27). None of them quantify European subscription exposure in the same place. (Source: p. 24, 27; Note 15 p. 80)</w:t>
      </w:r>
    </w:p>
    <w:p w14:paraId="792D728A" w14:textId="77777777" w:rsidR="00062741" w:rsidRDefault="00000000">
      <w:pPr>
        <w:pStyle w:val="Heading3"/>
        <w:spacing w:before="240" w:after="120" w:line="320" w:lineRule="auto"/>
      </w:pPr>
      <w:r>
        <w:rPr>
          <w:rFonts w:ascii="Calibri" w:eastAsia="Calibri" w:hAnsi="Calibri" w:cs="Calibri"/>
          <w:b/>
          <w:bCs/>
          <w:color w:val="1A1A1A"/>
        </w:rPr>
        <w:t>Non-GAAP optics — what's excluded is economically real</w:t>
      </w:r>
    </w:p>
    <w:p w14:paraId="5F901A35" w14:textId="77777777" w:rsidR="00062741" w:rsidRDefault="00000000">
      <w:pPr>
        <w:spacing w:before="80" w:after="140"/>
      </w:pPr>
      <w:r>
        <w:rPr>
          <w:i/>
          <w:iCs/>
          <w:color w:val="6B6B6B"/>
        </w:rPr>
        <w:t>Adjusted operating income runs 57% above GAAP operating income; the wedge is dominated by stock-based compensation and a "non-recurring" charge that is in fact the success fee paid to Veeva's own lawyers.</w:t>
      </w:r>
    </w:p>
    <w:p w14:paraId="364A49AF" w14:textId="77777777" w:rsidR="00062741" w:rsidRDefault="00000000">
      <w:pPr>
        <w:pBdr>
          <w:left w:val="single" w:sz="18" w:space="12" w:color="8B1A1A"/>
        </w:pBdr>
        <w:spacing w:before="200" w:after="200" w:line="320" w:lineRule="auto"/>
        <w:ind w:left="720"/>
      </w:pPr>
      <w:r>
        <w:rPr>
          <w:i/>
          <w:iCs/>
          <w:sz w:val="24"/>
          <w:szCs w:val="24"/>
        </w:rPr>
        <w:t>"Operating income on a GAAP basis $916,369 … Operating income on a non-GAAP basis $1,433,845."</w:t>
      </w:r>
    </w:p>
    <w:p w14:paraId="5AF97DAA" w14:textId="77777777" w:rsidR="00062741" w:rsidRDefault="00000000">
      <w:pPr>
        <w:spacing w:before="160" w:after="60" w:line="320" w:lineRule="auto"/>
      </w:pPr>
      <w:r>
        <w:rPr>
          <w:rFonts w:ascii="Calibri" w:eastAsia="Calibri" w:hAnsi="Calibri" w:cs="Calibri"/>
          <w:b/>
          <w:bCs/>
        </w:rPr>
        <w:t>Stock-based compensation is 52% of GAAP operating income</w:t>
      </w:r>
    </w:p>
    <w:p w14:paraId="3056BA5A" w14:textId="77777777" w:rsidR="00062741" w:rsidRDefault="00000000">
      <w:pPr>
        <w:spacing w:before="120" w:after="120" w:line="320" w:lineRule="auto"/>
      </w:pPr>
      <w:r>
        <w:t xml:space="preserve">Economically: $473m of SBC is excluded from non-GAAP against $916m of GAAP operating income. The company continues to issue equity faster than the buyback </w:t>
      </w:r>
      <w:proofErr w:type="gramStart"/>
      <w:r>
        <w:t xml:space="preserve">retires </w:t>
      </w:r>
      <w:proofErr w:type="gramEnd"/>
      <w:r>
        <w:t>it — share count rose from 162.6m to 163.8m in FY26 despite the $180m January buyback. The dilution is real; the cost is real.</w:t>
      </w:r>
    </w:p>
    <w:p w14:paraId="0A37CF23" w14:textId="77777777" w:rsidR="00062741" w:rsidRDefault="00000000">
      <w:pPr>
        <w:spacing w:before="120" w:after="120" w:line="320" w:lineRule="auto"/>
      </w:pPr>
      <w:r>
        <w:t>Why a fast reader might miss it: the non-GAAP framework is stable year-over-year and investors anchor on it. The absolute SBC level (up from $437m to $473m) is easy to treat as background noise rather than a live economic question. (Source: non-GAAP reconciliation p. 49; stockholders' equity p. 58; balance sheet share count p. 56)</w:t>
      </w:r>
    </w:p>
    <w:p w14:paraId="1A122D49" w14:textId="77777777" w:rsidR="00062741" w:rsidRDefault="00000000">
      <w:pPr>
        <w:spacing w:before="160" w:after="60" w:line="320" w:lineRule="auto"/>
      </w:pPr>
      <w:r>
        <w:rPr>
          <w:rFonts w:ascii="Calibri" w:eastAsia="Calibri" w:hAnsi="Calibri" w:cs="Calibri"/>
          <w:b/>
          <w:bCs/>
        </w:rPr>
        <w:t>The CEO grant carries ~$22m/year amortization with the market gate already cleared</w:t>
      </w:r>
    </w:p>
    <w:p w14:paraId="46600C81" w14:textId="77777777" w:rsidR="00062741" w:rsidRDefault="00000000">
      <w:pPr>
        <w:spacing w:before="120" w:after="120" w:line="320" w:lineRule="auto"/>
      </w:pPr>
      <w:r>
        <w:t>Economically: the FY25 grant of 2,650,000 options at $236.90 with $172m grant-date fair value (Monte Carlo, 7.6-year expected term) is now committed economic expense through 2030 because the market condition has been achieved. Only time-based vesting remains — meaning the only thing that stops the amortization is Gassner leaving.</w:t>
      </w:r>
    </w:p>
    <w:p w14:paraId="6DCC9989" w14:textId="77777777" w:rsidR="00062741" w:rsidRDefault="00000000">
      <w:pPr>
        <w:spacing w:before="120" w:after="120" w:line="320" w:lineRule="auto"/>
      </w:pPr>
      <w:r>
        <w:t xml:space="preserve">Why </w:t>
      </w:r>
      <w:proofErr w:type="gramStart"/>
      <w:r>
        <w:t>a fast reader might</w:t>
      </w:r>
      <w:proofErr w:type="gramEnd"/>
      <w:r>
        <w:t xml:space="preserve"> miss it: the grant was made and first disclosed in FY25. Reading the FY26 filing, it is easy to treat it as already-in-the-run-rate without noticing that the market-condition achievement locked in the cost. The language "market condition has been achieved, but no time-based vesting milestone has been reached" is the disclosure pivot. (Source: Note 10 p. 76)</w:t>
      </w:r>
    </w:p>
    <w:p w14:paraId="5D2B1374" w14:textId="77777777" w:rsidR="00062741" w:rsidRDefault="00000000">
      <w:pPr>
        <w:spacing w:before="160" w:after="60" w:line="320" w:lineRule="auto"/>
      </w:pPr>
      <w:r>
        <w:rPr>
          <w:rFonts w:ascii="Calibri" w:eastAsia="Calibri" w:hAnsi="Calibri" w:cs="Calibri"/>
          <w:b/>
          <w:bCs/>
        </w:rPr>
        <w:t>The "non-recurring" $30.6m is the IQVIA litigation success fee</w:t>
      </w:r>
    </w:p>
    <w:p w14:paraId="58963E8D" w14:textId="77777777" w:rsidR="00062741" w:rsidRDefault="00000000">
      <w:pPr>
        <w:spacing w:before="120" w:after="120" w:line="320" w:lineRule="auto"/>
      </w:pPr>
      <w:r>
        <w:t xml:space="preserve">Economically: the August 2025 IQVIA settlement dismissed all claims with "neither party paid damages." But Veeva paid approximately $31m to its own law firms under partial contingency fee </w:t>
      </w:r>
      <w:r>
        <w:lastRenderedPageBreak/>
        <w:t>arrangements entitled to "a success fee if certain non-monetary outcomes are achieved." That same charge is the $30.6m "litigation settlement-related charges" excluded from non-GAAP operating income as non-recurring. It is the same event, disclosed in two places.</w:t>
      </w:r>
    </w:p>
    <w:p w14:paraId="16EA9944" w14:textId="77777777" w:rsidR="00062741" w:rsidRDefault="00000000">
      <w:pPr>
        <w:spacing w:before="120" w:after="120" w:line="320" w:lineRule="auto"/>
      </w:pPr>
      <w:r>
        <w:t xml:space="preserve">Why a fast reader might miss it: Note 13 (Commitments and Contingencies) describes the $31m law-firm payment; the non-GAAP reconciliation describes the $30.6m as "non-recurring and outside the ordinary course of business." The reader </w:t>
      </w:r>
      <w:proofErr w:type="gramStart"/>
      <w:r>
        <w:t>has to</w:t>
      </w:r>
      <w:proofErr w:type="gramEnd"/>
      <w:r>
        <w:t xml:space="preserve"> walk from one disclosure to the other to see that the amounts tie. The filing frames the dispute </w:t>
      </w:r>
      <w:proofErr w:type="spellStart"/>
      <w:r>
        <w:t>as</w:t>
      </w:r>
      <w:proofErr w:type="spellEnd"/>
      <w:r>
        <w:t xml:space="preserve"> resolved without </w:t>
      </w:r>
      <w:proofErr w:type="gramStart"/>
      <w:r>
        <w:t>damages</w:t>
      </w:r>
      <w:proofErr w:type="gramEnd"/>
      <w:r>
        <w:t>; it does not frame the law-firm payment as a cost of that resolution. (Source: Note 13 p. 78–79; non-GAAP definition and reconciliation p. 48–49)</w:t>
      </w:r>
    </w:p>
    <w:p w14:paraId="41068AB6" w14:textId="77777777" w:rsidR="00062741" w:rsidRDefault="00000000">
      <w:pPr>
        <w:pStyle w:val="Heading3"/>
        <w:spacing w:before="240" w:after="120" w:line="320" w:lineRule="auto"/>
      </w:pPr>
      <w:r>
        <w:rPr>
          <w:rFonts w:ascii="Calibri" w:eastAsia="Calibri" w:hAnsi="Calibri" w:cs="Calibri"/>
          <w:b/>
          <w:bCs/>
          <w:color w:val="1A1A1A"/>
        </w:rPr>
        <w:t>The OBBBA tax bridge — cash up, accrual up</w:t>
      </w:r>
    </w:p>
    <w:p w14:paraId="33044D1F" w14:textId="77777777" w:rsidR="00062741" w:rsidRDefault="00000000">
      <w:pPr>
        <w:spacing w:before="80" w:after="140"/>
      </w:pPr>
      <w:r>
        <w:rPr>
          <w:i/>
          <w:iCs/>
          <w:color w:val="6B6B6B"/>
        </w:rPr>
        <w:t>The One Big Beautiful Bill Act is delivering an estimated ~$92m cash-tax tailwind in FY26 and materially compressing the FDII benefit; the two signals point in opposite directions.</w:t>
      </w:r>
    </w:p>
    <w:p w14:paraId="470F7268" w14:textId="77777777" w:rsidR="00062741" w:rsidRDefault="00000000">
      <w:pPr>
        <w:spacing w:before="160" w:after="60" w:line="320" w:lineRule="auto"/>
      </w:pPr>
      <w:r>
        <w:rPr>
          <w:rFonts w:ascii="Calibri" w:eastAsia="Calibri" w:hAnsi="Calibri" w:cs="Calibri"/>
          <w:b/>
          <w:bCs/>
        </w:rPr>
        <w:t>FDII deduction benefit halved</w:t>
      </w:r>
    </w:p>
    <w:p w14:paraId="36A4D8F2" w14:textId="77777777" w:rsidR="00062741" w:rsidRDefault="00000000">
      <w:pPr>
        <w:spacing w:before="120" w:after="120" w:line="320" w:lineRule="auto"/>
      </w:pPr>
      <w:r>
        <w:t>Economically: FDII deduction benefit fell from $30.5m to $13.1m — a ~$17m headwind to net income, roughly two percentage points of pre-tax income. This is structural to how the OBBBA's accelerated R&amp;D deduction shrinks taxable income and therefore the FDII base.</w:t>
      </w:r>
    </w:p>
    <w:p w14:paraId="6D239B98" w14:textId="77777777" w:rsidR="00062741" w:rsidRDefault="00000000">
      <w:pPr>
        <w:spacing w:before="120" w:after="120" w:line="320" w:lineRule="auto"/>
      </w:pPr>
      <w:r>
        <w:t>Why a fast reader might miss it: the FY25 reconciliation appears in a legacy disclosure format (p. 71 lower table); the FY26 reconciliation is in ASU 2023-09 format (p. 71 upper table). A direct year-over-year comparison requires pulling line items from two different presentations. (Source: Note 7 p. 71)</w:t>
      </w:r>
    </w:p>
    <w:p w14:paraId="0A1514B4" w14:textId="77777777" w:rsidR="00062741" w:rsidRDefault="00000000">
      <w:pPr>
        <w:spacing w:before="160" w:after="60" w:line="320" w:lineRule="auto"/>
      </w:pPr>
      <w:r>
        <w:rPr>
          <w:rFonts w:ascii="Calibri" w:eastAsia="Calibri" w:hAnsi="Calibri" w:cs="Calibri"/>
          <w:b/>
          <w:bCs/>
        </w:rPr>
        <w:t>Cash taxes paid dropped $92m despite pre-tax income up ~30%</w:t>
      </w:r>
    </w:p>
    <w:p w14:paraId="65C7E1E1" w14:textId="77777777" w:rsidR="00062741" w:rsidRDefault="00000000">
      <w:pPr>
        <w:spacing w:before="120" w:after="120" w:line="320" w:lineRule="auto"/>
      </w:pPr>
      <w:r>
        <w:t xml:space="preserve">Economically: cash taxes paid fell from $322m to $230m. </w:t>
      </w:r>
      <w:proofErr w:type="gramStart"/>
      <w:r>
        <w:t>Pre-tax</w:t>
      </w:r>
      <w:proofErr w:type="gramEnd"/>
      <w:r>
        <w:t xml:space="preserve"> income rose from $919m to $1.19B. The mismatch is the OBBBA R&amp;D acceleration election and the restoration of immediate R&amp;D </w:t>
      </w:r>
      <w:proofErr w:type="gramStart"/>
      <w:r>
        <w:t>expensing</w:t>
      </w:r>
      <w:proofErr w:type="gramEnd"/>
      <w:r>
        <w:t xml:space="preserve">. The deferred tax </w:t>
      </w:r>
      <w:proofErr w:type="gramStart"/>
      <w:r>
        <w:t>asset</w:t>
      </w:r>
      <w:proofErr w:type="gramEnd"/>
      <w:r>
        <w:t xml:space="preserve"> for capitalized expenditures fell from $327m to $246m — the matching balance-sheet signal.</w:t>
      </w:r>
    </w:p>
    <w:p w14:paraId="40316030" w14:textId="77777777" w:rsidR="00062741" w:rsidRDefault="00000000">
      <w:pPr>
        <w:spacing w:before="120" w:after="120" w:line="320" w:lineRule="auto"/>
      </w:pPr>
      <w:r>
        <w:t xml:space="preserve">Why a fast reader might miss it: the cash tax reduction is disclosed only in the supplemental cash-flow information and the Note 7 ASU 2023-09 jurisdictional breakdown; the MD&amp;A narrative mentions OBBBA but does not quantify the cash benefit. Management says the OBBBA "is expected to increase our cash flows from operating activities in future periods, the amounts of which we are unable to estimate at this </w:t>
      </w:r>
      <w:proofErr w:type="gramStart"/>
      <w:r>
        <w:t>time" —</w:t>
      </w:r>
      <w:proofErr w:type="gramEnd"/>
      <w:r>
        <w:t xml:space="preserve"> a more cautious statement than the $92m FY26 improvement implies. (Source: Note 7 p. 72–73; MD&amp;A p. 50)</w:t>
      </w:r>
    </w:p>
    <w:p w14:paraId="4143D70C" w14:textId="77777777" w:rsidR="00062741" w:rsidRDefault="00000000">
      <w:pPr>
        <w:pStyle w:val="Heading2"/>
        <w:spacing w:before="320" w:after="160" w:line="320" w:lineRule="auto"/>
      </w:pPr>
      <w:r>
        <w:rPr>
          <w:rFonts w:ascii="Calibri" w:eastAsia="Calibri" w:hAnsi="Calibri" w:cs="Calibri"/>
          <w:b/>
          <w:bCs/>
          <w:color w:val="1A1A1A"/>
          <w:sz w:val="28"/>
          <w:szCs w:val="28"/>
        </w:rPr>
        <w:t>Earnings quality read</w:t>
      </w:r>
    </w:p>
    <w:p w14:paraId="629DB762" w14:textId="77777777" w:rsidR="00062741" w:rsidRDefault="00000000">
      <w:pPr>
        <w:spacing w:before="160" w:after="60" w:line="320" w:lineRule="auto"/>
      </w:pPr>
      <w:r>
        <w:rPr>
          <w:rFonts w:ascii="Calibri" w:eastAsia="Calibri" w:hAnsi="Calibri" w:cs="Calibri"/>
          <w:b/>
          <w:bCs/>
        </w:rPr>
        <w:lastRenderedPageBreak/>
        <w:t>What looks cleaner than reality</w:t>
      </w:r>
    </w:p>
    <w:p w14:paraId="57910424" w14:textId="77777777" w:rsidR="00062741" w:rsidRDefault="00000000">
      <w:pPr>
        <w:spacing w:before="60" w:after="60" w:line="300" w:lineRule="auto"/>
        <w:ind w:left="360" w:hanging="200"/>
      </w:pPr>
      <w:r>
        <w:t>— Non-GAAP operating margin of ~45% understates the economic dilution cost of $473m SBC and the $30.6m law-firm contingency fee.</w:t>
      </w:r>
    </w:p>
    <w:p w14:paraId="7158B53D" w14:textId="77777777" w:rsidR="00062741" w:rsidRDefault="00000000">
      <w:pPr>
        <w:spacing w:before="60" w:after="60" w:line="300" w:lineRule="auto"/>
        <w:ind w:left="360" w:hanging="200"/>
      </w:pPr>
      <w:r>
        <w:t>— Cash flow from operations of $1.42B is boosted by the OBBBA R&amp;D election — an estimated ~$92m tailwind that is non-recurring in its current catch-up form.</w:t>
      </w:r>
    </w:p>
    <w:p w14:paraId="732DCF08" w14:textId="77777777" w:rsidR="00062741" w:rsidRDefault="00000000">
      <w:pPr>
        <w:spacing w:before="60" w:after="60" w:line="300" w:lineRule="auto"/>
        <w:ind w:left="360" w:hanging="200"/>
      </w:pPr>
      <w:r>
        <w:t>— The "neither party paid damages" IQVIA narrative obscures that $31m of cash left the building to Veeva's own counsel as a success fee.</w:t>
      </w:r>
    </w:p>
    <w:p w14:paraId="3F6C5912" w14:textId="77777777" w:rsidR="00062741" w:rsidRDefault="00000000">
      <w:pPr>
        <w:spacing w:before="160" w:after="60" w:line="320" w:lineRule="auto"/>
      </w:pPr>
      <w:r>
        <w:rPr>
          <w:rFonts w:ascii="Calibri" w:eastAsia="Calibri" w:hAnsi="Calibri" w:cs="Calibri"/>
          <w:b/>
          <w:bCs/>
        </w:rPr>
        <w:t>What may be better than the headline</w:t>
      </w:r>
    </w:p>
    <w:p w14:paraId="3AA1E86C" w14:textId="77777777" w:rsidR="00062741" w:rsidRDefault="00000000">
      <w:pPr>
        <w:spacing w:before="60" w:after="60" w:line="300" w:lineRule="auto"/>
        <w:ind w:left="360" w:hanging="200"/>
      </w:pPr>
      <w:r>
        <w:t>— R&amp;D and Quality subscription growth of 21% on a $1.43B base is accelerating relative to the prior year, driven by expanding use by existing customers plus the inflation escalator — a stronger signal than the consolidated 16% revenue number suggests for the durable franchise.</w:t>
      </w:r>
    </w:p>
    <w:p w14:paraId="705E4BC0" w14:textId="77777777" w:rsidR="00062741" w:rsidRDefault="00000000">
      <w:pPr>
        <w:spacing w:before="60" w:after="60" w:line="300" w:lineRule="auto"/>
        <w:ind w:left="360" w:hanging="200"/>
      </w:pPr>
      <w:r>
        <w:t xml:space="preserve">— Deferred revenue grew 17% against subscription growth of </w:t>
      </w:r>
      <w:proofErr w:type="gramStart"/>
      <w:r>
        <w:t>17% —</w:t>
      </w:r>
      <w:proofErr w:type="gramEnd"/>
      <w:r>
        <w:t xml:space="preserve"> clean. No sign of billing pull-forward.</w:t>
      </w:r>
    </w:p>
    <w:p w14:paraId="6C8D00C1" w14:textId="77777777" w:rsidR="00062741" w:rsidRDefault="00000000">
      <w:pPr>
        <w:spacing w:before="60" w:after="60" w:line="300" w:lineRule="auto"/>
        <w:ind w:left="360" w:hanging="200"/>
      </w:pPr>
      <w:r>
        <w:t>— The $82m California R&amp;D credit carryforward is effectively permanent and supports the effective rate over time.</w:t>
      </w:r>
    </w:p>
    <w:p w14:paraId="7862DDA0" w14:textId="77777777" w:rsidR="00062741" w:rsidRDefault="00000000">
      <w:pPr>
        <w:spacing w:before="160" w:after="60" w:line="320" w:lineRule="auto"/>
      </w:pPr>
      <w:r>
        <w:rPr>
          <w:rFonts w:ascii="Calibri" w:eastAsia="Calibri" w:hAnsi="Calibri" w:cs="Calibri"/>
          <w:b/>
          <w:bCs/>
        </w:rPr>
        <w:t>What remains unclear</w:t>
      </w:r>
    </w:p>
    <w:p w14:paraId="03DD4A86" w14:textId="77777777" w:rsidR="00062741" w:rsidRDefault="00000000">
      <w:pPr>
        <w:spacing w:before="60" w:after="60" w:line="300" w:lineRule="auto"/>
        <w:ind w:left="360" w:hanging="200"/>
      </w:pPr>
      <w:r>
        <w:t>— How much of the 16% total revenue growth is the annual CPI escalator (capped at 4%) versus genuine seat and module expansion.</w:t>
      </w:r>
    </w:p>
    <w:p w14:paraId="5B80B2D9" w14:textId="77777777" w:rsidR="00062741" w:rsidRDefault="00000000">
      <w:pPr>
        <w:spacing w:before="60" w:after="60" w:line="300" w:lineRule="auto"/>
        <w:ind w:left="360" w:hanging="200"/>
      </w:pPr>
      <w:r>
        <w:t xml:space="preserve">— Which customer dropped below the 10% AR concentration threshold and whether the driver was payment timing, renewal timing, or a reduction in </w:t>
      </w:r>
      <w:proofErr w:type="gramStart"/>
      <w:r>
        <w:t>spend</w:t>
      </w:r>
      <w:proofErr w:type="gramEnd"/>
      <w:r>
        <w:t>.</w:t>
      </w:r>
    </w:p>
    <w:p w14:paraId="735A0333" w14:textId="77777777" w:rsidR="00062741" w:rsidRDefault="00000000">
      <w:pPr>
        <w:spacing w:before="60" w:after="60" w:line="300" w:lineRule="auto"/>
        <w:ind w:left="360" w:hanging="200"/>
      </w:pPr>
      <w:r>
        <w:t xml:space="preserve">— The dollar magnitude of Salesforce-platform CRM revenue inside Commercial </w:t>
      </w:r>
      <w:proofErr w:type="gramStart"/>
      <w:r>
        <w:t>Solutions — the number</w:t>
      </w:r>
      <w:proofErr w:type="gramEnd"/>
      <w:r>
        <w:t xml:space="preserve"> is not disclosed at any level of segmentation.</w:t>
      </w:r>
    </w:p>
    <w:p w14:paraId="5F39A998" w14:textId="77777777" w:rsidR="00062741" w:rsidRDefault="00000000">
      <w:pPr>
        <w:spacing w:before="60" w:after="60" w:line="300" w:lineRule="auto"/>
        <w:ind w:left="360" w:hanging="200"/>
      </w:pPr>
      <w:r>
        <w:t>— The ongoing financial exposure to the non-practicing-entity patent claim still flagged in risk factors ("we are aware of a non-practicing entity alleging that we infringed its patents").</w:t>
      </w:r>
    </w:p>
    <w:p w14:paraId="422C25FA" w14:textId="77777777" w:rsidR="00062741" w:rsidRDefault="00000000">
      <w:pPr>
        <w:pStyle w:val="Heading2"/>
        <w:spacing w:before="320" w:after="160" w:line="320" w:lineRule="auto"/>
      </w:pPr>
      <w:r>
        <w:rPr>
          <w:rFonts w:ascii="Calibri" w:eastAsia="Calibri" w:hAnsi="Calibri" w:cs="Calibri"/>
          <w:b/>
          <w:bCs/>
          <w:color w:val="1A1A1A"/>
          <w:sz w:val="28"/>
          <w:szCs w:val="28"/>
        </w:rPr>
        <w:t>Cash-flow reality</w:t>
      </w:r>
    </w:p>
    <w:p w14:paraId="32B9C808" w14:textId="77777777" w:rsidR="00062741" w:rsidRDefault="00000000">
      <w:pPr>
        <w:spacing w:before="120" w:after="120" w:line="320" w:lineRule="auto"/>
      </w:pPr>
      <w:r>
        <w:t>OBBBA R&amp;</w:t>
      </w:r>
      <w:proofErr w:type="gramStart"/>
      <w:r>
        <w:t>D expensing</w:t>
      </w:r>
      <w:proofErr w:type="gramEnd"/>
      <w:r>
        <w:t xml:space="preserve"> is delivering a real cash tailwind (~$92m in FY26). Strip it out and operating cash flow is growing broadly in line with GAAP operating income, not faster. The subscription business still prints cash; the incremental cash this year came disproportionately from the tax law, not the operating business.</w:t>
      </w:r>
    </w:p>
    <w:p w14:paraId="1C3B9714" w14:textId="77777777" w:rsidR="00062741" w:rsidRDefault="00000000">
      <w:pPr>
        <w:pStyle w:val="Heading2"/>
        <w:spacing w:before="320" w:after="160" w:line="320" w:lineRule="auto"/>
      </w:pPr>
      <w:r>
        <w:rPr>
          <w:rFonts w:ascii="Calibri" w:eastAsia="Calibri" w:hAnsi="Calibri" w:cs="Calibri"/>
          <w:b/>
          <w:bCs/>
          <w:color w:val="1A1A1A"/>
          <w:sz w:val="28"/>
          <w:szCs w:val="28"/>
        </w:rPr>
        <w:t>Balance-sheet reality</w:t>
      </w:r>
    </w:p>
    <w:p w14:paraId="351F8846" w14:textId="77777777" w:rsidR="00062741" w:rsidRDefault="00000000">
      <w:pPr>
        <w:spacing w:before="120" w:after="120" w:line="320" w:lineRule="auto"/>
      </w:pPr>
      <w:r>
        <w:t>$6.6B of cash and short-term investments dominates the $9.0B balance sheet. Everything else — goodwill ($440m), PP&amp;E ($70m), intangibles ($30</w:t>
      </w:r>
      <w:proofErr w:type="gramStart"/>
      <w:r>
        <w:t>m) —</w:t>
      </w:r>
      <w:proofErr w:type="gramEnd"/>
      <w:r>
        <w:t xml:space="preserve"> </w:t>
      </w:r>
      <w:proofErr w:type="gramStart"/>
      <w:r>
        <w:t>is</w:t>
      </w:r>
      <w:proofErr w:type="gramEnd"/>
      <w:r>
        <w:t xml:space="preserve"> small and stable. Real operating leverage lives in the income statement. The $2B January 2026 buyback authorization is ~30% of the cash </w:t>
      </w:r>
      <w:r>
        <w:lastRenderedPageBreak/>
        <w:t>pile; at the $180m executed at an average $224.43, management has plenty of room to accelerate or hold back as it prefers.</w:t>
      </w:r>
    </w:p>
    <w:p w14:paraId="15BBAD24" w14:textId="77777777" w:rsidR="00062741" w:rsidRDefault="00000000">
      <w:pPr>
        <w:pStyle w:val="Heading2"/>
        <w:spacing w:before="320" w:after="160" w:line="320" w:lineRule="auto"/>
      </w:pPr>
      <w:r>
        <w:rPr>
          <w:rFonts w:ascii="Calibri" w:eastAsia="Calibri" w:hAnsi="Calibri" w:cs="Calibri"/>
          <w:b/>
          <w:bCs/>
          <w:color w:val="1A1A1A"/>
          <w:sz w:val="28"/>
          <w:szCs w:val="28"/>
        </w:rPr>
        <w:t>Follow-up questions</w:t>
      </w:r>
    </w:p>
    <w:p w14:paraId="5BEDEB09" w14:textId="77777777" w:rsidR="00062741" w:rsidRDefault="00000000">
      <w:pPr>
        <w:pStyle w:val="ListParagraph"/>
        <w:numPr>
          <w:ilvl w:val="0"/>
          <w:numId w:val="2"/>
        </w:numPr>
        <w:spacing w:before="80" w:after="80" w:line="300" w:lineRule="auto"/>
      </w:pPr>
      <w:r>
        <w:t>What share of Commercial Solutions subscription revenue today is Veeva CRM on the Salesforce platform versus Vault CRM?</w:t>
      </w:r>
    </w:p>
    <w:p w14:paraId="515E9182" w14:textId="77777777" w:rsidR="00062741" w:rsidRDefault="00000000">
      <w:pPr>
        <w:pStyle w:val="ListParagraph"/>
        <w:numPr>
          <w:ilvl w:val="0"/>
          <w:numId w:val="2"/>
        </w:numPr>
        <w:spacing w:before="80" w:after="80" w:line="300" w:lineRule="auto"/>
      </w:pPr>
      <w:r>
        <w:t>How many customers have migrated to Vault CRM to date, and what is the attrition rate to Salesforce's own CRM from that base?</w:t>
      </w:r>
    </w:p>
    <w:p w14:paraId="34010EE1" w14:textId="77777777" w:rsidR="00062741" w:rsidRDefault="00000000">
      <w:pPr>
        <w:pStyle w:val="ListParagraph"/>
        <w:numPr>
          <w:ilvl w:val="0"/>
          <w:numId w:val="2"/>
        </w:numPr>
        <w:spacing w:before="80" w:after="80" w:line="300" w:lineRule="auto"/>
      </w:pPr>
      <w:r>
        <w:t>What revenue would be at risk if every existing customer renewed at exactly 150% of their September 2025 seat count (the maximum allowed under the wind-down)?</w:t>
      </w:r>
    </w:p>
    <w:p w14:paraId="27A4A1BC" w14:textId="77777777" w:rsidR="00062741" w:rsidRDefault="00000000">
      <w:pPr>
        <w:pStyle w:val="ListParagraph"/>
        <w:numPr>
          <w:ilvl w:val="0"/>
          <w:numId w:val="2"/>
        </w:numPr>
        <w:spacing w:before="80" w:after="80" w:line="300" w:lineRule="auto"/>
      </w:pPr>
      <w:r>
        <w:t xml:space="preserve">Which customer fell from 10.1% of AR to below 10% in FY26, and was the drop driven by payment timing, renewal timing, or a reduction in </w:t>
      </w:r>
      <w:proofErr w:type="gramStart"/>
      <w:r>
        <w:t>spend</w:t>
      </w:r>
      <w:proofErr w:type="gramEnd"/>
      <w:r>
        <w:t>?</w:t>
      </w:r>
    </w:p>
    <w:p w14:paraId="71DD7486" w14:textId="77777777" w:rsidR="00062741" w:rsidRDefault="00000000">
      <w:pPr>
        <w:pStyle w:val="ListParagraph"/>
        <w:numPr>
          <w:ilvl w:val="0"/>
          <w:numId w:val="2"/>
        </w:numPr>
        <w:spacing w:before="80" w:after="80" w:line="300" w:lineRule="auto"/>
      </w:pPr>
      <w:r>
        <w:t>How much of the AR growth (24% vs 16% revenue growth) is accounted for by billing-frequency or renewal-date shifts versus genuine DSO extension?</w:t>
      </w:r>
    </w:p>
    <w:p w14:paraId="57CC209B" w14:textId="77777777" w:rsidR="00062741" w:rsidRDefault="00000000">
      <w:pPr>
        <w:pStyle w:val="ListParagraph"/>
        <w:numPr>
          <w:ilvl w:val="0"/>
          <w:numId w:val="2"/>
        </w:numPr>
        <w:spacing w:before="80" w:after="80" w:line="300" w:lineRule="auto"/>
      </w:pPr>
      <w:r>
        <w:t>What is the expected run-rate cash tax benefit from the OBBBA R&amp;D acceleration after the two-year catch-up ends?</w:t>
      </w:r>
    </w:p>
    <w:p w14:paraId="4D0BB1C0" w14:textId="77777777" w:rsidR="00062741" w:rsidRDefault="00000000">
      <w:pPr>
        <w:pStyle w:val="ListParagraph"/>
        <w:numPr>
          <w:ilvl w:val="0"/>
          <w:numId w:val="2"/>
        </w:numPr>
        <w:spacing w:before="80" w:after="80" w:line="300" w:lineRule="auto"/>
      </w:pPr>
      <w:r>
        <w:t>What is the estimated annual LLM/token cost run-rate for Veeva AI, and how is it passed through to customers in pricing?</w:t>
      </w:r>
    </w:p>
    <w:p w14:paraId="54AEEB9D" w14:textId="77777777" w:rsidR="00062741" w:rsidRDefault="00000000">
      <w:pPr>
        <w:pStyle w:val="ListParagraph"/>
        <w:numPr>
          <w:ilvl w:val="0"/>
          <w:numId w:val="2"/>
        </w:numPr>
        <w:spacing w:before="80" w:after="80" w:line="300" w:lineRule="auto"/>
      </w:pPr>
      <w:r>
        <w:t>What was the specific non-monetary outcome of the IQVIA litigation that triggered the $31m success fee to outside counsel?</w:t>
      </w:r>
    </w:p>
    <w:p w14:paraId="5591D035" w14:textId="77777777" w:rsidR="00062741" w:rsidRDefault="00000000">
      <w:pPr>
        <w:pStyle w:val="ListParagraph"/>
        <w:numPr>
          <w:ilvl w:val="0"/>
          <w:numId w:val="2"/>
        </w:numPr>
        <w:spacing w:before="80" w:after="80" w:line="300" w:lineRule="auto"/>
      </w:pPr>
      <w:r>
        <w:t>How many EU customers have indicated they intend to exercise Data Act termination rights, and what is the aggregate subscription value at stake?</w:t>
      </w:r>
    </w:p>
    <w:p w14:paraId="55ED69DA" w14:textId="77777777" w:rsidR="00062741" w:rsidRDefault="00000000">
      <w:pPr>
        <w:pStyle w:val="ListParagraph"/>
        <w:numPr>
          <w:ilvl w:val="0"/>
          <w:numId w:val="2"/>
        </w:numPr>
        <w:spacing w:before="80" w:after="80" w:line="300" w:lineRule="auto"/>
      </w:pPr>
      <w:r>
        <w:t>What is management's target Vault CRM ARR by September 2030, and what residual Salesforce-platform revenue is assumed at that point?</w:t>
      </w:r>
    </w:p>
    <w:p w14:paraId="1002BFEB" w14:textId="77777777" w:rsidR="00062741" w:rsidRDefault="00000000">
      <w:pPr>
        <w:pStyle w:val="ListParagraph"/>
        <w:numPr>
          <w:ilvl w:val="0"/>
          <w:numId w:val="2"/>
        </w:numPr>
        <w:spacing w:before="80" w:after="80" w:line="300" w:lineRule="auto"/>
      </w:pPr>
      <w:r>
        <w:t>Does the Ostro acquisition involve contingent consideration tied to performance milestones, or is the retention entirely in equity?</w:t>
      </w:r>
    </w:p>
    <w:p w14:paraId="5489472D" w14:textId="77777777" w:rsidR="00062741" w:rsidRDefault="00000000">
      <w:pPr>
        <w:pStyle w:val="ListParagraph"/>
        <w:numPr>
          <w:ilvl w:val="0"/>
          <w:numId w:val="2"/>
        </w:numPr>
        <w:spacing w:before="80" w:after="80" w:line="300" w:lineRule="auto"/>
      </w:pPr>
      <w:r>
        <w:t>Given Gassner's market condition has been achieved, what retention arrangement covers the period from any departure through 2030?</w:t>
      </w:r>
    </w:p>
    <w:p w14:paraId="317C7B04" w14:textId="77777777" w:rsidR="00062741" w:rsidRDefault="00000000">
      <w:pPr>
        <w:pStyle w:val="Heading2"/>
        <w:spacing w:before="320" w:after="160" w:line="320" w:lineRule="auto"/>
      </w:pPr>
      <w:r>
        <w:rPr>
          <w:rFonts w:ascii="Calibri" w:eastAsia="Calibri" w:hAnsi="Calibri" w:cs="Calibri"/>
          <w:b/>
          <w:bCs/>
          <w:color w:val="1A1A1A"/>
          <w:sz w:val="28"/>
          <w:szCs w:val="28"/>
        </w:rPr>
        <w:t>Close</w:t>
      </w:r>
    </w:p>
    <w:p w14:paraId="0F8810FD" w14:textId="77777777" w:rsidR="00062741" w:rsidRDefault="00000000">
      <w:pPr>
        <w:spacing w:before="120" w:after="120" w:line="320" w:lineRule="auto"/>
      </w:pPr>
      <w:r>
        <w:t xml:space="preserve">Once the non-GAAP frame is stripped and the Salesforce wind-down is acknowledged as a calendar-dated constraint rather than an abstract risk, Veeva's FY26 shows a business where the R&amp;D and Quality franchise is earning its compounder status; the Commercial Solutions business is navigating a codified five-year transition with known cliff risk; and reported earnings benefit from a tax-law </w:t>
      </w:r>
      <w:r>
        <w:lastRenderedPageBreak/>
        <w:t>tailwind management has not quantified separately. The filing does not hide any of this. It does not foreground it either.</w:t>
      </w:r>
    </w:p>
    <w:p w14:paraId="720066CA" w14:textId="77777777" w:rsidR="00062741" w:rsidRDefault="00000000">
      <w:pPr>
        <w:pBdr>
          <w:top w:val="single" w:sz="6" w:space="6" w:color="6B6B6B"/>
        </w:pBdr>
        <w:spacing w:before="360"/>
      </w:pPr>
      <w:r>
        <w:rPr>
          <w:rFonts w:ascii="Calibri" w:eastAsia="Calibri" w:hAnsi="Calibri" w:cs="Calibri"/>
          <w:i/>
          <w:iCs/>
          <w:color w:val="6B6B6B"/>
          <w:sz w:val="18"/>
          <w:szCs w:val="18"/>
        </w:rPr>
        <w:t xml:space="preserve">Analytical framework, not investment advice. Source-locked to Veeva Systems Inc. Form 10-K for fiscal year ended January 31, </w:t>
      </w:r>
      <w:proofErr w:type="gramStart"/>
      <w:r>
        <w:rPr>
          <w:rFonts w:ascii="Calibri" w:eastAsia="Calibri" w:hAnsi="Calibri" w:cs="Calibri"/>
          <w:i/>
          <w:iCs/>
          <w:color w:val="6B6B6B"/>
          <w:sz w:val="18"/>
          <w:szCs w:val="18"/>
        </w:rPr>
        <w:t>2026</w:t>
      </w:r>
      <w:proofErr w:type="gramEnd"/>
      <w:r>
        <w:rPr>
          <w:rFonts w:ascii="Calibri" w:eastAsia="Calibri" w:hAnsi="Calibri" w:cs="Calibri"/>
          <w:i/>
          <w:iCs/>
          <w:color w:val="6B6B6B"/>
          <w:sz w:val="18"/>
          <w:szCs w:val="18"/>
        </w:rPr>
        <w:t xml:space="preserve"> as provided. Prepared April 19, 2026.</w:t>
      </w:r>
    </w:p>
    <w:sectPr w:rsidR="0006274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A285A"/>
    <w:multiLevelType w:val="hybridMultilevel"/>
    <w:tmpl w:val="CC22F0C8"/>
    <w:lvl w:ilvl="0" w:tplc="CA20A1CA">
      <w:start w:val="1"/>
      <w:numFmt w:val="bullet"/>
      <w:lvlText w:val="●"/>
      <w:lvlJc w:val="left"/>
      <w:pPr>
        <w:ind w:left="720" w:hanging="360"/>
      </w:pPr>
    </w:lvl>
    <w:lvl w:ilvl="1" w:tplc="61126EC6">
      <w:start w:val="1"/>
      <w:numFmt w:val="bullet"/>
      <w:lvlText w:val="○"/>
      <w:lvlJc w:val="left"/>
      <w:pPr>
        <w:ind w:left="1440" w:hanging="360"/>
      </w:pPr>
    </w:lvl>
    <w:lvl w:ilvl="2" w:tplc="0D3AA9AE">
      <w:start w:val="1"/>
      <w:numFmt w:val="bullet"/>
      <w:lvlText w:val="■"/>
      <w:lvlJc w:val="left"/>
      <w:pPr>
        <w:ind w:left="2160" w:hanging="360"/>
      </w:pPr>
    </w:lvl>
    <w:lvl w:ilvl="3" w:tplc="1F382CF8">
      <w:start w:val="1"/>
      <w:numFmt w:val="bullet"/>
      <w:lvlText w:val="●"/>
      <w:lvlJc w:val="left"/>
      <w:pPr>
        <w:ind w:left="2880" w:hanging="360"/>
      </w:pPr>
    </w:lvl>
    <w:lvl w:ilvl="4" w:tplc="9E84D468">
      <w:start w:val="1"/>
      <w:numFmt w:val="bullet"/>
      <w:lvlText w:val="○"/>
      <w:lvlJc w:val="left"/>
      <w:pPr>
        <w:ind w:left="3600" w:hanging="360"/>
      </w:pPr>
    </w:lvl>
    <w:lvl w:ilvl="5" w:tplc="1B8ACFCA">
      <w:start w:val="1"/>
      <w:numFmt w:val="bullet"/>
      <w:lvlText w:val="■"/>
      <w:lvlJc w:val="left"/>
      <w:pPr>
        <w:ind w:left="4320" w:hanging="360"/>
      </w:pPr>
    </w:lvl>
    <w:lvl w:ilvl="6" w:tplc="FF8E6F6A">
      <w:start w:val="1"/>
      <w:numFmt w:val="bullet"/>
      <w:lvlText w:val="●"/>
      <w:lvlJc w:val="left"/>
      <w:pPr>
        <w:ind w:left="5040" w:hanging="360"/>
      </w:pPr>
    </w:lvl>
    <w:lvl w:ilvl="7" w:tplc="96D4DBC6">
      <w:start w:val="1"/>
      <w:numFmt w:val="bullet"/>
      <w:lvlText w:val="●"/>
      <w:lvlJc w:val="left"/>
      <w:pPr>
        <w:ind w:left="5760" w:hanging="360"/>
      </w:pPr>
    </w:lvl>
    <w:lvl w:ilvl="8" w:tplc="CC1E3642">
      <w:start w:val="1"/>
      <w:numFmt w:val="bullet"/>
      <w:lvlText w:val="●"/>
      <w:lvlJc w:val="left"/>
      <w:pPr>
        <w:ind w:left="6480" w:hanging="360"/>
      </w:pPr>
    </w:lvl>
  </w:abstractNum>
  <w:abstractNum w:abstractNumId="1" w15:restartNumberingAfterBreak="0">
    <w:nsid w:val="7CC86987"/>
    <w:multiLevelType w:val="hybridMultilevel"/>
    <w:tmpl w:val="4792328C"/>
    <w:lvl w:ilvl="0" w:tplc="B02C27BC">
      <w:start w:val="1"/>
      <w:numFmt w:val="decimal"/>
      <w:lvlText w:val="%1."/>
      <w:lvlJc w:val="left"/>
      <w:pPr>
        <w:ind w:left="560" w:hanging="360"/>
      </w:pPr>
    </w:lvl>
    <w:lvl w:ilvl="1" w:tplc="B7FE2C64">
      <w:numFmt w:val="decimal"/>
      <w:lvlText w:val=""/>
      <w:lvlJc w:val="left"/>
    </w:lvl>
    <w:lvl w:ilvl="2" w:tplc="5AD8977E">
      <w:numFmt w:val="decimal"/>
      <w:lvlText w:val=""/>
      <w:lvlJc w:val="left"/>
    </w:lvl>
    <w:lvl w:ilvl="3" w:tplc="2D1CD9B0">
      <w:numFmt w:val="decimal"/>
      <w:lvlText w:val=""/>
      <w:lvlJc w:val="left"/>
    </w:lvl>
    <w:lvl w:ilvl="4" w:tplc="DDB025E0">
      <w:numFmt w:val="decimal"/>
      <w:lvlText w:val=""/>
      <w:lvlJc w:val="left"/>
    </w:lvl>
    <w:lvl w:ilvl="5" w:tplc="74F43006">
      <w:numFmt w:val="decimal"/>
      <w:lvlText w:val=""/>
      <w:lvlJc w:val="left"/>
    </w:lvl>
    <w:lvl w:ilvl="6" w:tplc="CF5EE6FA">
      <w:numFmt w:val="decimal"/>
      <w:lvlText w:val=""/>
      <w:lvlJc w:val="left"/>
    </w:lvl>
    <w:lvl w:ilvl="7" w:tplc="BA165456">
      <w:numFmt w:val="decimal"/>
      <w:lvlText w:val=""/>
      <w:lvlJc w:val="left"/>
    </w:lvl>
    <w:lvl w:ilvl="8" w:tplc="BB6EE076">
      <w:numFmt w:val="decimal"/>
      <w:lvlText w:val=""/>
      <w:lvlJc w:val="left"/>
    </w:lvl>
  </w:abstractNum>
  <w:num w:numId="1" w16cid:durableId="1112015577">
    <w:abstractNumId w:val="0"/>
    <w:lvlOverride w:ilvl="0">
      <w:startOverride w:val="1"/>
    </w:lvlOverride>
  </w:num>
  <w:num w:numId="2" w16cid:durableId="845011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741"/>
    <w:rsid w:val="00062741"/>
    <w:rsid w:val="007119A6"/>
    <w:rsid w:val="007C4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33CD6"/>
  <w15:docId w15:val="{70BDD9A3-2936-40B2-A9E0-FD23302AB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3813</Words>
  <Characters>20568</Characters>
  <Application>Microsoft Office Word</Application>
  <DocSecurity>0</DocSecurity>
  <Lines>328</Lines>
  <Paragraphs>138</Paragraphs>
  <ScaleCrop>false</ScaleCrop>
  <Company/>
  <LinksUpToDate>false</LinksUpToDate>
  <CharactersWithSpaces>24308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Veeva Systems Form 10-K — Filing Reality Check</dc:title>
  <dc:creator>Filing Reality Check</dc:creator>
  <cp:lastModifiedBy>ampsson ampsson</cp:lastModifiedBy>
  <cp:revision>2</cp:revision>
  <dcterms:created xsi:type="dcterms:W3CDTF">2026-04-19T20:58:00Z</dcterms:created>
  <dcterms:modified xsi:type="dcterms:W3CDTF">2026-04-19T20:58:00Z</dcterms:modified>
</cp:coreProperties>
</file>