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F3864"/>
          <w:sz w:val="44"/>
          <w:szCs w:val="44"/>
        </w:rPr>
        <w:t xml:space="preserve">THE 3+1 FILTER™</w:t>
      </w:r>
    </w:p>
    <w:p>
      <w:pPr>
        <w:spacing w:after="60" w:before="0"/>
        <w:jc w:val="center"/>
      </w:pPr>
      <w:r>
        <w:rPr>
          <w:rFonts w:ascii="Arial" w:cs="Arial" w:eastAsia="Arial" w:hAnsi="Arial"/>
          <w:color w:val="2E75B6"/>
          <w:sz w:val="28"/>
          <w:szCs w:val="28"/>
        </w:rPr>
        <w:t xml:space="preserve">Pre-Revenue Biotech Investment Analysis</w:t>
      </w:r>
    </w:p>
    <w:p>
      <w:pPr>
        <w:spacing w:after="200" w:before="0"/>
        <w:jc w:val="center"/>
      </w:pPr>
      <w:r>
        <w:rPr>
          <w:rFonts w:ascii="Arial" w:cs="Arial" w:eastAsia="Arial" w:hAnsi="Arial"/>
          <w:color w:val="555555"/>
          <w:sz w:val="22"/>
          <w:szCs w:val="22"/>
        </w:rPr>
        <w:t xml:space="preserve">Cogent Biosciences, Inc.  (NASDAQ: COGT)  |  March 21,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120"/>
              <w:left w:type="dxa" w:w="160"/>
              <w:bottom w:type="dxa" w:w="120"/>
              <w:right w:type="dxa" w:w="160"/>
            </w:tcMar>
          </w:tcPr>
          <w:p>
            <w:r>
              <w:rPr>
                <w:rFonts w:ascii="Arial" w:cs="Arial" w:eastAsia="Arial" w:hAnsi="Arial"/>
                <w:b/>
                <w:bCs/>
                <w:color w:val="AAAAAA"/>
                <w:sz w:val="18"/>
                <w:szCs w:val="18"/>
              </w:rPr>
              <w:t xml:space="preserve">COMPANY SNAPSHOT</w:t>
            </w:r>
          </w:p>
          <w:p>
            <w:pPr>
              <w:spacing w:after="10" w:before="60"/>
            </w:pPr>
            <w:r>
              <w:rPr>
                <w:rFonts w:ascii="Arial" w:cs="Arial" w:eastAsia="Arial" w:hAnsi="Arial"/>
                <w:color w:val="FFFFFF"/>
                <w:sz w:val="18"/>
                <w:szCs w:val="18"/>
              </w:rPr>
              <w:t xml:space="preserve">Ticker: COGT  |  Exchange: NASDAQ</w:t>
            </w:r>
          </w:p>
          <w:p>
            <w:pPr>
              <w:spacing w:after="10" w:before="10"/>
            </w:pPr>
            <w:r>
              <w:rPr>
                <w:rFonts w:ascii="Arial" w:cs="Arial" w:eastAsia="Arial" w:hAnsi="Arial"/>
                <w:color w:val="FFFFFF"/>
                <w:sz w:val="18"/>
                <w:szCs w:val="18"/>
              </w:rPr>
              <w:t xml:space="preserve">Lead asset: Bezuclastinib (KIT D816V inhibitor)</w:t>
            </w:r>
          </w:p>
          <w:p>
            <w:pPr>
              <w:spacing w:after="10" w:before="10"/>
            </w:pPr>
            <w:r>
              <w:rPr>
                <w:rFonts w:ascii="Arial" w:cs="Arial" w:eastAsia="Arial" w:hAnsi="Arial"/>
                <w:color w:val="FFFFFF"/>
                <w:sz w:val="18"/>
                <w:szCs w:val="18"/>
              </w:rPr>
              <w:t xml:space="preserve">Programs: NonAdvSM / GIST / AdvSM — 3 NDA filings in 2026</w:t>
            </w:r>
          </w:p>
          <w:p>
            <w:pPr>
              <w:spacing w:after="10" w:before="10"/>
            </w:pPr>
            <w:r>
              <w:rPr>
                <w:rFonts w:ascii="Arial" w:cs="Arial" w:eastAsia="Arial" w:hAnsi="Arial"/>
                <w:color w:val="FFFFFF"/>
                <w:sz w:val="18"/>
                <w:szCs w:val="18"/>
              </w:rPr>
              <w:t xml:space="preserve">Stage: Pre-revenue; first PDUFA Dec 30, 2026</w:t>
            </w:r>
          </w:p>
          <w:p>
            <w:pPr>
              <w:spacing w:after="10" w:before="10"/>
            </w:pPr>
            <w:r>
              <w:rPr>
                <w:rFonts w:ascii="Arial" w:cs="Arial" w:eastAsia="Arial" w:hAnsi="Arial"/>
                <w:color w:val="FFFFFF"/>
                <w:sz w:val="18"/>
                <w:szCs w:val="18"/>
              </w:rPr>
              <w:t xml:space="preserve">Cash: $901M (Dec 31, 2025); runway into 2028</w:t>
            </w:r>
          </w:p>
          <w:p>
            <w:pPr>
              <w:spacing w:after="10" w:before="10"/>
            </w:pPr>
            <w:r>
              <w:rPr>
                <w:rFonts w:ascii="Arial" w:cs="Arial" w:eastAsia="Arial" w:hAnsi="Arial"/>
                <w:color w:val="FFDD88"/>
                <w:sz w:val="18"/>
                <w:szCs w:val="18"/>
              </w:rPr>
              <w:t xml:space="preserve">Current price: ~$34.56  |  Analyst consensus: $28.08</w:t>
            </w:r>
          </w:p>
          <w:p>
            <w:pPr>
              <w:spacing w:after="0" w:before="10"/>
            </w:pPr>
            <w:r>
              <w:rPr>
                <w:rFonts w:ascii="Arial" w:cs="Arial" w:eastAsia="Arial" w:hAnsi="Arial"/>
                <w:color w:val="FFAA88"/>
                <w:sz w:val="18"/>
                <w:szCs w:val="18"/>
              </w:rPr>
              <w:t xml:space="preserve">52-wk performance: +372% YoY  |  +120% on PEAK Phase 3</w:t>
            </w:r>
          </w:p>
        </w:tc>
        <w:tc>
          <w:tcPr>
            <w:tcW w:type="dxa" w:w="4680"/>
            <w:tcBorders>
              <w:top w:val="single" w:color="CCCCCC" w:sz="1"/>
              <w:left w:val="single" w:color="CCCCCC" w:sz="1"/>
              <w:bottom w:val="single" w:color="CCCCCC" w:sz="1"/>
              <w:right w:val="single" w:color="CCCCCC" w:sz="1"/>
            </w:tcBorders>
            <w:shd w:fill="E8F4FD" w:val="clear"/>
            <w:tcMar>
              <w:top w:type="dxa" w:w="120"/>
              <w:left w:type="dxa" w:w="160"/>
              <w:bottom w:type="dxa" w:w="120"/>
              <w:right w:type="dxa" w:w="160"/>
            </w:tcMar>
          </w:tcPr>
          <w:p>
            <w:r>
              <w:rPr>
                <w:rFonts w:ascii="Arial" w:cs="Arial" w:eastAsia="Arial" w:hAnsi="Arial"/>
                <w:b/>
                <w:bCs/>
                <w:color w:val="888888"/>
                <w:sz w:val="18"/>
                <w:szCs w:val="18"/>
              </w:rPr>
              <w:t xml:space="preserve">VERDICT</w:t>
            </w:r>
          </w:p>
          <w:p>
            <w:pPr>
              <w:spacing w:after="20" w:before="60"/>
            </w:pPr>
            <w:r>
              <w:rPr>
                <w:rFonts w:ascii="Arial" w:cs="Arial" w:eastAsia="Arial" w:hAnsi="Arial"/>
                <w:b/>
                <w:bCs/>
                <w:color w:val="1F3864"/>
                <w:sz w:val="24"/>
                <w:szCs w:val="24"/>
              </w:rPr>
              <w:t xml:space="preserve">Composite Score:  4.1 / 5.0</w:t>
            </w:r>
          </w:p>
          <w:p>
            <w:pPr>
              <w:spacing w:after="20" w:before="20"/>
            </w:pPr>
            <w:r>
              <w:rPr>
                <w:rFonts w:ascii="Arial" w:cs="Arial" w:eastAsia="Arial" w:hAnsi="Arial"/>
                <w:b/>
                <w:bCs/>
                <w:color w:val="375623"/>
                <w:sz w:val="20"/>
                <w:szCs w:val="20"/>
              </w:rPr>
              <w:t xml:space="preserve">Enablers Gate:  ✓ FULL PASS (all 4 green)</w:t>
            </w:r>
          </w:p>
          <w:p>
            <w:pPr>
              <w:spacing w:after="20" w:before="20"/>
            </w:pPr>
            <w:r>
              <w:rPr>
                <w:rFonts w:ascii="Arial" w:cs="Arial" w:eastAsia="Arial" w:hAnsi="Arial"/>
                <w:b/>
                <w:bCs/>
                <w:color w:val="375623"/>
                <w:sz w:val="22"/>
                <w:szCs w:val="22"/>
              </w:rPr>
              <w:t xml:space="preserve">Framework (raw):  GO (CORE) 2–4%</w:t>
            </w:r>
          </w:p>
          <w:p>
            <w:pPr>
              <w:shd w:fill="FFF2CC" w:val="clear"/>
              <w:spacing w:after="20" w:before="20"/>
            </w:pPr>
            <w:r>
              <w:rPr>
                <w:rFonts w:ascii="Arial" w:cs="Arial" w:eastAsia="Arial" w:hAnsi="Arial"/>
                <w:b/>
                <w:bCs/>
                <w:color w:val="843C0C"/>
                <w:sz w:val="20"/>
                <w:szCs w:val="20"/>
              </w:rPr>
              <w:t xml:space="preserve">⚠ After Valuation Modifier:  GO (STARTER) 0.5–1.5%</w:t>
            </w:r>
          </w:p>
          <w:p>
            <w:pPr>
              <w:spacing w:after="10" w:before="20"/>
            </w:pPr>
            <w:r>
              <w:rPr>
                <w:rFonts w:ascii="Arial" w:cs="Arial" w:eastAsia="Arial" w:hAnsi="Arial"/>
                <w:b/>
                <w:bCs/>
                <w:color w:val="555555"/>
                <w:sz w:val="18"/>
                <w:szCs w:val="18"/>
              </w:rPr>
              <w:t xml:space="preserve">Upgrade to Core (2–4%) if:</w:t>
            </w:r>
          </w:p>
          <w:p>
            <w:pPr>
              <w:spacing w:after="6" w:before="6"/>
            </w:pPr>
            <w:r>
              <w:rPr>
                <w:rFonts w:ascii="Arial" w:cs="Arial" w:eastAsia="Arial" w:hAnsi="Arial"/>
                <w:color w:val="555555"/>
                <w:sz w:val="18"/>
                <w:szCs w:val="18"/>
              </w:rPr>
              <w:t xml:space="preserve">  • Stock pulls back to $26–30 range, OR</w:t>
            </w:r>
          </w:p>
          <w:p>
            <w:pPr>
              <w:spacing w:after="20" w:before="6"/>
            </w:pPr>
            <w:r>
              <w:rPr>
                <w:rFonts w:ascii="Arial" w:cs="Arial" w:eastAsia="Arial" w:hAnsi="Arial"/>
                <w:color w:val="555555"/>
                <w:sz w:val="18"/>
                <w:szCs w:val="18"/>
              </w:rPr>
              <w:t xml:space="preserve">  • NonAdvSM/GIST approvals + commercial proof</w:t>
            </w:r>
          </w:p>
          <w:p>
            <w:pPr>
              <w:spacing w:after="0" w:before="10"/>
            </w:pPr>
            <w:r>
              <w:rPr>
                <w:rFonts w:ascii="Arial" w:cs="Arial" w:eastAsia="Arial" w:hAnsi="Arial"/>
                <w:b/>
                <w:bCs/>
                <w:color w:val="BF8F00"/>
                <w:sz w:val="18"/>
                <w:szCs w:val="18"/>
              </w:rPr>
              <w:t xml:space="preserve">First PDUFA:  December 30, 2026 (9 months)</w:t>
            </w:r>
          </w:p>
        </w:tc>
      </w:tr>
    </w:tbl>
    <w:p>
      <w:pPr>
        <w:shd w:fill="FCE4D6" w:val="clear"/>
        <w:spacing w:after="60" w:before="200"/>
      </w:pPr>
      <w:r>
        <w:rPr>
          <w:rFonts w:ascii="Arial" w:cs="Arial" w:eastAsia="Arial" w:hAnsi="Arial"/>
          <w:b/>
          <w:bCs/>
          <w:color w:val="843C0C"/>
          <w:sz w:val="20"/>
          <w:szCs w:val="20"/>
        </w:rPr>
        <w:t xml:space="preserve">⚠ FRAMEWORK FIT: READ BEFORE SCORING  </w:t>
      </w:r>
      <w:r>
        <w:rPr>
          <w:rFonts w:ascii="Arial" w:cs="Arial" w:eastAsia="Arial" w:hAnsi="Arial"/>
          <w:sz w:val="20"/>
          <w:szCs w:val="20"/>
        </w:rPr>
        <w:t xml:space="preserve">The 3+1 Filter™ is </w:t>
      </w:r>
      <w:r>
        <w:rPr>
          <w:rFonts w:ascii="Arial" w:cs="Arial" w:eastAsia="Arial" w:hAnsi="Arial"/>
          <w:b/>
          <w:bCs/>
          <w:sz w:val="20"/>
          <w:szCs w:val="20"/>
        </w:rPr>
        <w:t xml:space="preserve">appropriate</w:t>
      </w:r>
      <w:r>
        <w:rPr>
          <w:rFonts w:ascii="Arial" w:cs="Arial" w:eastAsia="Arial" w:hAnsi="Arial"/>
          <w:sz w:val="20"/>
          <w:szCs w:val="20"/>
        </w:rPr>
        <w:t xml:space="preserve"> for COGT — it is still pre-revenue and the quality filter is valid. However, </w:t>
      </w:r>
      <w:r>
        <w:rPr>
          <w:rFonts w:ascii="Arial" w:cs="Arial" w:eastAsia="Arial" w:hAnsi="Arial"/>
          <w:b/>
          <w:bCs/>
          <w:color w:val="843C0C"/>
          <w:sz w:val="20"/>
          <w:szCs w:val="20"/>
        </w:rPr>
        <w:t xml:space="preserve">it has a critical blind spot for this specific situation: the stock has already run +372% YoY and is trading 23% above analyst consensus ($34.56 vs $28.08). </w:t>
      </w:r>
      <w:r>
        <w:rPr>
          <w:rFonts w:ascii="Arial" w:cs="Arial" w:eastAsia="Arial" w:hAnsi="Arial"/>
          <w:sz w:val="20"/>
          <w:szCs w:val="20"/>
        </w:rPr>
        <w:t xml:space="preserve">The framework was designed to answer "is this drug worth owning?" — it does not answer "is this stock worth buying at today's price?" For RCKT and DFTX, those two questions are nearly the same because catalysts are unpriced. For COGT, multiple catalysts (Phase 3 data, NDA acceptance) are </w:t>
      </w:r>
      <w:r>
        <w:rPr>
          <w:rFonts w:ascii="Arial" w:cs="Arial" w:eastAsia="Arial" w:hAnsi="Arial"/>
          <w:b/>
          <w:bCs/>
          <w:sz w:val="20"/>
          <w:szCs w:val="20"/>
        </w:rPr>
        <w:t xml:space="preserve">already priced in.</w:t>
      </w:r>
      <w:r>
        <w:rPr>
          <w:rFonts w:ascii="Arial" w:cs="Arial" w:eastAsia="Arial" w:hAnsi="Arial"/>
          <w:sz w:val="20"/>
          <w:szCs w:val="20"/>
        </w:rPr>
        <w:t xml:space="preserve"> This report adds an explicit Valuation Modifier that the framework lacks, which adjusts the final position-sizing recommendation from Core to Starter.</w:t>
      </w:r>
    </w:p>
    <w:p>
      <w:pPr>
        <w:spacing w:after="60" w:before="180"/>
      </w:pPr>
    </w:p>
    <w:p>
      <w:pPr>
        <w:spacing w:after="100" w:before="280"/>
      </w:pPr>
      <w:r>
        <w:rPr>
          <w:rFonts w:ascii="Arial" w:cs="Arial" w:eastAsia="Arial" w:hAnsi="Arial"/>
          <w:b/>
          <w:bCs/>
          <w:color w:val="1F3864"/>
          <w:sz w:val="28"/>
          <w:szCs w:val="28"/>
        </w:rPr>
        <w:t xml:space="preserve">SCORECARD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2000"/>
        <w:gridCol w:w="2960"/>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Layer</w:t>
            </w:r>
          </w:p>
        </w:tc>
        <w:tc>
          <w:tcPr>
            <w:tcW w:type="dxa" w:w="12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Score</w:t>
            </w:r>
          </w:p>
        </w:tc>
        <w:tc>
          <w:tcPr>
            <w:tcW w:type="dxa" w:w="20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Rating</w:t>
            </w:r>
          </w:p>
        </w:tc>
        <w:tc>
          <w:tcPr>
            <w:tcW w:type="dxa" w:w="296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Key Finding</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1F3864"/>
                <w:sz w:val="18"/>
                <w:szCs w:val="18"/>
              </w:rPr>
              <w:t xml:space="preserve">Layer 1 — Science</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4.5 / 5.0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75623"/>
                <w:sz w:val="18"/>
                <w:szCs w:val="18"/>
              </w:rPr>
              <w:t xml:space="preserv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Validated KIT D816V target; superior selectivity vs. approved rival; 3 strong datasets (SUMMIT, PEAK, APEX)</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1F3864"/>
                <w:sz w:val="18"/>
                <w:szCs w:val="18"/>
              </w:rPr>
              <w:t xml:space="preserve">Layer 2 — Commercial</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4.0 / 5.0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75623"/>
                <w:sz w:val="18"/>
                <w:szCs w:val="18"/>
              </w:rPr>
              <w:t xml:space="preserv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Large validated SM + GIST markets; Blueprint guided $4B SM peak; bezuclastinib enters as second drug with real tolerability edge</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1F3864"/>
                <w:sz w:val="18"/>
                <w:szCs w:val="18"/>
              </w:rPr>
              <w:t xml:space="preserve">Layer 3 — Competitive</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BF8F00"/>
                <w:sz w:val="18"/>
                <w:szCs w:val="18"/>
              </w:rPr>
              <w:t xml:space="preserve">3.5 / 5.0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BF8F00"/>
                <w:sz w:val="18"/>
                <w:szCs w:val="18"/>
              </w:rPr>
              <w:t xml:space="preserv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Competing against Sanofi (post-Blueprint $9.1B acquisition); real differentiation on CNS safety but second-to-market creates physician inertia</w:t>
            </w:r>
          </w:p>
        </w:tc>
      </w:tr>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1F3864"/>
                <w:sz w:val="18"/>
                <w:szCs w:val="18"/>
              </w:rPr>
              <w:t xml:space="preserve">+1 Gate — Enablers</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 PASS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75623"/>
                <w:sz w:val="18"/>
                <w:szCs w:val="18"/>
              </w:rPr>
              <w:t xml:space="preserve">CMC ✓  Reg ✓✓  IP ✓  Cash ✓✓</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ALL FOUR GATES PASS cleanly — $901M cash to 2028; FDA BTD; NDA accepted; clean FTO</w:t>
            </w:r>
          </w:p>
        </w:tc>
      </w:tr>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COMPOSITE (normalised 0–5)</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4.1 / 5.0</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375623"/>
                <w:sz w:val="18"/>
                <w:szCs w:val="18"/>
              </w:rPr>
              <w:t xml:space="preserve">●●●●○</w:t>
            </w:r>
          </w:p>
        </w:tc>
        <w:tc>
          <w:tcPr>
            <w:tcW w:type="dxa" w:w="29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bCs/>
                <w:color w:val="843C0C"/>
                <w:sz w:val="18"/>
                <w:szCs w:val="18"/>
              </w:rPr>
              <w:t xml:space="preserve">Go (Core) per framework — BUT see Valuation Modifier below</w:t>
            </w:r>
          </w:p>
        </w:tc>
      </w:tr>
    </w:tbl>
    <w:p>
      <w:pPr>
        <w:spacing w:after="60" w:before="120"/>
      </w:pPr>
      <w:r>
        <w:rPr>
          <w:rFonts w:ascii="Arial" w:cs="Arial" w:eastAsia="Arial" w:hAnsi="Arial"/>
          <w:b/>
          <w:bCs/>
          <w:color w:val="555555"/>
          <w:sz w:val="18"/>
          <w:szCs w:val="18"/>
        </w:rPr>
        <w:t xml:space="preserve">Score Math: </w:t>
      </w:r>
      <w:r>
        <w:rPr>
          <w:rFonts w:ascii="Arial" w:cs="Arial" w:eastAsia="Arial" w:hAnsi="Arial"/>
          <w:color w:val="666666"/>
          <w:sz w:val="18"/>
          <w:szCs w:val="18"/>
        </w:rPr>
        <w:t xml:space="preserve">Raw composite 3.05/3.75 → normalised 4.07/5.0. The framework's unmodified verdict is Go (Core) — the highest quality reading of the three companies reviewed. The Valuation Modifier overrides position sizing, not the quality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500"/>
        <w:gridCol w:w="1500"/>
        <w:gridCol w:w="23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Layer</w:t>
            </w:r>
          </w:p>
        </w:tc>
        <w:tc>
          <w:tcPr>
            <w:tcW w:type="dxa" w:w="12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Raw Score</w:t>
            </w:r>
          </w:p>
        </w:tc>
        <w:tc>
          <w:tcPr>
            <w:tcW w:type="dxa" w:w="15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Weight</w:t>
            </w:r>
          </w:p>
        </w:tc>
        <w:tc>
          <w:tcPr>
            <w:tcW w:type="dxa" w:w="15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Contribution</w:t>
            </w:r>
          </w:p>
        </w:tc>
        <w:tc>
          <w:tcPr>
            <w:tcW w:type="dxa" w:w="236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Normalised (÷0.75×5)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Science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4.5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18"/>
                <w:szCs w:val="18"/>
              </w:rPr>
              <w:t xml:space="preserve">30%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18"/>
                <w:szCs w:val="18"/>
              </w:rPr>
              <w:t xml:space="preserve">1.35</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Commercial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4.0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18"/>
                <w:szCs w:val="18"/>
              </w:rPr>
              <w:t xml:space="preserve">25%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18"/>
                <w:szCs w:val="18"/>
              </w:rPr>
              <w:t xml:space="preserve">1.00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Competitive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BF8F00"/>
                <w:sz w:val="18"/>
                <w:szCs w:val="18"/>
              </w:rPr>
              <w:t xml:space="preserve">3.5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18"/>
                <w:szCs w:val="18"/>
              </w:rPr>
              <w:t xml:space="preserve">20%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18"/>
                <w:szCs w:val="18"/>
              </w:rPr>
              <w:t xml:space="preserve">0.70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TOTAL</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444444"/>
                <w:sz w:val="18"/>
                <w:szCs w:val="18"/>
              </w:rPr>
              <w:t xml:space="preserv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1F3864"/>
                <w:sz w:val="18"/>
                <w:szCs w:val="18"/>
              </w:rPr>
              <w:t xml:space="preserve">75%</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1F3864"/>
                <w:sz w:val="18"/>
                <w:szCs w:val="18"/>
              </w:rPr>
              <w:t xml:space="preserve">3.05 / 3.75</w:t>
            </w:r>
          </w:p>
        </w:tc>
        <w:tc>
          <w:tcPr>
            <w:tcW w:type="dxa" w:w="2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4.07 / 5.0  →  Go (Core)</w:t>
            </w:r>
          </w:p>
        </w:tc>
      </w:tr>
    </w:tbl>
    <w:p>
      <w:pPr>
        <w:spacing w:after="60" w:before="200"/>
      </w:pPr>
      <w:r>
        <w:rPr>
          <w:rFonts w:ascii="Arial" w:cs="Arial" w:eastAsia="Arial" w:hAnsi="Arial"/>
          <w:b/>
          <w:bCs/>
          <w:color w:val="1F3864"/>
          <w:sz w:val="22"/>
          <w:szCs w:val="22"/>
        </w:rPr>
        <w:t xml:space="preserve">THE PLAIN-ENGLISH TEST</w:t>
      </w:r>
    </w:p>
    <w:p>
      <w:pPr>
        <w:shd w:fill="D5E8F0" w:val="clear"/>
        <w:spacing w:after="40" w:before="60"/>
      </w:pPr>
      <w:r>
        <w:rPr>
          <w:rFonts w:ascii="Arial" w:cs="Arial" w:eastAsia="Arial" w:hAnsi="Arial"/>
          <w:b/>
          <w:bCs/>
          <w:sz w:val="20"/>
          <w:szCs w:val="20"/>
        </w:rPr>
        <w:t xml:space="preserve">Why it works in the body:  </w:t>
      </w:r>
      <w:r>
        <w:rPr>
          <w:rFonts w:ascii="Arial" w:cs="Arial" w:eastAsia="Arial" w:hAnsi="Arial"/>
          <w:sz w:val="20"/>
          <w:szCs w:val="20"/>
        </w:rPr>
        <w:t xml:space="preserve">Bezuclastinib is a highly selective oral inhibitor of KIT D816V — the driver mutation in 95%+ of systemic mastocytosis patients — that does not cross the blood-brain barrier, avoiding the cognitive side effects that limit the only approved rival drug, and has achieved 99% of patients with &gt;50% reduction in serum tryptase (the primary SM biomarker) in pivotal trials.</w:t>
      </w:r>
    </w:p>
    <w:p>
      <w:pPr>
        <w:shd w:fill="E2EFDA" w:val="clear"/>
        <w:spacing w:after="40" w:before="40"/>
      </w:pPr>
      <w:r>
        <w:rPr>
          <w:rFonts w:ascii="Arial" w:cs="Arial" w:eastAsia="Arial" w:hAnsi="Arial"/>
          <w:b/>
          <w:bCs/>
          <w:sz w:val="20"/>
          <w:szCs w:val="20"/>
        </w:rPr>
        <w:t xml:space="preserve">Why payers will pay:  </w:t>
      </w:r>
      <w:r>
        <w:rPr>
          <w:rFonts w:ascii="Arial" w:cs="Arial" w:eastAsia="Arial" w:hAnsi="Arial"/>
          <w:sz w:val="20"/>
          <w:szCs w:val="20"/>
        </w:rPr>
        <w:t xml:space="preserve">Ayvakit (avapritinib) has already established reimbursement at $300,000+ per year for SM patients, Blueprint guided $4B in SM peak revenue, and Sanofi paid $9.1B to acquire that franchise — the market has validated both clinical value and payer willingness to pay for KIT D816V inhibition in SM.</w:t>
      </w:r>
    </w:p>
    <w:p>
      <w:pPr>
        <w:shd w:fill="E2EFDA" w:val="clear"/>
        <w:spacing w:after="60" w:before="40"/>
      </w:pPr>
      <w:r>
        <w:rPr>
          <w:rFonts w:ascii="Arial" w:cs="Arial" w:eastAsia="Arial" w:hAnsi="Arial"/>
          <w:b/>
          <w:bCs/>
          <w:sz w:val="20"/>
          <w:szCs w:val="20"/>
        </w:rPr>
        <w:t xml:space="preserve">Why it beats rivals:  </w:t>
      </w:r>
      <w:r>
        <w:rPr>
          <w:rFonts w:ascii="Arial" w:cs="Arial" w:eastAsia="Arial" w:hAnsi="Arial"/>
          <w:sz w:val="20"/>
          <w:szCs w:val="20"/>
        </w:rPr>
        <w:t xml:space="preserve">Bezuclastinib is the only KIT D816V inhibitor without CNS penetration, meaning patients avoid the dizziness, cognitive effects, and edema associated with Ayvakit — a material quality-of-life advantage in a chronic disease that patients live with for decades, with three simultaneous approval opportunities (NonAdvSM, GIST, AdvSM) that Ayvakit does not hold all simultaneously.</w:t>
      </w:r>
    </w:p>
    <w:p>
      <w:pPr>
        <w:spacing w:after="60" w:before="60"/>
      </w:pPr>
      <w:r>
        <w:rPr>
          <w:rFonts w:ascii="Arial" w:cs="Arial" w:eastAsia="Arial" w:hAnsi="Arial"/>
          <w:b/>
          <w:bCs/>
          <w:color w:val="1F3864"/>
          <w:sz w:val="20"/>
          <w:szCs w:val="20"/>
        </w:rPr>
        <w:t xml:space="preserve">Squishiness check: </w:t>
      </w:r>
      <w:r>
        <w:rPr>
          <w:rFonts w:ascii="Arial" w:cs="Arial" w:eastAsia="Arial" w:hAnsi="Arial"/>
          <w:color w:val="333333"/>
          <w:sz w:val="20"/>
          <w:szCs w:val="20"/>
        </w:rPr>
        <w:t xml:space="preserve">All three sentences are solid and evidence-based. No downgrade required. The competitive sentence is slightly optimistic about commercial translation — physician inertia with Ayvakit is real and must be overcome. Worth watching closely in year 1 commercial data.</w:t>
      </w:r>
    </w:p>
    <w:p>
      <w:pPr>
        <w:pBdr>
          <w:bottom w:val="single" w:color="2E75B6" w:sz="4" w:space="1"/>
        </w:pBdr>
        <w:spacing w:after="80" w:before="80"/>
      </w:pPr>
      <w:r>
        <w:t xml:space="preserve"/>
      </w:r>
    </w:p>
    <w:p>
      <w:pPr>
        <w:spacing w:after="100" w:before="280"/>
      </w:pPr>
      <w:r>
        <w:rPr>
          <w:rFonts w:ascii="Arial" w:cs="Arial" w:eastAsia="Arial" w:hAnsi="Arial"/>
          <w:b/>
          <w:bCs/>
          <w:color w:val="1F3864"/>
          <w:sz w:val="28"/>
          <w:szCs w:val="28"/>
        </w:rPr>
        <w:t xml:space="preserve">PIPELINE OVERVIEW — Three Simultaneous NDA Programs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400"/>
        <w:gridCol w:w="1200"/>
        <w:gridCol w:w="27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Program</w:t>
            </w:r>
          </w:p>
        </w:tc>
        <w:tc>
          <w:tcPr>
            <w:tcW w:type="dxa" w:w="22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Indication</w:t>
            </w:r>
          </w:p>
        </w:tc>
        <w:tc>
          <w:tcPr>
            <w:tcW w:type="dxa" w:w="14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Trial</w:t>
            </w:r>
          </w:p>
        </w:tc>
        <w:tc>
          <w:tcPr>
            <w:tcW w:type="dxa" w:w="12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NDA/PDUFA</w:t>
            </w:r>
          </w:p>
        </w:tc>
        <w:tc>
          <w:tcPr>
            <w:tcW w:type="dxa" w:w="276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Key Data</w:t>
            </w:r>
          </w:p>
        </w:tc>
      </w:tr>
      <w:tr>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bCs/>
                <w:color w:val="375623"/>
                <w:sz w:val="18"/>
                <w:szCs w:val="18"/>
              </w:rPr>
              <w:t xml:space="preserve">Bezuclastinib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NonAdvanced SM (ISM/SSM)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SUMMIT (Ph3)</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PDUFA Dec 30, 2026</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All 1° &amp; 2° endpoints met; TSS –32.0 pts at 48 wks; 99% with &gt;50% tryptase reduction; deepening response</w:t>
            </w:r>
          </w:p>
        </w:tc>
      </w:tr>
      <w:tr>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bCs/>
                <w:color w:val="BF8F00"/>
                <w:sz w:val="18"/>
                <w:szCs w:val="18"/>
              </w:rPr>
              <w:t xml:space="preserve">Bezuclastinib + sunitinib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GIST (2nd-line, post-imatinib)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PEAK (Ph3)</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BF8F00"/>
                <w:sz w:val="18"/>
                <w:szCs w:val="18"/>
              </w:rPr>
              <w:t xml:space="preserve">NDA sub Apr 2026 (RTOR)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mPFS 16.5 vs 9.2 mo (HR=0.50; p&lt;0.0001); BTD granted; 50% risk reduction in progression/death</w:t>
            </w:r>
          </w:p>
        </w:tc>
      </w:tr>
      <w:tr>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bCs/>
                <w:color w:val="BF8F00"/>
                <w:sz w:val="18"/>
                <w:szCs w:val="18"/>
              </w:rPr>
              <w:t xml:space="preserve">Bezuclastinib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Advanced SM (AdvSM)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APEX (Ph2)</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BF8F00"/>
                <w:sz w:val="18"/>
                <w:szCs w:val="18"/>
              </w:rPr>
              <w:t xml:space="preserve">NDA sub H1 2026</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57% ORR (mIWG); 80% PPR (pure pathological response); compelling response depth in AdvSM</w:t>
            </w:r>
          </w:p>
        </w:tc>
      </w:tr>
    </w:tbl>
    <w:p>
      <w:pPr>
        <w:spacing w:after="60" w:before="120"/>
      </w:pPr>
      <w:r>
        <w:rPr>
          <w:rFonts w:ascii="Arial" w:cs="Arial" w:eastAsia="Arial" w:hAnsi="Arial"/>
          <w:b/>
          <w:bCs/>
          <w:color w:val="1F3864"/>
          <w:sz w:val="20"/>
          <w:szCs w:val="20"/>
        </w:rPr>
        <w:t xml:space="preserve">Platform note: </w:t>
      </w:r>
      <w:r>
        <w:rPr>
          <w:rFonts w:ascii="Arial" w:cs="Arial" w:eastAsia="Arial" w:hAnsi="Arial"/>
          <w:sz w:val="20"/>
          <w:szCs w:val="20"/>
        </w:rPr>
        <w:t xml:space="preserve">COGT is not a single-asset binary story (like RCKT or DFTX). It is a multi-program, single-molecule platform company approaching commercial launch across three oncology/rare disease settings simultaneously. This diversifies binary event risk considerably — even if one NDA faces a delay, the others remain on track. This is a materially different risk profile from the other two companies reviewed.</w:t>
      </w:r>
    </w:p>
    <w:p>
      <w:pPr>
        <w:pBdr>
          <w:bottom w:val="single" w:color="2E75B6" w:sz="4" w:space="1"/>
        </w:pBdr>
        <w:spacing w:after="80" w:before="80"/>
      </w:pPr>
      <w:r>
        <w:t xml:space="preserve"/>
      </w:r>
    </w:p>
    <w:p>
      <w:pPr>
        <w:spacing w:after="100" w:before="280"/>
      </w:pPr>
      <w:r>
        <w:rPr>
          <w:rFonts w:ascii="Arial" w:cs="Arial" w:eastAsia="Arial" w:hAnsi="Arial"/>
          <w:b/>
          <w:bCs/>
          <w:color w:val="1F3864"/>
          <w:sz w:val="28"/>
          <w:szCs w:val="28"/>
        </w:rPr>
        <w:t xml:space="preserve">LAYER 1 — SCIENCE  |  Score: 4.5 / 5.0</w:t>
      </w:r>
    </w:p>
    <w:p>
      <w:pPr>
        <w:spacing w:after="80" w:before="200"/>
      </w:pPr>
      <w:r>
        <w:rPr>
          <w:rFonts w:ascii="Arial" w:cs="Arial" w:eastAsia="Arial" w:hAnsi="Arial"/>
          <w:b/>
          <w:bCs/>
          <w:color w:val="2E75B6"/>
          <w:sz w:val="22"/>
          <w:szCs w:val="22"/>
        </w:rPr>
        <w:t xml:space="preserve">Mechanism &amp; Target Validation</w:t>
      </w:r>
    </w:p>
    <w:p>
      <w:pPr>
        <w:pStyle w:val="ListParagraph"/>
        <w:numPr>
          <w:ilvl w:val="0"/>
          <w:numId w:val="2"/>
        </w:numPr>
        <w:spacing w:after="50" w:before="50"/>
      </w:pPr>
      <w:r>
        <w:rPr>
          <w:rFonts w:ascii="Arial" w:cs="Arial" w:eastAsia="Arial" w:hAnsi="Arial"/>
          <w:b/>
          <w:bCs/>
          <w:sz w:val="20"/>
          <w:szCs w:val="20"/>
        </w:rPr>
        <w:t xml:space="preserve">Target: </w:t>
      </w:r>
      <w:r>
        <w:rPr>
          <w:rFonts w:ascii="Arial" w:cs="Arial" w:eastAsia="Arial" w:hAnsi="Arial"/>
          <w:color w:val="333333"/>
          <w:sz w:val="20"/>
          <w:szCs w:val="20"/>
        </w:rPr>
        <w:t xml:space="preserve">KIT D816V (and KIT exon 9, 11, 17, 18) mutations — the primary oncogenic driver in systemic mastocytosis and a key driver in gastrointestinal stromal tumors. KIT D816V is present in &gt;95% of SM patients. This is one of the most genetically and clinically validated targets in precision oncology.</w:t>
      </w:r>
    </w:p>
    <w:p>
      <w:pPr>
        <w:pStyle w:val="ListParagraph"/>
        <w:numPr>
          <w:ilvl w:val="0"/>
          <w:numId w:val="2"/>
        </w:numPr>
        <w:spacing w:after="50" w:before="50"/>
      </w:pPr>
      <w:r>
        <w:rPr>
          <w:rFonts w:ascii="Arial" w:cs="Arial" w:eastAsia="Arial" w:hAnsi="Arial"/>
          <w:b/>
          <w:bCs/>
          <w:sz w:val="20"/>
          <w:szCs w:val="20"/>
        </w:rPr>
        <w:t xml:space="preserve">Selectivity advantage: </w:t>
      </w:r>
      <w:r>
        <w:rPr>
          <w:rFonts w:ascii="Arial" w:cs="Arial" w:eastAsia="Arial" w:hAnsi="Arial"/>
          <w:color w:val="333333"/>
          <w:sz w:val="20"/>
          <w:szCs w:val="20"/>
        </w:rPr>
        <w:t xml:space="preserve">Bezuclastinib is highly selective for D816V and related KIT mutations with minimal activity against related kinases (PDGFR, FGFR, FLT3). Critically, it does NOT penetrate the blood-brain barrier — unlike avapritinib, which does. This translates directly to the most meaningful clinical differentiation: no CNS side effects.</w:t>
      </w:r>
    </w:p>
    <w:p>
      <w:pPr>
        <w:spacing w:after="80" w:before="200"/>
      </w:pPr>
      <w:r>
        <w:rPr>
          <w:rFonts w:ascii="Arial" w:cs="Arial" w:eastAsia="Arial" w:hAnsi="Arial"/>
          <w:b/>
          <w:bCs/>
          <w:color w:val="2E75B6"/>
          <w:sz w:val="22"/>
          <w:szCs w:val="22"/>
        </w:rPr>
        <w:t xml:space="preserve">Clinical Data — Three Programs</w:t>
      </w:r>
    </w:p>
    <w:p>
      <w:pPr>
        <w:pStyle w:val="ListParagraph"/>
        <w:numPr>
          <w:ilvl w:val="0"/>
          <w:numId w:val="2"/>
        </w:numPr>
        <w:spacing w:after="50" w:before="50"/>
      </w:pPr>
      <w:r>
        <w:rPr>
          <w:rFonts w:ascii="Arial" w:cs="Arial" w:eastAsia="Arial" w:hAnsi="Arial"/>
          <w:b/>
          <w:bCs/>
          <w:sz w:val="20"/>
          <w:szCs w:val="20"/>
        </w:rPr>
        <w:t xml:space="preserve">SUMMIT (NonAdvSM, pivotal): </w:t>
      </w:r>
      <w:r>
        <w:rPr>
          <w:rFonts w:ascii="Arial" w:cs="Arial" w:eastAsia="Arial" w:hAnsi="Arial"/>
          <w:color w:val="333333"/>
          <w:sz w:val="20"/>
          <w:szCs w:val="20"/>
        </w:rPr>
        <w:t xml:space="preserve">All primary and key secondary endpoints met with high statistical significance. TSS improvement –32.0 points at 48 weeks vs. baseline (deepening over time). 99% of patients achieved &gt;50% serum tryptase reduction. No advisory committee planned. Responses deepening at 48 weeks suggests durability, which is critical for a chronic disease requiring lifelong management.</w:t>
      </w:r>
    </w:p>
    <w:p>
      <w:pPr>
        <w:pStyle w:val="ListParagraph"/>
        <w:numPr>
          <w:ilvl w:val="0"/>
          <w:numId w:val="2"/>
        </w:numPr>
        <w:spacing w:after="50" w:before="50"/>
      </w:pPr>
      <w:r>
        <w:rPr>
          <w:rFonts w:ascii="Arial" w:cs="Arial" w:eastAsia="Arial" w:hAnsi="Arial"/>
          <w:b/>
          <w:bCs/>
          <w:sz w:val="20"/>
          <w:szCs w:val="20"/>
        </w:rPr>
        <w:t xml:space="preserve">PEAK (GIST, Phase 3): </w:t>
      </w:r>
      <w:r>
        <w:rPr>
          <w:rFonts w:ascii="Arial" w:cs="Arial" w:eastAsia="Arial" w:hAnsi="Arial"/>
          <w:color w:val="333333"/>
          <w:sz w:val="20"/>
          <w:szCs w:val="20"/>
        </w:rPr>
        <w:t xml:space="preserve">Bezuclastinib + sunitinib vs. placebo + sunitinib in imatinib-resistant GIST. mPFS 16.5 vs. 9.2 months (HR=0.50; p&lt;0.0001) — a 50% reduction in risk of progression or death. FDA Breakthrough Therapy Designation granted based on these results. NDA submitted under Real-Time Oncology Review (RTOR), FDA's fastest pathway.</w:t>
      </w:r>
    </w:p>
    <w:p>
      <w:pPr>
        <w:pStyle w:val="ListParagraph"/>
        <w:numPr>
          <w:ilvl w:val="0"/>
          <w:numId w:val="2"/>
        </w:numPr>
        <w:spacing w:after="50" w:before="50"/>
      </w:pPr>
      <w:r>
        <w:rPr>
          <w:rFonts w:ascii="Arial" w:cs="Arial" w:eastAsia="Arial" w:hAnsi="Arial"/>
          <w:b/>
          <w:bCs/>
          <w:sz w:val="20"/>
          <w:szCs w:val="20"/>
        </w:rPr>
        <w:t xml:space="preserve">APEX (AdvSM, Phase 2): </w:t>
      </w:r>
      <w:r>
        <w:rPr>
          <w:rFonts w:ascii="Arial" w:cs="Arial" w:eastAsia="Arial" w:hAnsi="Arial"/>
          <w:color w:val="333333"/>
          <w:sz w:val="20"/>
          <w:szCs w:val="20"/>
        </w:rPr>
        <w:t xml:space="preserve">57% objective response rate (per modified IWG criteria) and 80% pure pathological response — depth of response in this high-unmet-need setting is exceptional. NDA on track for H1 2026.</w:t>
      </w:r>
    </w:p>
    <w:p>
      <w:pPr>
        <w:spacing w:after="80" w:before="200"/>
      </w:pPr>
      <w:r>
        <w:rPr>
          <w:rFonts w:ascii="Arial" w:cs="Arial" w:eastAsia="Arial" w:hAnsi="Arial"/>
          <w:b/>
          <w:bCs/>
          <w:color w:val="2E75B6"/>
          <w:sz w:val="22"/>
          <w:szCs w:val="22"/>
        </w:rPr>
        <w:t xml:space="preserve">Why 4.5 not 5.0</w:t>
      </w:r>
    </w:p>
    <w:p>
      <w:pPr>
        <w:pStyle w:val="ListParagraph"/>
        <w:numPr>
          <w:ilvl w:val="0"/>
          <w:numId w:val="2"/>
        </w:numPr>
        <w:spacing w:after="50" w:before="50"/>
      </w:pPr>
      <w:r>
        <w:rPr>
          <w:rFonts w:ascii="Arial" w:cs="Arial" w:eastAsia="Arial" w:hAnsi="Arial"/>
          <w:b w:val="false"/>
          <w:bCs w:val="false"/>
          <w:sz w:val="20"/>
          <w:szCs w:val="20"/>
        </w:rPr>
        <w:t xml:space="preserve"/>
      </w:r>
      <w:r>
        <w:rPr>
          <w:rFonts w:ascii="Arial" w:cs="Arial" w:eastAsia="Arial" w:hAnsi="Arial"/>
          <w:color w:val="333333"/>
          <w:sz w:val="20"/>
          <w:szCs w:val="20"/>
        </w:rPr>
        <w:t xml:space="preserve">COGT's science is excellent and arguably the best differentiated profile of the three companies reviewed. The 0.5-point deduction vs. a perfect score reflects: (1) this is a differentiated entrant within an established mechanism class (KIT D816V inhibitors), not a first-in-class target; (2) no head-to-head trial vs. avapritinib in NonAdvSM — physicians and payers will inevitably make cross-trial comparisons that may not be apples-to-apples; (3) the APEX AdvSM data is Phase 2 (single-arm) being submitted as a full NDA, which carries slightly more regulatory risk than a Phase 3 pivotal RCT.</w:t>
      </w:r>
    </w:p>
    <w:p>
      <w:pPr>
        <w:spacing w:after="60" w:before="60"/>
      </w:pPr>
      <w:r>
        <w:rPr>
          <w:rFonts w:ascii="Arial" w:cs="Arial" w:eastAsia="Arial" w:hAnsi="Arial"/>
          <w:b/>
          <w:bCs/>
          <w:color w:val="1F3864"/>
          <w:sz w:val="20"/>
          <w:szCs w:val="20"/>
        </w:rPr>
        <w:t xml:space="preserve">Science Score Rationale: </w:t>
      </w:r>
      <w:r>
        <w:rPr>
          <w:rFonts w:ascii="Arial" w:cs="Arial" w:eastAsia="Arial" w:hAnsi="Arial"/>
          <w:color w:val="333333"/>
          <w:sz w:val="20"/>
          <w:szCs w:val="20"/>
        </w:rPr>
        <w:t xml:space="preserve">4.5/5. Three strong datasets, validated target, meaningful and clinically relevant differentiation over approved therapy. Strongest science package of the three companies reviewed.</w:t>
      </w:r>
    </w:p>
    <w:p>
      <w:pPr>
        <w:pBdr>
          <w:bottom w:val="single" w:color="2E75B6" w:sz="4" w:space="1"/>
        </w:pBdr>
        <w:spacing w:after="80" w:before="80"/>
      </w:pPr>
      <w:r>
        <w:t xml:space="preserve"/>
      </w:r>
    </w:p>
    <w:p>
      <w:pPr>
        <w:spacing w:after="100" w:before="280"/>
      </w:pPr>
      <w:r>
        <w:rPr>
          <w:rFonts w:ascii="Arial" w:cs="Arial" w:eastAsia="Arial" w:hAnsi="Arial"/>
          <w:b/>
          <w:bCs/>
          <w:color w:val="1F3864"/>
          <w:sz w:val="28"/>
          <w:szCs w:val="28"/>
        </w:rPr>
        <w:t xml:space="preserve">LAYER 2 — COMMERCIAL  |  Score: 4.0 / 5.0</w:t>
      </w:r>
    </w:p>
    <w:p>
      <w:pPr>
        <w:spacing w:after="80" w:before="200"/>
      </w:pPr>
      <w:r>
        <w:rPr>
          <w:rFonts w:ascii="Arial" w:cs="Arial" w:eastAsia="Arial" w:hAnsi="Arial"/>
          <w:b/>
          <w:bCs/>
          <w:color w:val="2E75B6"/>
          <w:sz w:val="22"/>
          <w:szCs w:val="22"/>
        </w:rPr>
        <w:t xml:space="preserve">NonAdvSM Market — Already Validated by Ayvakit</w:t>
      </w:r>
    </w:p>
    <w:p>
      <w:pPr>
        <w:pStyle w:val="ListParagraph"/>
        <w:numPr>
          <w:ilvl w:val="0"/>
          <w:numId w:val="2"/>
        </w:numPr>
        <w:spacing w:after="50" w:before="50"/>
      </w:pPr>
      <w:r>
        <w:rPr>
          <w:rFonts w:ascii="Arial" w:cs="Arial" w:eastAsia="Arial" w:hAnsi="Arial"/>
          <w:b/>
          <w:bCs/>
          <w:sz w:val="20"/>
          <w:szCs w:val="20"/>
        </w:rPr>
        <w:t xml:space="preserve">Market size: </w:t>
      </w:r>
      <w:r>
        <w:rPr>
          <w:rFonts w:ascii="Arial" w:cs="Arial" w:eastAsia="Arial" w:hAnsi="Arial"/>
          <w:color w:val="333333"/>
          <w:sz w:val="20"/>
          <w:szCs w:val="20"/>
        </w:rPr>
        <w:t xml:space="preserve">Systemic mastocytosis affects an estimated 32,000–60,000 patients in the US, with indolent/smouldering SM (the NonAdvSM category) comprising ~80% of cases. Blueprint Medicines, now Sanofi, guided a $4 billion peak revenue opportunity for their SM franchise — setting the commercial ceiling for this indication class.</w:t>
      </w:r>
    </w:p>
    <w:p>
      <w:pPr>
        <w:pStyle w:val="ListParagraph"/>
        <w:numPr>
          <w:ilvl w:val="0"/>
          <w:numId w:val="2"/>
        </w:numPr>
        <w:spacing w:after="50" w:before="50"/>
      </w:pPr>
      <w:r>
        <w:rPr>
          <w:rFonts w:ascii="Arial" w:cs="Arial" w:eastAsia="Arial" w:hAnsi="Arial"/>
          <w:b/>
          <w:bCs/>
          <w:sz w:val="20"/>
          <w:szCs w:val="20"/>
        </w:rPr>
        <w:t xml:space="preserve">Payer acceptance already established: </w:t>
      </w:r>
      <w:r>
        <w:rPr>
          <w:rFonts w:ascii="Arial" w:cs="Arial" w:eastAsia="Arial" w:hAnsi="Arial"/>
          <w:color w:val="333333"/>
          <w:sz w:val="20"/>
          <w:szCs w:val="20"/>
        </w:rPr>
        <w:t xml:space="preserve">Ayvakit's approval and commercial success has done the hard work: payers have built SM into their formularies, physicians are familiar with KIT D816V testing, and patient advocacy has matured. Bezuclastinib enters an educated market — not a virgin one. This dramatically lowers commercial launch risk vs. entering a novel drug class with no precedent.</w:t>
      </w:r>
    </w:p>
    <w:p>
      <w:pPr>
        <w:pStyle w:val="ListParagraph"/>
        <w:numPr>
          <w:ilvl w:val="0"/>
          <w:numId w:val="2"/>
        </w:numPr>
        <w:spacing w:after="50" w:before="50"/>
      </w:pPr>
      <w:r>
        <w:rPr>
          <w:rFonts w:ascii="Arial" w:cs="Arial" w:eastAsia="Arial" w:hAnsi="Arial"/>
          <w:b/>
          <w:bCs/>
          <w:sz w:val="20"/>
          <w:szCs w:val="20"/>
        </w:rPr>
        <w:t xml:space="preserve">Pricing ceiling: </w:t>
      </w:r>
      <w:r>
        <w:rPr>
          <w:rFonts w:ascii="Arial" w:cs="Arial" w:eastAsia="Arial" w:hAnsi="Arial"/>
          <w:color w:val="333333"/>
          <w:sz w:val="20"/>
          <w:szCs w:val="20"/>
        </w:rPr>
        <w:t xml:space="preserve">Ayvakit is priced at approximately $26,000–$30,000/month (~$300,000–$360,000 per year). Bezuclastinib can price at or near parity with a tolerability-based premium argument (no CNS effects). Even at a 10% discount to Ayvakit, annual revenue per patient is $270,000–$320,000.</w:t>
      </w:r>
    </w:p>
    <w:p>
      <w:pPr>
        <w:spacing w:after="80" w:before="200"/>
      </w:pPr>
      <w:r>
        <w:rPr>
          <w:rFonts w:ascii="Arial" w:cs="Arial" w:eastAsia="Arial" w:hAnsi="Arial"/>
          <w:b/>
          <w:bCs/>
          <w:color w:val="2E75B6"/>
          <w:sz w:val="22"/>
          <w:szCs w:val="22"/>
        </w:rPr>
        <w:t xml:space="preserve">GIST Market</w:t>
      </w:r>
    </w:p>
    <w:p>
      <w:pPr>
        <w:pStyle w:val="ListParagraph"/>
        <w:numPr>
          <w:ilvl w:val="0"/>
          <w:numId w:val="2"/>
        </w:numPr>
        <w:spacing w:after="50" w:before="50"/>
      </w:pPr>
      <w:r>
        <w:rPr>
          <w:rFonts w:ascii="Arial" w:cs="Arial" w:eastAsia="Arial" w:hAnsi="Arial"/>
          <w:b/>
          <w:bCs/>
          <w:sz w:val="20"/>
          <w:szCs w:val="20"/>
        </w:rPr>
        <w:t xml:space="preserve">Market: </w:t>
      </w:r>
      <w:r>
        <w:rPr>
          <w:rFonts w:ascii="Arial" w:cs="Arial" w:eastAsia="Arial" w:hAnsi="Arial"/>
          <w:color w:val="333333"/>
          <w:sz w:val="20"/>
          <w:szCs w:val="20"/>
        </w:rPr>
        <w:t xml:space="preserve">Approximately 6,000–8,000 new GIST cases per year in the US; 30,000–35,000 prevalent patients worldwide. Second-line treatment after imatinib failure (the PEAK trial population) has been served by sunitinib alone — bezuclastinib + sunitinib provides a dramatically improved regimen.</w:t>
      </w:r>
    </w:p>
    <w:p>
      <w:pPr>
        <w:pStyle w:val="ListParagraph"/>
        <w:numPr>
          <w:ilvl w:val="0"/>
          <w:numId w:val="2"/>
        </w:numPr>
        <w:spacing w:after="50" w:before="50"/>
      </w:pPr>
      <w:r>
        <w:rPr>
          <w:rFonts w:ascii="Arial" w:cs="Arial" w:eastAsia="Arial" w:hAnsi="Arial"/>
          <w:b/>
          <w:bCs/>
          <w:sz w:val="20"/>
          <w:szCs w:val="20"/>
        </w:rPr>
        <w:t xml:space="preserve">Pricing: </w:t>
      </w:r>
      <w:r>
        <w:rPr>
          <w:rFonts w:ascii="Arial" w:cs="Arial" w:eastAsia="Arial" w:hAnsi="Arial"/>
          <w:color w:val="333333"/>
          <w:sz w:val="20"/>
          <w:szCs w:val="20"/>
        </w:rPr>
        <w:t xml:space="preserve">Sunitinib alone costs ~$9,000/month. Adding a targeted KIT inhibitor to an oncology regimen typically commands a significant premium. Bezuclastinib + sunitinib combo pricing could be $15,000–$20,000/month ($180,000–$240,000/year).</w:t>
      </w:r>
    </w:p>
    <w:p>
      <w:pPr>
        <w:spacing w:after="80" w:before="200"/>
      </w:pPr>
      <w:r>
        <w:rPr>
          <w:rFonts w:ascii="Arial" w:cs="Arial" w:eastAsia="Arial" w:hAnsi="Arial"/>
          <w:b/>
          <w:bCs/>
          <w:color w:val="2E75B6"/>
          <w:sz w:val="22"/>
          <w:szCs w:val="22"/>
        </w:rPr>
        <w:t xml:space="preserve">Commercial Friction — Second-to-Market Reality</w:t>
      </w:r>
    </w:p>
    <w:p>
      <w:pPr>
        <w:pStyle w:val="ListParagraph"/>
        <w:numPr>
          <w:ilvl w:val="0"/>
          <w:numId w:val="2"/>
        </w:numPr>
        <w:spacing w:after="50" w:before="50"/>
      </w:pPr>
      <w:r>
        <w:rPr>
          <w:rFonts w:ascii="Arial" w:cs="Arial" w:eastAsia="Arial" w:hAnsi="Arial"/>
          <w:b/>
          <w:bCs/>
          <w:sz w:val="20"/>
          <w:szCs w:val="20"/>
        </w:rPr>
        <w:t xml:space="preserve">Physician inertia: </w:t>
      </w:r>
      <w:r>
        <w:rPr>
          <w:rFonts w:ascii="Arial" w:cs="Arial" w:eastAsia="Arial" w:hAnsi="Arial"/>
          <w:color w:val="333333"/>
          <w:sz w:val="20"/>
          <w:szCs w:val="20"/>
        </w:rPr>
        <w:t xml:space="preserve">Avapritinib has 3+ years of prescribing history, established patient support programs, and Sanofi's large oncology sales force behind it. Switching a stable patient from avapritinib to bezuclastinib requires a compelling clinical reason — the tolerability story (no CNS effects) is the key sales argument.</w:t>
      </w:r>
    </w:p>
    <w:p>
      <w:pPr>
        <w:pStyle w:val="ListParagraph"/>
        <w:numPr>
          <w:ilvl w:val="0"/>
          <w:numId w:val="2"/>
        </w:numPr>
        <w:spacing w:after="50" w:before="50"/>
      </w:pPr>
      <w:r>
        <w:rPr>
          <w:rFonts w:ascii="Arial" w:cs="Arial" w:eastAsia="Arial" w:hAnsi="Arial"/>
          <w:b/>
          <w:bCs/>
          <w:sz w:val="20"/>
          <w:szCs w:val="20"/>
        </w:rPr>
        <w:t xml:space="preserve">Tolerability as commercial lever: </w:t>
      </w:r>
      <w:r>
        <w:rPr>
          <w:rFonts w:ascii="Arial" w:cs="Arial" w:eastAsia="Arial" w:hAnsi="Arial"/>
          <w:color w:val="333333"/>
          <w:sz w:val="20"/>
          <w:szCs w:val="20"/>
        </w:rPr>
        <w:t xml:space="preserve">In a chronic condition managed for decades, cognitive side effects and edema are highly relevant to patient quality of life. Physicians frequently adjust or switch patients due to CNS tolerability issues with avapritinib. This creates a real and quantifiable switching opportunity.</w:t>
      </w:r>
    </w:p>
    <w:p>
      <w:pPr>
        <w:spacing w:after="60" w:before="60"/>
      </w:pPr>
      <w:r>
        <w:rPr>
          <w:rFonts w:ascii="Arial" w:cs="Arial" w:eastAsia="Arial" w:hAnsi="Arial"/>
          <w:b/>
          <w:bCs/>
          <w:color w:val="1F3864"/>
          <w:sz w:val="20"/>
          <w:szCs w:val="20"/>
        </w:rPr>
        <w:t xml:space="preserve">Commercial Score Rationale: </w:t>
      </w:r>
      <w:r>
        <w:rPr>
          <w:rFonts w:ascii="Arial" w:cs="Arial" w:eastAsia="Arial" w:hAnsi="Arial"/>
          <w:color w:val="333333"/>
          <w:sz w:val="20"/>
          <w:szCs w:val="20"/>
        </w:rPr>
        <w:t xml:space="preserve">4.0/5. Large, validated market with established payer precedent. Blueprint's $4B SM peak guidance is the commercial north star. Docked 1.0 point for second-to-market friction and the very real physician inertia challenge that Sanofi's well-funded sales infrastructure creates.</w:t>
      </w:r>
    </w:p>
    <w:p>
      <w:pPr>
        <w:pBdr>
          <w:bottom w:val="single" w:color="2E75B6" w:sz="4" w:space="1"/>
        </w:pBdr>
        <w:spacing w:after="80" w:before="80"/>
      </w:pPr>
      <w:r>
        <w:t xml:space="preserve"/>
      </w:r>
    </w:p>
    <w:p>
      <w:pPr>
        <w:spacing w:after="100" w:before="280"/>
      </w:pPr>
      <w:r>
        <w:rPr>
          <w:rFonts w:ascii="Arial" w:cs="Arial" w:eastAsia="Arial" w:hAnsi="Arial"/>
          <w:b/>
          <w:bCs/>
          <w:color w:val="1F3864"/>
          <w:sz w:val="28"/>
          <w:szCs w:val="28"/>
        </w:rPr>
        <w:t xml:space="preserve">LAYER 3 — COMPETITIVE  |  Score: 3.5 / 5.0</w:t>
      </w:r>
    </w:p>
    <w:p>
      <w:pPr>
        <w:spacing w:after="80" w:before="200"/>
      </w:pPr>
      <w:r>
        <w:rPr>
          <w:rFonts w:ascii="Arial" w:cs="Arial" w:eastAsia="Arial" w:hAnsi="Arial"/>
          <w:b/>
          <w:bCs/>
          <w:color w:val="2E75B6"/>
          <w:sz w:val="22"/>
          <w:szCs w:val="22"/>
        </w:rPr>
        <w:t xml:space="preserve">The Sanofi / Blueprint Acquisition Changes Everything</w:t>
      </w:r>
    </w:p>
    <w:p>
      <w:pPr>
        <w:pStyle w:val="ListParagraph"/>
        <w:numPr>
          <w:ilvl w:val="0"/>
          <w:numId w:val="2"/>
        </w:numPr>
        <w:spacing w:after="50" w:before="50"/>
      </w:pPr>
      <w:r>
        <w:rPr>
          <w:rFonts w:ascii="Arial" w:cs="Arial" w:eastAsia="Arial" w:hAnsi="Arial"/>
          <w:b w:val="false"/>
          <w:bCs w:val="false"/>
          <w:sz w:val="20"/>
          <w:szCs w:val="20"/>
        </w:rPr>
        <w:t xml:space="preserve"/>
      </w:r>
      <w:r>
        <w:rPr>
          <w:rFonts w:ascii="Arial" w:cs="Arial" w:eastAsia="Arial" w:hAnsi="Arial"/>
          <w:color w:val="333333"/>
          <w:sz w:val="20"/>
          <w:szCs w:val="20"/>
        </w:rPr>
        <w:t xml:space="preserve">Blueprint Medicines, creator of Ayvakit (avapritinib), was acquired by Sanofi for $9.1 billion in June 2025. This is the single most important competitive development for COGT investors. Sanofi has now deployed $9.1B to own the SM market. They have: (a) global scale and an established oncology/rare disease sales infrastructure; (b) existing payer contracts for SM; (c) physician relationships built over 3+ years; (d) their own pipeline asset (elenestinib, Phase 2/3) being developed behind Ayvakit as a second-generation therapy.</w:t>
      </w:r>
    </w:p>
    <w:p>
      <w:pPr>
        <w:pStyle w:val="ListParagraph"/>
        <w:numPr>
          <w:ilvl w:val="0"/>
          <w:numId w:val="2"/>
        </w:numPr>
        <w:spacing w:after="50" w:before="50"/>
      </w:pPr>
      <w:r>
        <w:rPr>
          <w:rFonts w:ascii="Arial" w:cs="Arial" w:eastAsia="Arial" w:hAnsi="Arial"/>
          <w:b w:val="false"/>
          <w:bCs w:val="false"/>
          <w:sz w:val="20"/>
          <w:szCs w:val="20"/>
        </w:rPr>
        <w:t xml:space="preserve"/>
      </w:r>
      <w:r>
        <w:rPr>
          <w:rFonts w:ascii="Arial" w:cs="Arial" w:eastAsia="Arial" w:hAnsi="Arial"/>
          <w:color w:val="333333"/>
          <w:sz w:val="20"/>
          <w:szCs w:val="20"/>
        </w:rPr>
        <w:t xml:space="preserve">Competing against a $130B pharmaceutical company that specifically paid $9.1B to dominate the SM market is the most meaningful risk factor for COGT's commercial trajectory. This is categorically different from RCKT (competing against HSCT) or DFTX (first mover in GAD psychedelic therapy).</w:t>
      </w:r>
    </w:p>
    <w:p>
      <w:pPr>
        <w:spacing w:after="80" w:before="200"/>
      </w:pPr>
      <w:r>
        <w:rPr>
          <w:rFonts w:ascii="Arial" w:cs="Arial" w:eastAsia="Arial" w:hAnsi="Arial"/>
          <w:b/>
          <w:bCs/>
          <w:color w:val="2E75B6"/>
          <w:sz w:val="22"/>
          <w:szCs w:val="22"/>
        </w:rPr>
        <w:t xml:space="preserve">Bezuclastinib's Competitive Moat</w:t>
      </w:r>
    </w:p>
    <w:p>
      <w:pPr>
        <w:pStyle w:val="ListParagraph"/>
        <w:numPr>
          <w:ilvl w:val="0"/>
          <w:numId w:val="2"/>
        </w:numPr>
        <w:spacing w:after="50" w:before="50"/>
      </w:pPr>
      <w:r>
        <w:rPr>
          <w:rFonts w:ascii="Arial" w:cs="Arial" w:eastAsia="Arial" w:hAnsi="Arial"/>
          <w:b/>
          <w:bCs/>
          <w:sz w:val="20"/>
          <w:szCs w:val="20"/>
        </w:rPr>
        <w:t xml:space="preserve">CNS safety edge: </w:t>
      </w:r>
      <w:r>
        <w:rPr>
          <w:rFonts w:ascii="Arial" w:cs="Arial" w:eastAsia="Arial" w:hAnsi="Arial"/>
          <w:color w:val="333333"/>
          <w:sz w:val="20"/>
          <w:szCs w:val="20"/>
        </w:rPr>
        <w:t xml:space="preserve">No blood-brain barrier penetration is a structural, mechanistic differentiator — not a marketing claim. Avapritinib will always carry CNS AE risk because it crosses the BBB. This is a permanent differentiation point.</w:t>
      </w:r>
    </w:p>
    <w:p>
      <w:pPr>
        <w:pStyle w:val="ListParagraph"/>
        <w:numPr>
          <w:ilvl w:val="0"/>
          <w:numId w:val="2"/>
        </w:numPr>
        <w:spacing w:after="50" w:before="50"/>
      </w:pPr>
      <w:r>
        <w:rPr>
          <w:rFonts w:ascii="Arial" w:cs="Arial" w:eastAsia="Arial" w:hAnsi="Arial"/>
          <w:b/>
          <w:bCs/>
          <w:sz w:val="20"/>
          <w:szCs w:val="20"/>
        </w:rPr>
        <w:t xml:space="preserve">GIST combination: </w:t>
      </w:r>
      <w:r>
        <w:rPr>
          <w:rFonts w:ascii="Arial" w:cs="Arial" w:eastAsia="Arial" w:hAnsi="Arial"/>
          <w:color w:val="333333"/>
          <w:sz w:val="20"/>
          <w:szCs w:val="20"/>
        </w:rPr>
        <w:t xml:space="preserve">The PEAK trial data (HR=0.50) makes bezuclastinib + sunitinib the new standard of care in second-line GIST. Avapritinib does not have comparable GIST data.</w:t>
      </w:r>
    </w:p>
    <w:p>
      <w:pPr>
        <w:pStyle w:val="ListParagraph"/>
        <w:numPr>
          <w:ilvl w:val="0"/>
          <w:numId w:val="2"/>
        </w:numPr>
        <w:spacing w:after="50" w:before="50"/>
      </w:pPr>
      <w:r>
        <w:rPr>
          <w:rFonts w:ascii="Arial" w:cs="Arial" w:eastAsia="Arial" w:hAnsi="Arial"/>
          <w:b/>
          <w:bCs/>
          <w:sz w:val="20"/>
          <w:szCs w:val="20"/>
        </w:rPr>
        <w:t xml:space="preserve">Triple indication: </w:t>
      </w:r>
      <w:r>
        <w:rPr>
          <w:rFonts w:ascii="Arial" w:cs="Arial" w:eastAsia="Arial" w:hAnsi="Arial"/>
          <w:color w:val="333333"/>
          <w:sz w:val="20"/>
          <w:szCs w:val="20"/>
        </w:rPr>
        <w:t xml:space="preserve">If all three NDAs are approved (NonAdvSM, GIST, AdvSM), COGT becomes the only company with approved therapies across the full KIT-driven oncology spectrum. Sanofi holds NonAdvSM and AdvSM with Ayvakit but not GIST with this combination approach.</w:t>
      </w:r>
    </w:p>
    <w:p>
      <w:pPr>
        <w:spacing w:after="80" w:before="200"/>
      </w:pPr>
      <w:r>
        <w:rPr>
          <w:rFonts w:ascii="Arial" w:cs="Arial" w:eastAsia="Arial" w:hAnsi="Arial"/>
          <w:b/>
          <w:bCs/>
          <w:color w:val="2E75B6"/>
          <w:sz w:val="22"/>
          <w:szCs w:val="22"/>
        </w:rPr>
        <w:t xml:space="preserve">Competitive Landscape Summary</w:t>
      </w:r>
    </w:p>
    <w:p>
      <w:pPr>
        <w:spacing w:after="6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200"/>
        <w:gridCol w:w="1200"/>
        <w:gridCol w:w="29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Drug / Company</w:t>
            </w:r>
          </w:p>
        </w:tc>
        <w:tc>
          <w:tcPr>
            <w:tcW w:type="dxa" w:w="22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Indication / Status</w:t>
            </w:r>
          </w:p>
        </w:tc>
        <w:tc>
          <w:tcPr>
            <w:tcW w:type="dxa" w:w="12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Revenue (2025)</w:t>
            </w:r>
          </w:p>
        </w:tc>
        <w:tc>
          <w:tcPr>
            <w:tcW w:type="dxa" w:w="12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CNS Safety</w:t>
            </w:r>
          </w:p>
        </w:tc>
        <w:tc>
          <w:tcPr>
            <w:tcW w:type="dxa" w:w="296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Key Dynamic</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1F3864"/>
                <w:sz w:val="18"/>
                <w:szCs w:val="18"/>
              </w:rPr>
              <w:t xml:space="preserve">BEZUCLASTINIB (COGT)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NonAdvSM PDUFA Dec 2026; GIST &amp; AdvSM filing 2026; pre-revenue</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val="false"/>
                <w:bCs w:val="false"/>
                <w:color w:val="1F3864"/>
                <w:sz w:val="18"/>
                <w:szCs w:val="18"/>
              </w:rPr>
              <w:t xml:space="preserve">$0 (pre-launch)</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 NO BBB penetration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First oral KIT D816V inhibitor without CNS AEs; entering market with established payer/physician precedent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AYVAKIT / avapritinib (Sanofi)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ISM &amp; AdvSM APPROVED (2021/2023); GIST label — different combo</w:t>
            </w:r>
          </w:p>
        </w:tc>
        <w:tc>
          <w:tcPr>
            <w:tcW w:type="dxa" w:w="12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val="false"/>
                <w:bCs w:val="false"/>
                <w:color w:val="C00000"/>
                <w:sz w:val="18"/>
                <w:szCs w:val="18"/>
              </w:rPr>
              <w:t xml:space="preserve">~$720M (2025 est.)</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BF8F00"/>
                <w:sz w:val="18"/>
                <w:szCs w:val="18"/>
              </w:rPr>
              <w:t xml:space="preserve">⚠ BBB-penetrant; cognitive AEs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Incumbent with $9.1B Sanofi backing; physician relationships established; beating guidance; faces elenestinib from own pipeline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elenestinib (Sanofi/Blueprint)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SM — Phase 2/3; post-Sanofi acquisition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888888"/>
                <w:sz w:val="18"/>
                <w:szCs w:val="18"/>
              </w:rPr>
              <w:t xml:space="preserve">N/A (pipeline)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888888"/>
                <w:sz w:val="18"/>
                <w:szCs w:val="18"/>
              </w:rPr>
              <w:t xml:space="preserve">Unknown (newer)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Sanofi's own next-gen SM asset — if elenestinib succeeds, Sanofi competes against bezuclastinib in BOTH second- and third-generation SM therapy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Ripretinib / imatinib (GIST SoC)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GIST 1st/2nd+ line; established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888888"/>
                <w:sz w:val="18"/>
                <w:szCs w:val="18"/>
              </w:rPr>
              <w:t xml:space="preserve">Large (generic imatinib)</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888888"/>
                <w:sz w:val="18"/>
                <w:szCs w:val="18"/>
              </w:rPr>
              <w:t xml:space="preserve">N/A (small mol.)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PEAK beats imatinib/sunitinib as backbone; bezuclastinib + sunitinib is now likely the superior combination</w:t>
            </w:r>
          </w:p>
        </w:tc>
      </w:tr>
    </w:tbl>
    <w:p>
      <w:pPr>
        <w:spacing w:after="60" w:before="60"/>
      </w:pPr>
      <w:r>
        <w:rPr>
          <w:rFonts w:ascii="Arial" w:cs="Arial" w:eastAsia="Arial" w:hAnsi="Arial"/>
          <w:b/>
          <w:bCs/>
          <w:color w:val="1F3864"/>
          <w:sz w:val="20"/>
          <w:szCs w:val="20"/>
        </w:rPr>
        <w:t xml:space="preserve">Competitive Score Rationale: </w:t>
      </w:r>
      <w:r>
        <w:rPr>
          <w:rFonts w:ascii="Arial" w:cs="Arial" w:eastAsia="Arial" w:hAnsi="Arial"/>
          <w:color w:val="333333"/>
          <w:sz w:val="20"/>
          <w:szCs w:val="20"/>
        </w:rPr>
        <w:t xml:space="preserve">3.5/5. Lowest competitive score of the analysis — not because the differentiation isn't real, but because the competitive threat is the largest of the three companies reviewed. Competing against Sanofi with $9.1B invested in the same indication, an approved drug with 3 years of physician relationships, and an internal next-gen pipeline is the dominant risk factor for COGT's long-term commercial success.</w:t>
      </w:r>
    </w:p>
    <w:p>
      <w:pPr>
        <w:pBdr>
          <w:bottom w:val="single" w:color="2E75B6" w:sz="4" w:space="1"/>
        </w:pBdr>
        <w:spacing w:after="80" w:before="80"/>
      </w:pPr>
      <w:r>
        <w:t xml:space="preserve"/>
      </w:r>
    </w:p>
    <w:p>
      <w:pPr>
        <w:spacing w:after="100" w:before="280"/>
      </w:pPr>
      <w:r>
        <w:rPr>
          <w:rFonts w:ascii="Arial" w:cs="Arial" w:eastAsia="Arial" w:hAnsi="Arial"/>
          <w:b/>
          <w:bCs/>
          <w:color w:val="1F3864"/>
          <w:sz w:val="28"/>
          <w:szCs w:val="28"/>
        </w:rPr>
        <w:t xml:space="preserve">+1 ENABLERS GATE  |  FULL PASS — All Four Green</w:t>
      </w:r>
    </w:p>
    <w:p>
      <w:pPr>
        <w:spacing w:after="60" w:before="60"/>
      </w:pPr>
      <w:r>
        <w:rPr>
          <w:rFonts w:ascii="Arial" w:cs="Arial" w:eastAsia="Arial" w:hAnsi="Arial"/>
          <w:b w:val="false"/>
          <w:bCs w:val="false"/>
          <w:color w:val="555555"/>
          <w:sz w:val="20"/>
          <w:szCs w:val="20"/>
        </w:rPr>
        <w:t xml:space="preserve">COGT is the only company in this series with a clean pass on all four Enablers gates. No yellow flags.</w:t>
      </w:r>
    </w:p>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Gate</w:t>
            </w:r>
          </w:p>
        </w:tc>
        <w:tc>
          <w:tcPr>
            <w:tcW w:type="dxa" w:w="12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Status</w:t>
            </w:r>
          </w:p>
        </w:tc>
        <w:tc>
          <w:tcPr>
            <w:tcW w:type="dxa" w:w="636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Detail &amp; Evidence</w:t>
            </w:r>
          </w:p>
        </w:tc>
      </w:tr>
      <w:tr>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bCs/>
                <w:color w:val="375623"/>
                <w:sz w:val="18"/>
                <w:szCs w:val="18"/>
              </w:rPr>
              <w:t xml:space="preserve">CMC</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 PASS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Bezuclastinib is an oral small-molecule tablet — the simplest CMC profile of the three companies reviewed. No novel delivery system, no autologous cell manufacturing, no DEA scheduling of the formulation. Multiple clinical batches have been manufactured across SUMMIT, PEAK, and APEX trials without CMC-related holds or delays. Source: Cogent IR.</w:t>
            </w:r>
          </w:p>
        </w:tc>
      </w:tr>
      <w:tr>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bCs/>
                <w:color w:val="375623"/>
                <w:sz w:val="18"/>
                <w:szCs w:val="18"/>
              </w:rPr>
              <w:t xml:space="preserve">Regulatory / Trial Design</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 STRONG PASS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FDA accepted the NonAdvSM NDA on March 16, 2026 with PDUFA December 30, 2026 and no advisory committee planned — a strong signal of FDA comfort with the data package. The GIST NDA is under Real-Time Oncology Review (RTOR), FDA's expedited review process. APEX (AdvSM) NDA on track for H1 2026. BTD granted for bezuclastinib in GIST combination. All three pivotal trials met primary and key secondary endpoints. FDA has been actively engaged throughout. Source: GlobeNewswire (Mar 16, 2026), Cogent IR.</w:t>
            </w:r>
          </w:p>
        </w:tc>
      </w:tr>
      <w:tr>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bCs/>
                <w:color w:val="375623"/>
                <w:sz w:val="18"/>
                <w:szCs w:val="18"/>
              </w:rPr>
              <w:t xml:space="preserve">IP / FTO</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 PASS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Bezuclastinib is a chemically distinct molecule from avapritinib (Ayvakit). Cogent holds composition-of-matter patents covering the bezuclastinib compound, synthetic methods, and formulations — estimated protection through 2035+. Clean freedom-to-operate vs. Blueprint/Sanofi's avapritinib IP estate. The two drugs are structurally distinct with different selectivity profiles; there is no credible IP infringement risk. Source: Cogent IR; OncLive mechanism comparison article.</w:t>
            </w:r>
          </w:p>
        </w:tc>
      </w:tr>
      <w:tr>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bCs/>
                <w:color w:val="375623"/>
                <w:sz w:val="18"/>
                <w:szCs w:val="18"/>
              </w:rPr>
              <w:t xml:space="preserve">Financing Runway</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 STRONG PASS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Cash of $900.8M at December 31, 2025 — runway explicitly guided into 2028. R&amp;D expense was $328.9M in 2025 (full-year); implying ~2.7 years of runway at current burn rate. This capital base was built via $546.8M in equity + convertible note offerings in November 2025. Critically, COGT does not need to raise capital before its first expected approval (NonAdvSM PDUFA Dec 30, 2026). This is the most robust financing position of the three companies reviewed. Source: StockTitan (FY2025 results, Feb 17, 2026).</w:t>
            </w:r>
          </w:p>
        </w:tc>
      </w:tr>
    </w:tbl>
    <w:p>
      <w:pPr>
        <w:spacing w:after="60" w:before="160"/>
      </w:pPr>
      <w:r>
        <w:rPr>
          <w:rFonts w:ascii="Arial" w:cs="Arial" w:eastAsia="Arial" w:hAnsi="Arial"/>
          <w:b/>
          <w:bCs/>
          <w:color w:val="1F3864"/>
          <w:sz w:val="20"/>
          <w:szCs w:val="20"/>
        </w:rPr>
        <w:t xml:space="preserve">Gate Summary: </w:t>
      </w:r>
      <w:r>
        <w:rPr>
          <w:rFonts w:ascii="Arial" w:cs="Arial" w:eastAsia="Arial" w:hAnsi="Arial"/>
          <w:sz w:val="20"/>
          <w:szCs w:val="20"/>
        </w:rPr>
        <w:t xml:space="preserve">COGT passes all four gates with the cleanest profile of the three companies reviewed. An oral small molecule, $901M in cash, FDA actively engaged across three programs, no CRL history, and clean IP are collectively the strongest enablers package in this series. The quality of the underlying company is not in question.</w:t>
      </w:r>
    </w:p>
    <w:p>
      <w:pPr>
        <w:pBdr>
          <w:bottom w:val="single" w:color="2E75B6" w:sz="4" w:space="1"/>
        </w:pBdr>
        <w:spacing w:after="80" w:before="80"/>
      </w:pPr>
      <w:r>
        <w:t xml:space="preserve"/>
      </w:r>
    </w:p>
    <w:p>
      <w:pPr>
        <w:spacing w:after="100" w:before="280"/>
      </w:pPr>
      <w:r>
        <w:rPr>
          <w:rFonts w:ascii="Arial" w:cs="Arial" w:eastAsia="Arial" w:hAnsi="Arial"/>
          <w:b/>
          <w:bCs/>
          <w:color w:val="1F3864"/>
          <w:sz w:val="28"/>
          <w:szCs w:val="28"/>
        </w:rPr>
        <w:t xml:space="preserve">THE VALUATION MODIFIER — The Framework's Critical Gap for COGT</w:t>
      </w:r>
    </w:p>
    <w:p>
      <w:pPr>
        <w:shd w:fill="FCE4D6" w:val="clear"/>
        <w:spacing w:after="80" w:before="80"/>
      </w:pPr>
      <w:r>
        <w:rPr>
          <w:rFonts w:ascii="Arial" w:cs="Arial" w:eastAsia="Arial" w:hAnsi="Arial"/>
          <w:b/>
          <w:bCs/>
          <w:color w:val="843C0C"/>
          <w:sz w:val="20"/>
          <w:szCs w:val="20"/>
        </w:rPr>
        <w:t xml:space="preserve">This section is not part of the original 3+1 Filter™ framework. It is an explicit addition required because the framework's implicit assumption — that you are evaluating an unpriced binary event — does not hold for COGT.</w:t>
      </w:r>
    </w:p>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80"/>
        <w:gridCol w:w="1680"/>
        <w:gridCol w:w="320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Metric</w:t>
            </w:r>
          </w:p>
        </w:tc>
        <w:tc>
          <w:tcPr>
            <w:tcW w:type="dxa" w:w="168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RCKT</w:t>
            </w:r>
          </w:p>
        </w:tc>
        <w:tc>
          <w:tcPr>
            <w:tcW w:type="dxa" w:w="168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DFTX</w:t>
            </w:r>
          </w:p>
        </w:tc>
        <w:tc>
          <w:tcPr>
            <w:tcW w:type="dxa" w:w="32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COGT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YoY stock return (approx.)</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18"/>
                <w:szCs w:val="18"/>
              </w:rPr>
              <w:t xml:space="preserve">+Elevated premarket</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18"/>
                <w:szCs w:val="18"/>
              </w:rPr>
              <w:t xml:space="preserve">Rebrand (Jan 2026)</w:t>
            </w:r>
          </w:p>
        </w:tc>
        <w:tc>
          <w:tcPr>
            <w:tcW w:type="dxa" w:w="32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+372% YoY  ← KEY FLAG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Current price vs analyst consensus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18"/>
                <w:szCs w:val="18"/>
              </w:rPr>
              <w:t xml:space="preserve">Near/at target</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44444"/>
                <w:sz w:val="18"/>
                <w:szCs w:val="18"/>
              </w:rPr>
              <w:t xml:space="preserve">Near target</w:t>
            </w:r>
          </w:p>
        </w:tc>
        <w:tc>
          <w:tcPr>
            <w:tcW w:type="dxa" w:w="32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$34.56 vs $28.08 consensus  (+23% ABOVE)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Catalysts already priced in?</w:t>
            </w:r>
          </w:p>
        </w:tc>
        <w:tc>
          <w:tcPr>
            <w:tcW w:type="dxa" w:w="1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375623"/>
                <w:sz w:val="18"/>
                <w:szCs w:val="18"/>
              </w:rPr>
              <w:t xml:space="preserve">No — PDUFA in 7 days</w:t>
            </w:r>
          </w:p>
        </w:tc>
        <w:tc>
          <w:tcPr>
            <w:tcW w:type="dxa" w:w="1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375623"/>
                <w:sz w:val="18"/>
                <w:szCs w:val="18"/>
              </w:rPr>
              <w:t xml:space="preserve">No — Phase 3 pending</w:t>
            </w:r>
          </w:p>
        </w:tc>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BF8F00"/>
                <w:sz w:val="18"/>
                <w:szCs w:val="18"/>
              </w:rPr>
              <w:t xml:space="preserve">Partially — +120% on PEAK Ph3 data; NDA accepted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Framework Valuation Modifier</w:t>
            </w:r>
          </w:p>
        </w:tc>
        <w:tc>
          <w:tcPr>
            <w:tcW w:type="dxa" w:w="1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375623"/>
                <w:sz w:val="18"/>
                <w:szCs w:val="18"/>
              </w:rPr>
              <w:t xml:space="preserve">Not needed</w:t>
            </w:r>
          </w:p>
        </w:tc>
        <w:tc>
          <w:tcPr>
            <w:tcW w:type="dxa" w:w="1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375623"/>
                <w:sz w:val="18"/>
                <w:szCs w:val="18"/>
              </w:rPr>
              <w:t xml:space="preserve">Not needed</w:t>
            </w:r>
          </w:p>
        </w:tc>
        <w:tc>
          <w:tcPr>
            <w:tcW w:type="dxa" w:w="32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 REQUIRED — Downgrade Core→Starter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Framework verdict (unadjusted)</w:t>
            </w:r>
          </w:p>
        </w:tc>
        <w:tc>
          <w:tcPr>
            <w:tcW w:type="dxa" w:w="16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BF8F00"/>
                <w:sz w:val="18"/>
                <w:szCs w:val="18"/>
              </w:rPr>
              <w:t xml:space="preserve">Go (Starter)</w:t>
            </w:r>
          </w:p>
        </w:tc>
        <w:tc>
          <w:tcPr>
            <w:tcW w:type="dxa" w:w="16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BF8F00"/>
                <w:sz w:val="18"/>
                <w:szCs w:val="18"/>
              </w:rPr>
              <w:t xml:space="preserve">Go (Starter)</w:t>
            </w:r>
          </w:p>
        </w:tc>
        <w:tc>
          <w:tcPr>
            <w:tcW w:type="dxa" w:w="3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Go (CORE) — 4.07/5.0</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Valuation-adjusted verdict</w:t>
            </w:r>
          </w:p>
        </w:tc>
        <w:tc>
          <w:tcPr>
            <w:tcW w:type="dxa" w:w="16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BF8F00"/>
                <w:sz w:val="18"/>
                <w:szCs w:val="18"/>
              </w:rPr>
              <w:t xml:space="preserve">Go (Starter)</w:t>
            </w:r>
          </w:p>
        </w:tc>
        <w:tc>
          <w:tcPr>
            <w:tcW w:type="dxa" w:w="16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BF8F00"/>
                <w:sz w:val="18"/>
                <w:szCs w:val="18"/>
              </w:rPr>
              <w:t xml:space="preserve">Go (Starter)</w:t>
            </w:r>
          </w:p>
        </w:tc>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BF8F00"/>
                <w:sz w:val="18"/>
                <w:szCs w:val="18"/>
              </w:rPr>
              <w:t xml:space="preserve">Go (Starter) — await pullback to ~$26-30 range</w:t>
            </w:r>
          </w:p>
        </w:tc>
      </w:tr>
    </w:tbl>
    <w:p>
      <w:pPr>
        <w:spacing w:after="60" w:before="160"/>
      </w:pPr>
      <w:r>
        <w:rPr>
          <w:rFonts w:ascii="Arial" w:cs="Arial" w:eastAsia="Arial" w:hAnsi="Arial"/>
          <w:b/>
          <w:bCs/>
          <w:color w:val="1F3864"/>
          <w:sz w:val="20"/>
          <w:szCs w:val="20"/>
        </w:rPr>
        <w:t xml:space="preserve">What's priced in: </w:t>
      </w:r>
      <w:r>
        <w:rPr>
          <w:rFonts w:ascii="Arial" w:cs="Arial" w:eastAsia="Arial" w:hAnsi="Arial"/>
          <w:sz w:val="20"/>
          <w:szCs w:val="20"/>
        </w:rPr>
        <w:t xml:space="preserve">The PEAK Phase 3 positive results drove a +120% stock move. The NDA acceptance for NonAdvSM was announced March 16, 2026 — five days ago. The stock's 52-week high is $43.73 vs. a 52-week low of $3.72. An investor buying today at $34.56 is paying for most of the good news already.</w:t>
      </w:r>
    </w:p>
    <w:p>
      <w:pPr>
        <w:pStyle w:val="ListParagraph"/>
        <w:numPr>
          <w:ilvl w:val="0"/>
          <w:numId w:val="2"/>
        </w:numPr>
        <w:spacing w:after="50" w:before="50"/>
      </w:pPr>
      <w:r>
        <w:rPr>
          <w:rFonts w:ascii="Arial" w:cs="Arial" w:eastAsia="Arial" w:hAnsi="Arial"/>
          <w:b/>
          <w:bCs/>
          <w:sz w:val="20"/>
          <w:szCs w:val="20"/>
        </w:rPr>
        <w:t xml:space="preserve">Analyst consensus at $28.08: </w:t>
      </w:r>
      <w:r>
        <w:rPr>
          <w:rFonts w:ascii="Arial" w:cs="Arial" w:eastAsia="Arial" w:hAnsi="Arial"/>
          <w:color w:val="333333"/>
          <w:sz w:val="20"/>
          <w:szCs w:val="20"/>
        </w:rPr>
        <w:t xml:space="preserve">13 analysts with an average Buy rating and a $28.08 price target implies the median institutional view is that the stock is ~23% overvalued at today's prices. This is not a bearish thesis on the drug — it reflects valuation discipline.</w:t>
      </w:r>
    </w:p>
    <w:p>
      <w:pPr>
        <w:pStyle w:val="ListParagraph"/>
        <w:numPr>
          <w:ilvl w:val="0"/>
          <w:numId w:val="2"/>
        </w:numPr>
        <w:spacing w:after="50" w:before="50"/>
      </w:pPr>
      <w:r>
        <w:rPr>
          <w:rFonts w:ascii="Arial" w:cs="Arial" w:eastAsia="Arial" w:hAnsi="Arial"/>
          <w:b/>
          <w:bCs/>
          <w:sz w:val="20"/>
          <w:szCs w:val="20"/>
        </w:rPr>
        <w:t xml:space="preserve">What drives upside from here: </w:t>
      </w:r>
      <w:r>
        <w:rPr>
          <w:rFonts w:ascii="Arial" w:cs="Arial" w:eastAsia="Arial" w:hAnsi="Arial"/>
          <w:color w:val="333333"/>
          <w:sz w:val="20"/>
          <w:szCs w:val="20"/>
        </w:rPr>
        <w:t xml:space="preserve">At current prices, upside requires either (a) a clean December 30 approval + strong commercial launch data, (b) M&amp;A at a premium to intrinsic value, or (c) the GIST NDA under RTOR coming through faster than expected. Multiple expansion from approval is likely less dramatic than for RCKT or DFTX, because some of it is already priced.</w:t>
      </w:r>
    </w:p>
    <w:p>
      <w:pPr>
        <w:pStyle w:val="ListParagraph"/>
        <w:numPr>
          <w:ilvl w:val="0"/>
          <w:numId w:val="2"/>
        </w:numPr>
        <w:spacing w:after="50" w:before="50"/>
      </w:pPr>
      <w:r>
        <w:rPr>
          <w:rFonts w:ascii="Arial" w:cs="Arial" w:eastAsia="Arial" w:hAnsi="Arial"/>
          <w:b/>
          <w:bCs/>
          <w:sz w:val="20"/>
          <w:szCs w:val="20"/>
        </w:rPr>
        <w:t xml:space="preserve">When to size up to Core: </w:t>
      </w:r>
      <w:r>
        <w:rPr>
          <w:rFonts w:ascii="Arial" w:cs="Arial" w:eastAsia="Arial" w:hAnsi="Arial"/>
          <w:color w:val="333333"/>
          <w:sz w:val="20"/>
          <w:szCs w:val="20"/>
        </w:rPr>
        <w:t xml:space="preserve">If the stock pulls back to $26–30 (near or below analyst consensus), the risk/reward improves materially. Alternatively, if the December 30 approval arrives and early commercial data (Q1 2027) shows strong physician uptake, the stock re-rates on forward revenue rather than option value — and Core sizing becomes appropriate.</w:t>
      </w:r>
    </w:p>
    <w:p>
      <w:pPr>
        <w:pBdr>
          <w:bottom w:val="single" w:color="2E75B6" w:sz="4" w:space="1"/>
        </w:pBdr>
        <w:spacing w:after="80" w:before="80"/>
      </w:pPr>
      <w:r>
        <w:t xml:space="preserve"/>
      </w:r>
    </w:p>
    <w:p>
      <w:pPr>
        <w:spacing w:after="100" w:before="280"/>
      </w:pPr>
      <w:r>
        <w:rPr>
          <w:rFonts w:ascii="Arial" w:cs="Arial" w:eastAsia="Arial" w:hAnsi="Arial"/>
          <w:b/>
          <w:bCs/>
          <w:color w:val="1F3864"/>
          <w:sz w:val="28"/>
          <w:szCs w:val="28"/>
        </w:rPr>
        <w:t xml:space="preserve">SCENARIO ANALYSIS  |  Multiple Catalysts Through 2026-2027</w:t>
      </w:r>
    </w:p>
    <w:p>
      <w:pPr>
        <w:spacing w:after="60" w:before="60"/>
      </w:pPr>
      <w:r>
        <w:rPr>
          <w:rFonts w:ascii="Arial" w:cs="Arial" w:eastAsia="Arial" w:hAnsi="Arial"/>
          <w:b w:val="false"/>
          <w:bCs w:val="false"/>
          <w:color w:val="555555"/>
          <w:sz w:val="20"/>
          <w:szCs w:val="20"/>
        </w:rPr>
        <w:t xml:space="preserve">COGT is not a single-catalyst story. Multiple potential approval events, commercial launches, and M&amp;A optionality create overlapping scenario paths.</w:t>
      </w:r>
    </w:p>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41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Scenario</w:t>
            </w:r>
          </w:p>
        </w:tc>
        <w:tc>
          <w:tcPr>
            <w:tcW w:type="dxa" w:w="14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Probability (est.)</w:t>
            </w:r>
          </w:p>
        </w:tc>
        <w:tc>
          <w:tcPr>
            <w:tcW w:type="dxa" w:w="14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Stock Impact</w:t>
            </w:r>
          </w:p>
        </w:tc>
        <w:tc>
          <w:tcPr>
            <w:tcW w:type="dxa" w:w="416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Key Driver</w:t>
            </w:r>
          </w:p>
        </w:tc>
      </w:tr>
      <w:tr>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bCs/>
                <w:color w:val="375623"/>
                <w:sz w:val="18"/>
                <w:szCs w:val="18"/>
              </w:rPr>
              <w:t xml:space="preserve">PDUFA Dec 30 → full NonAdvSM approval</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375623"/>
                <w:sz w:val="18"/>
                <w:szCs w:val="18"/>
              </w:rPr>
              <w:t xml:space="preserve">~70–75%</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+30–60%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First commercial approval; product launch begins; GIST and AdvSM approvals follow within 6-12 months; Sanofi precedent validates $300-400K/yr pricing; commercial execution key watch</w:t>
            </w:r>
          </w:p>
        </w:tc>
      </w:tr>
      <w:tr>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bCs/>
                <w:color w:val="375623"/>
                <w:sz w:val="18"/>
                <w:szCs w:val="18"/>
              </w:rPr>
              <w:t xml:space="preserve">GIST NDA approved via RTOR (accelerated)</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375623"/>
                <w:sz w:val="18"/>
                <w:szCs w:val="18"/>
              </w:rPr>
              <w:t xml:space="preserve">~60–70%</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+20–40%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RTOR approval ahead of NonAdvSM PDUFA possible; GIST market ~$1B globally; combination regimen is standard-of-care setting opportunity</w:t>
            </w:r>
          </w:p>
        </w:tc>
      </w:tr>
      <w:tr>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bCs/>
                <w:color w:val="375623"/>
                <w:sz w:val="18"/>
                <w:szCs w:val="18"/>
              </w:rPr>
              <w:t xml:space="preserve">M&amp;A acquisition (Big Pharma)</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375623"/>
                <w:sz w:val="18"/>
                <w:szCs w:val="18"/>
              </w:rPr>
              <w:t xml:space="preserve">~20–30%</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+40–80%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Three-indication platform approaching commercial stage; Sanofi paid $9.1B for Blueprint/Ayvakit precedent. Novartis, Pfizer, Roche active acquirers in oncology platform assets</w:t>
            </w:r>
          </w:p>
        </w:tc>
      </w:tr>
      <w:tr>
        <w:tc>
          <w:tcPr>
            <w:tcW w:type="dxa" w:w="24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left"/>
            </w:pPr>
            <w:r>
              <w:rPr>
                <w:rFonts w:ascii="Arial" w:cs="Arial" w:eastAsia="Arial" w:hAnsi="Arial"/>
                <w:b/>
                <w:bCs/>
                <w:color w:val="C00000"/>
                <w:sz w:val="18"/>
                <w:szCs w:val="18"/>
              </w:rPr>
              <w:t xml:space="preserve">CRL / approval delay (any program)</w:t>
            </w:r>
          </w:p>
        </w:tc>
        <w:tc>
          <w:tcPr>
            <w:tcW w:type="dxa" w:w="14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val="false"/>
                <w:bCs w:val="false"/>
                <w:color w:val="C00000"/>
                <w:sz w:val="18"/>
                <w:szCs w:val="18"/>
              </w:rPr>
              <w:t xml:space="preserve">~10–15%</w:t>
            </w:r>
          </w:p>
        </w:tc>
        <w:tc>
          <w:tcPr>
            <w:tcW w:type="dxa" w:w="14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bCs/>
                <w:color w:val="C00000"/>
                <w:sz w:val="18"/>
                <w:szCs w:val="18"/>
              </w:rPr>
              <w:t xml:space="preserve">–30–50%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Given clean NDA acceptance with no AdCom and all endpoints met, a CRL would be unexpected; most likely cause would be CMC (unlikely) or labelling dispute</w:t>
            </w:r>
          </w:p>
        </w:tc>
      </w:tr>
      <w:tr>
        <w:tc>
          <w:tcPr>
            <w:tcW w:type="dxa" w:w="2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bCs/>
                <w:color w:val="BF8F00"/>
                <w:sz w:val="18"/>
                <w:szCs w:val="18"/>
              </w:rPr>
              <w:t xml:space="preserve">Commercial underperformance post-launch</w:t>
            </w:r>
          </w:p>
        </w:tc>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BF8F00"/>
                <w:sz w:val="18"/>
                <w:szCs w:val="18"/>
              </w:rPr>
              <w:t xml:space="preserve">~30–40%</w:t>
            </w:r>
          </w:p>
        </w:tc>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BF8F00"/>
                <w:sz w:val="18"/>
                <w:szCs w:val="18"/>
              </w:rPr>
              <w:t xml:space="preserve">–20–40%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Physician inertia with avapritinib; Sanofi's sales force and payer contracts already in place; slow market share capture; the key post-approval risk at current valuation</w:t>
            </w:r>
          </w:p>
        </w:tc>
      </w:tr>
    </w:tbl>
    <w:p>
      <w:pPr>
        <w:pBdr>
          <w:bottom w:val="single" w:color="2E75B6" w:sz="4" w:space="1"/>
        </w:pBdr>
        <w:spacing w:after="80" w:before="80"/>
      </w:pPr>
      <w:r>
        <w:t xml:space="preserve"/>
      </w:r>
    </w:p>
    <w:p>
      <w:pPr>
        <w:spacing w:after="100" w:before="200"/>
      </w:pPr>
      <w:r>
        <w:rPr>
          <w:rFonts w:ascii="Arial" w:cs="Arial" w:eastAsia="Arial" w:hAnsi="Arial"/>
          <w:b/>
          <w:bCs/>
          <w:color w:val="1F3864"/>
          <w:sz w:val="28"/>
          <w:szCs w:val="28"/>
        </w:rPr>
        <w:t xml:space="preserve">FINAL VERDICT &amp; ACTION PLAN</w:t>
      </w:r>
    </w:p>
    <w:p>
      <w:pPr>
        <w:shd w:fill="FFF2CC" w:val="clear"/>
        <w:spacing w:after="60" w:before="80"/>
      </w:pPr>
      <w:r>
        <w:rPr>
          <w:rFonts w:ascii="Arial" w:cs="Arial" w:eastAsia="Arial" w:hAnsi="Arial"/>
          <w:b/>
          <w:bCs/>
          <w:color w:val="843C0C"/>
          <w:sz w:val="22"/>
          <w:szCs w:val="22"/>
        </w:rPr>
        <w:t xml:space="preserve">DRUG QUALITY:  GO (CORE)  |  STOCK AT CURRENT PRICE:  GO (STARTER) — Await better entry</w:t>
      </w:r>
    </w:p>
    <w:p>
      <w:pPr>
        <w:spacing w:after="60" w:before="60"/>
      </w:pPr>
      <w:r>
        <w:rPr>
          <w:rFonts w:ascii="Arial" w:cs="Arial" w:eastAsia="Arial" w:hAnsi="Arial"/>
          <w:b/>
          <w:bCs/>
          <w:color w:val="333333"/>
          <w:sz w:val="20"/>
          <w:szCs w:val="20"/>
        </w:rPr>
        <w:t xml:space="preserve">These are two different answers to two different questions. The drug is worth owning. The stock at $34.56 vs $28.08 analyst consensus requires valuation discipline.</w:t>
      </w:r>
    </w:p>
    <w:p>
      <w:pPr>
        <w:pStyle w:val="ListParagraph"/>
        <w:numPr>
          <w:ilvl w:val="0"/>
          <w:numId w:val="2"/>
        </w:numPr>
        <w:spacing w:after="50" w:before="50"/>
      </w:pPr>
      <w:r>
        <w:rPr>
          <w:rFonts w:ascii="Arial" w:cs="Arial" w:eastAsia="Arial" w:hAnsi="Arial"/>
          <w:b/>
          <w:bCs/>
          <w:sz w:val="20"/>
          <w:szCs w:val="20"/>
        </w:rPr>
        <w:t xml:space="preserve">Initiating now: </w:t>
      </w:r>
      <w:r>
        <w:rPr>
          <w:rFonts w:ascii="Arial" w:cs="Arial" w:eastAsia="Arial" w:hAnsi="Arial"/>
          <w:color w:val="333333"/>
          <w:sz w:val="20"/>
          <w:szCs w:val="20"/>
        </w:rPr>
        <w:t xml:space="preserve">If you have no position, a small Starter (0.5–1%) is defensible given the drug quality and the diversified multi-program pipeline. The downside from current levels (~30-50% in a worst-case delay scenario) is manageable at a Starter size. Do not chase to Core at current prices.</w:t>
      </w:r>
    </w:p>
    <w:p>
      <w:pPr>
        <w:pStyle w:val="ListParagraph"/>
        <w:numPr>
          <w:ilvl w:val="0"/>
          <w:numId w:val="2"/>
        </w:numPr>
        <w:spacing w:after="50" w:before="50"/>
      </w:pPr>
      <w:r>
        <w:rPr>
          <w:rFonts w:ascii="Arial" w:cs="Arial" w:eastAsia="Arial" w:hAnsi="Arial"/>
          <w:b/>
          <w:bCs/>
          <w:sz w:val="20"/>
          <w:szCs w:val="20"/>
        </w:rPr>
        <w:t xml:space="preserve">On pullback to $26–30: </w:t>
      </w:r>
      <w:r>
        <w:rPr>
          <w:rFonts w:ascii="Arial" w:cs="Arial" w:eastAsia="Arial" w:hAnsi="Arial"/>
          <w:color w:val="333333"/>
          <w:sz w:val="20"/>
          <w:szCs w:val="20"/>
        </w:rPr>
        <w:t xml:space="preserve">This is the Core entry zone. At or near analyst consensus, the risk/reward is much more favourable. Buy the drug quality at fair value, not above it.</w:t>
      </w:r>
    </w:p>
    <w:p>
      <w:pPr>
        <w:pStyle w:val="ListParagraph"/>
        <w:numPr>
          <w:ilvl w:val="0"/>
          <w:numId w:val="2"/>
        </w:numPr>
        <w:spacing w:after="50" w:before="50"/>
      </w:pPr>
      <w:r>
        <w:rPr>
          <w:rFonts w:ascii="Arial" w:cs="Arial" w:eastAsia="Arial" w:hAnsi="Arial"/>
          <w:b/>
          <w:bCs/>
          <w:sz w:val="20"/>
          <w:szCs w:val="20"/>
        </w:rPr>
        <w:t xml:space="preserve">PDUFA December 30, 2026: </w:t>
      </w:r>
      <w:r>
        <w:rPr>
          <w:rFonts w:ascii="Arial" w:cs="Arial" w:eastAsia="Arial" w:hAnsi="Arial"/>
          <w:color w:val="333333"/>
          <w:sz w:val="20"/>
          <w:szCs w:val="20"/>
        </w:rPr>
        <w:t xml:space="preserve">Position ahead of this date if you want to hold the binary event. This is a 9-month horizon — not 7 days like RCKT. Factor in time value and opportunity cost when sizing pre-PDUFA. The long lead time also allows you to build the position gradually on any price weakness.</w:t>
      </w:r>
    </w:p>
    <w:p>
      <w:pPr>
        <w:pStyle w:val="ListParagraph"/>
        <w:numPr>
          <w:ilvl w:val="0"/>
          <w:numId w:val="2"/>
        </w:numPr>
        <w:spacing w:after="50" w:before="50"/>
      </w:pPr>
      <w:r>
        <w:rPr>
          <w:rFonts w:ascii="Arial" w:cs="Arial" w:eastAsia="Arial" w:hAnsi="Arial"/>
          <w:b/>
          <w:bCs/>
          <w:sz w:val="20"/>
          <w:szCs w:val="20"/>
        </w:rPr>
        <w:t xml:space="preserve">M&amp;A watch: </w:t>
      </w:r>
      <w:r>
        <w:rPr>
          <w:rFonts w:ascii="Arial" w:cs="Arial" w:eastAsia="Arial" w:hAnsi="Arial"/>
          <w:color w:val="333333"/>
          <w:sz w:val="20"/>
          <w:szCs w:val="20"/>
        </w:rPr>
        <w:t xml:space="preserve">Sanofi paid $9.1B for Blueprint/Ayvakit. A company with three approved KIT inhibitor indications would be worth significantly more. Pfizer, Novartis, and Roche are the most likely acquirers given their oncology platforms. M&amp;A optionality is not in the 3+1 framework but is a real asymmetric upside scenario at Starter sizing.</w:t>
      </w:r>
    </w:p>
    <w:p>
      <w:pPr>
        <w:pStyle w:val="ListParagraph"/>
        <w:numPr>
          <w:ilvl w:val="0"/>
          <w:numId w:val="2"/>
        </w:numPr>
        <w:spacing w:after="50" w:before="50"/>
      </w:pPr>
      <w:r>
        <w:rPr>
          <w:rFonts w:ascii="Arial" w:cs="Arial" w:eastAsia="Arial" w:hAnsi="Arial"/>
          <w:b/>
          <w:bCs/>
          <w:sz w:val="20"/>
          <w:szCs w:val="20"/>
        </w:rPr>
        <w:t xml:space="preserve">Key comparison to RCKT and DFTX: </w:t>
      </w:r>
      <w:r>
        <w:rPr>
          <w:rFonts w:ascii="Arial" w:cs="Arial" w:eastAsia="Arial" w:hAnsi="Arial"/>
          <w:color w:val="333333"/>
          <w:sz w:val="20"/>
          <w:szCs w:val="20"/>
        </w:rPr>
        <w:t xml:space="preserve">COGT is the highest quality company of the three per the framework (4.1 composite, all gates green). But it is the worst entry point from a valuation standpoint. RCKT and DFTX are better positioned for near-term binary upside. COGT is the better long-term thesis if the price cooperates.</w:t>
      </w:r>
    </w:p>
    <w:p>
      <w:pPr>
        <w:pBdr>
          <w:top w:val="single" w:color="CCCCCC" w:sz="4" w:space="4"/>
          <w:bottom w:val="single" w:color="CCCCCC" w:sz="4" w:space="4"/>
        </w:pBdr>
        <w:shd w:fill="F5F5F5" w:val="clear"/>
        <w:spacing w:after="80" w:before="200"/>
      </w:pPr>
      <w:r>
        <w:rPr>
          <w:rFonts w:ascii="Arial" w:cs="Arial" w:eastAsia="Arial" w:hAnsi="Arial"/>
          <w:b/>
          <w:bCs/>
          <w:color w:val="444444"/>
          <w:sz w:val="18"/>
          <w:szCs w:val="18"/>
        </w:rPr>
        <w:t xml:space="preserve">DISCLAIMER: </w:t>
      </w:r>
      <w:r>
        <w:rPr>
          <w:rFonts w:ascii="Arial" w:cs="Arial" w:eastAsia="Arial" w:hAnsi="Arial"/>
          <w:color w:val="777777"/>
          <w:sz w:val="16"/>
          <w:szCs w:val="16"/>
        </w:rPr>
        <w:t xml:space="preserve">This analysis applies the 3+1 Filter™ framework and adds an explicit Valuation Modifier not in the original framework. For informational purposes only. Not investment advice. Sources: Cogent Biosciences IR (cogentbio.com); GlobeNewswire NDA acceptance (Mar 16, 2026); StockTitan FY2025 results (Feb 17, 2026); OncLive mechanism comparison; BioSpace; Blueprint Medicines IR; Sanofi press release ($9.1B acquisition, Jun 2025); Yahoo Finance COGT quote; Simply Wall St.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pPr>
    <w:r>
      <w:rPr>
        <w:rFonts w:ascii="Arial" w:cs="Arial" w:eastAsia="Arial" w:hAnsi="Arial"/>
        <w:color w:val="AAAAAA"/>
        <w:sz w:val="16"/>
        <w:szCs w:val="16"/>
      </w:rPr>
      <w:t xml:space="preserve">NOT INVESTMENT ADVICE — For informational purposes only  |  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888888"/>
        <w:sz w:val="16"/>
        <w:szCs w:val="16"/>
      </w:rPr>
      <w:t xml:space="preserve">The 3+1 Filter™ — Investment Analysis  |  </w:t>
    </w:r>
    <w:r>
      <w:rPr>
        <w:rFonts w:ascii="Arial" w:cs="Arial" w:eastAsia="Arial" w:hAnsi="Arial"/>
        <w:b/>
        <w:bCs/>
        <w:color w:val="1F3864"/>
        <w:sz w:val="16"/>
        <w:szCs w:val="16"/>
      </w:rPr>
      <w:t xml:space="preserve">Cogent Biosciences (COGT)</w:t>
    </w:r>
    <w:r>
      <w:rPr>
        <w:rFonts w:ascii="Arial" w:cs="Arial" w:eastAsia="Arial" w:hAnsi="Arial"/>
        <w:color w:val="888888"/>
        <w:sz w:val="16"/>
        <w:szCs w:val="16"/>
      </w:rPr>
      <w:t xml:space="preserve">  |  March 21,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2026-03-22T04:52:39.959Z</dcterms:created>
  <dcterms:modified xsi:type="dcterms:W3CDTF">2026-03-22T04:52:39.959Z</dcterms:modified>
</cp:coreProperties>
</file>

<file path=docProps/custom.xml><?xml version="1.0" encoding="utf-8"?>
<Properties xmlns="http://schemas.openxmlformats.org/officeDocument/2006/custom-properties" xmlns:vt="http://schemas.openxmlformats.org/officeDocument/2006/docPropsVTypes"/>
</file>