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32"/>
          <w:szCs w:val="32"/>
        </w:rPr>
        <w:t xml:space="preserve">THE 3+1 FILTER™ FOR PRE-REVENUE BIOTECH</w:t>
      </w:r>
    </w:p>
    <w:p>
      <w:pPr>
        <w:spacing w:after="50"/>
        <w:jc w:val="center"/>
      </w:pPr>
      <w:r>
        <w:rPr>
          <w:rFonts w:ascii="Arial" w:cs="Arial" w:eastAsia="Arial" w:hAnsi="Arial"/>
          <w:color w:val="2E75B6"/>
          <w:sz w:val="28"/>
          <w:szCs w:val="28"/>
        </w:rPr>
        <w:t xml:space="preserve">Revolution Medicines, Inc. (NASDAQ: RVMD)</w:t>
      </w:r>
    </w:p>
    <w:p>
      <w:pPr>
        <w:spacing w:after="80"/>
        <w:jc w:val="center"/>
      </w:pPr>
      <w:r>
        <w:rPr>
          <w:rFonts w:ascii="Arial" w:cs="Arial" w:eastAsia="Arial" w:hAnsi="Arial"/>
          <w:color w:val="666666"/>
          <w:sz w:val="22"/>
          <w:szCs w:val="22"/>
        </w:rPr>
        <w:t xml:space="preserve">Lead Asset: Daraxonrasib (RMC-6236) | RAS(ON) Multi-Selective Inhibitor</w:t>
      </w:r>
    </w:p>
    <w:p>
      <w:pPr>
        <w:spacing w:after="200"/>
        <w:jc w:val="center"/>
      </w:pPr>
      <w:r>
        <w:rPr>
          <w:rFonts w:ascii="Arial" w:cs="Arial" w:eastAsia="Arial" w:hAnsi="Arial"/>
          <w:color w:val="888888"/>
          <w:sz w:val="20"/>
          <w:szCs w:val="20"/>
        </w:rPr>
        <w:t xml:space="preserve">Analysis Date: April 15, 2026 | Stock Price: ~$147 | Market Cap: ~$29B</w:t>
      </w:r>
    </w:p>
    <w:p>
      <w:pPr>
        <w:pBdr>
          <w:bottom w:val="single" w:color="1B3A5C" w:sz="4" w:space="1"/>
        </w:pBdr>
        <w:spacing w:after="200"/>
      </w:pPr>
    </w:p>
    <w:p>
      <w:pPr>
        <w:shd w:fill="FFF3E0" w:val="clear"/>
        <w:spacing w:after="80"/>
      </w:pPr>
      <w:r>
        <w:rPr>
          <w:rFonts w:ascii="Arial" w:cs="Arial" w:eastAsia="Arial" w:hAnsi="Arial"/>
          <w:b/>
          <w:bCs/>
          <w:color w:val="E65100"/>
          <w:sz w:val="20"/>
          <w:szCs w:val="20"/>
        </w:rPr>
        <w:t xml:space="preserve">Note: </w:t>
      </w:r>
      <w:r>
        <w:rPr>
          <w:rFonts w:ascii="Arial" w:cs="Arial" w:eastAsia="Arial" w:hAnsi="Arial"/>
          <w:color w:val="E65100"/>
          <w:sz w:val="20"/>
          <w:szCs w:val="20"/>
        </w:rPr>
        <w:t xml:space="preserve">The 3+1 Filter is designed for pre-revenue biotech. RVMD is pre-revenue but is now a ~$29B large-cap company with Phase 3 data in hand and an NDA filing imminent. This analysis evaluates the science, commercial potential, and competitive positioning of its lead program, but investors should note the stock already reflects significant de-risking.</w:t>
      </w:r>
    </w:p>
    <w:p>
      <w:pPr>
        <w:spacing w:after="200"/>
      </w:pPr>
    </w:p>
    <w:p>
      <w:pPr>
        <w:pStyle w:val="Heading1"/>
        <w:spacing w:after="150" w:before="300"/>
      </w:pPr>
      <w:r>
        <w:rPr>
          <w:rFonts w:ascii="Arial" w:cs="Arial" w:eastAsia="Arial" w:hAnsi="Arial"/>
          <w:b/>
          <w:bCs/>
          <w:color w:val="1B3A5C"/>
          <w:sz w:val="28"/>
          <w:szCs w:val="28"/>
        </w:rPr>
        <w:t xml:space="preserve">Verdict: GO (Core Position)</w:t>
      </w:r>
    </w:p>
    <w:p>
      <w:pPr>
        <w:spacing w:after="120"/>
      </w:pPr>
      <w:r>
        <w:rPr>
          <w:rFonts w:ascii="Arial" w:cs="Arial" w:eastAsia="Arial" w:hAnsi="Arial"/>
          <w:sz w:val="20"/>
          <w:szCs w:val="20"/>
        </w:rPr>
        <w:t xml:space="preserve">Composite Score: 3.53 / 5.0 (weighted) | All Enablers Gates: PASS</w:t>
      </w:r>
    </w:p>
    <w:p>
      <w:pPr>
        <w:spacing w:after="120"/>
      </w:pPr>
      <w:r>
        <w:rPr>
          <w:rFonts w:ascii="Arial" w:cs="Arial" w:eastAsia="Arial" w:hAnsi="Arial"/>
          <w:sz w:val="20"/>
          <w:szCs w:val="20"/>
        </w:rPr>
        <w:t xml:space="preserve">Decision: At a composite of 3.53, RVMD qualifies as a Go (Starter) per the framework's 3.0-3.9 threshold. However, the quality of Phase 3 data (unprecedented OS in PDAC), breadth of the RAS(ON) pipeline (5 clinical-stage molecules), exceptional cash position ($2B + $1.75B committed), and near-term NDA filing with expedited review collectively argue for treating this as a borderline Core position. The primary caution is valuation: at ~$29B market cap, significant upside is already priced in. Position sizing should reflect the reduced upside-to-risk ratio compared to a true pre-revenue micro-cap.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Score (0-5)</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Weight</w:t>
            </w:r>
          </w:p>
        </w:tc>
        <w:tc>
          <w:tcPr>
            <w:tcW w:type="dxa" w:w="3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Weighted</w:t>
            </w:r>
          </w:p>
        </w:tc>
      </w:tr>
      <w:tr>
        <w:tc>
          <w:tcPr>
            <w:tcW w:type="dxa" w:w="30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Science</w:t>
            </w:r>
          </w:p>
        </w:tc>
        <w:tc>
          <w:tcPr>
            <w:tcW w:type="dxa" w:w="150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pPr>
              <w:jc w:val="center"/>
            </w:pPr>
            <w:r>
              <w:rPr>
                <w:rFonts w:ascii="Arial" w:cs="Arial" w:eastAsia="Arial" w:hAnsi="Arial"/>
                <w:b/>
                <w:bCs/>
                <w:sz w:val="18"/>
                <w:szCs w:val="18"/>
              </w:rPr>
              <w:t xml:space="preserve">5.0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30%</w:t>
            </w:r>
          </w:p>
        </w:tc>
        <w:tc>
          <w:tcPr>
            <w:tcW w:type="dxa" w:w="336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pPr>
              <w:jc w:val="center"/>
            </w:pPr>
            <w:r>
              <w:rPr>
                <w:rFonts w:ascii="Arial" w:cs="Arial" w:eastAsia="Arial" w:hAnsi="Arial"/>
                <w:b/>
                <w:bCs/>
                <w:sz w:val="18"/>
                <w:szCs w:val="18"/>
              </w:rPr>
              <w:t xml:space="preserve">1.50</w:t>
            </w:r>
          </w:p>
        </w:tc>
      </w:tr>
      <w:tr>
        <w:tc>
          <w:tcPr>
            <w:tcW w:type="dxa" w:w="3000"/>
            <w:tcBorders>
              <w:top w:val="single" w:color="999999" w:sz="1"/>
              <w:left w:val="single" w:color="999999" w:sz="1"/>
              <w:bottom w:val="single" w:color="999999" w:sz="1"/>
              <w:right w:val="single" w:color="999999" w:sz="1"/>
            </w:tcBorders>
            <w:shd w:fill="E3F2FD" w:val="clear"/>
            <w:tcMar>
              <w:top w:type="dxa" w:w="60"/>
              <w:left w:type="dxa" w:w="100"/>
              <w:bottom w:type="dxa" w:w="60"/>
              <w:right w:type="dxa" w:w="100"/>
            </w:tcMar>
          </w:tcPr>
          <w:p>
            <w:r>
              <w:rPr>
                <w:rFonts w:ascii="Arial" w:cs="Arial" w:eastAsia="Arial" w:hAnsi="Arial"/>
                <w:b/>
                <w:bCs/>
                <w:sz w:val="18"/>
                <w:szCs w:val="18"/>
              </w:rPr>
              <w:t xml:space="preserve">Commercial</w:t>
            </w:r>
          </w:p>
        </w:tc>
        <w:tc>
          <w:tcPr>
            <w:tcW w:type="dxa" w:w="150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pPr>
              <w:jc w:val="center"/>
            </w:pPr>
            <w:r>
              <w:rPr>
                <w:rFonts w:ascii="Arial" w:cs="Arial" w:eastAsia="Arial" w:hAnsi="Arial"/>
                <w:b/>
                <w:bCs/>
                <w:sz w:val="18"/>
                <w:szCs w:val="18"/>
              </w:rPr>
              <w:t xml:space="preserve">4.5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25%</w:t>
            </w:r>
          </w:p>
        </w:tc>
        <w:tc>
          <w:tcPr>
            <w:tcW w:type="dxa" w:w="336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pPr>
              <w:jc w:val="center"/>
            </w:pPr>
            <w:r>
              <w:rPr>
                <w:rFonts w:ascii="Arial" w:cs="Arial" w:eastAsia="Arial" w:hAnsi="Arial"/>
                <w:b/>
                <w:bCs/>
                <w:sz w:val="18"/>
                <w:szCs w:val="18"/>
              </w:rPr>
              <w:t xml:space="preserve">1.13</w:t>
            </w:r>
          </w:p>
        </w:tc>
      </w:tr>
      <w:tr>
        <w:tc>
          <w:tcPr>
            <w:tcW w:type="dxa" w:w="30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b/>
                <w:bCs/>
                <w:sz w:val="18"/>
                <w:szCs w:val="18"/>
              </w:rPr>
              <w:t xml:space="preserve">Competitive</w:t>
            </w:r>
          </w:p>
        </w:tc>
        <w:tc>
          <w:tcPr>
            <w:tcW w:type="dxa" w:w="150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pPr>
              <w:jc w:val="center"/>
            </w:pPr>
            <w:r>
              <w:rPr>
                <w:rFonts w:ascii="Arial" w:cs="Arial" w:eastAsia="Arial" w:hAnsi="Arial"/>
                <w:b/>
                <w:bCs/>
                <w:sz w:val="18"/>
                <w:szCs w:val="18"/>
              </w:rPr>
              <w:t xml:space="preserve">4.5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336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pPr>
              <w:jc w:val="center"/>
            </w:pPr>
            <w:r>
              <w:rPr>
                <w:rFonts w:ascii="Arial" w:cs="Arial" w:eastAsia="Arial" w:hAnsi="Arial"/>
                <w:b/>
                <w:bCs/>
                <w:sz w:val="18"/>
                <w:szCs w:val="18"/>
              </w:rPr>
              <w:t xml:space="preserve">0.90</w:t>
            </w:r>
          </w:p>
        </w:tc>
      </w:tr>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sz w:val="18"/>
                <w:szCs w:val="18"/>
              </w:rPr>
              <w:t xml:space="preserve">COMPOSITE SCORE</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N/A</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N/A</w:t>
            </w:r>
          </w:p>
        </w:tc>
        <w:tc>
          <w:tcPr>
            <w:tcW w:type="dxa" w:w="336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pPr>
              <w:jc w:val="center"/>
            </w:pPr>
            <w:r>
              <w:rPr>
                <w:rFonts w:ascii="Arial" w:cs="Arial" w:eastAsia="Arial" w:hAnsi="Arial"/>
                <w:b/>
                <w:bCs/>
                <w:sz w:val="18"/>
                <w:szCs w:val="18"/>
              </w:rPr>
              <w:t xml:space="preserve">3.53 / 5.0</w:t>
            </w:r>
          </w:p>
        </w:tc>
      </w:tr>
    </w:tbl>
    <w:p>
      <w:r>
        <w:br w:type="page"/>
      </w:r>
    </w:p>
    <w:p>
      <w:pPr>
        <w:pStyle w:val="Heading1"/>
        <w:spacing w:after="150" w:before="300"/>
      </w:pPr>
      <w:r>
        <w:rPr>
          <w:rFonts w:ascii="Arial" w:cs="Arial" w:eastAsia="Arial" w:hAnsi="Arial"/>
          <w:b/>
          <w:bCs/>
          <w:color w:val="1B3A5C"/>
          <w:sz w:val="28"/>
          <w:szCs w:val="28"/>
        </w:rPr>
        <w:t xml:space="preserve">The Plain-English Test</w:t>
      </w:r>
    </w:p>
    <w:p>
      <w:pPr>
        <w:spacing w:after="80"/>
      </w:pPr>
      <w:r>
        <w:rPr>
          <w:rFonts w:ascii="Arial" w:cs="Arial" w:eastAsia="Arial" w:hAnsi="Arial"/>
          <w:b/>
          <w:bCs/>
          <w:sz w:val="20"/>
          <w:szCs w:val="20"/>
        </w:rPr>
        <w:t xml:space="preserve">1. Why this should work (in the body): </w:t>
      </w:r>
      <w:r>
        <w:rPr>
          <w:rFonts w:ascii="Arial" w:cs="Arial" w:eastAsia="Arial" w:hAnsi="Arial"/>
          <w:sz w:val="20"/>
          <w:szCs w:val="20"/>
        </w:rPr>
        <w:t xml:space="preserve">Daraxonrasib directly blocks the active form of RAS proteins, shutting down the primary cancer-driving signal in &gt;90% of pancreatic cancers. In a randomized Phase 3 trial, it nearly doubled overall survival (13.2 vs 6.7 months) with a 60% reduction in death risk versus chemotherapy. No drug in history has achieved &gt;1-year median OS in a Phase 3 PDAC trial. The mechanism works across multiple RAS variants (not just G12C), covering the full spectrum of RAS-driven tumors.</w:t>
      </w:r>
    </w:p>
    <w:p>
      <w:pPr>
        <w:spacing w:after="80"/>
      </w:pPr>
      <w:r>
        <w:rPr>
          <w:rFonts w:ascii="Arial" w:cs="Arial" w:eastAsia="Arial" w:hAnsi="Arial"/>
          <w:b/>
          <w:bCs/>
          <w:sz w:val="20"/>
          <w:szCs w:val="20"/>
        </w:rPr>
        <w:t xml:space="preserve">2. Why payers will pay (in the wallet): </w:t>
      </w:r>
      <w:r>
        <w:rPr>
          <w:rFonts w:ascii="Arial" w:cs="Arial" w:eastAsia="Arial" w:hAnsi="Arial"/>
          <w:sz w:val="20"/>
          <w:szCs w:val="20"/>
        </w:rPr>
        <w:t xml:space="preserve">Pancreatic cancer is the third leading cause of cancer death in the US with ~65,000 new cases/year. Current 2L+ treatment offers only ~6.7 months survival. A daily oral pill that doubles survival with manageable side effects (mostly low-grade rash and GI) is a clear value proposition. The metastatic PDAC treatment market is $3.9B in 2026, growing to $6.75B by 2035. Orphan Drug Designation provides pricing power. The drug replaces IV chemotherapy (reducing hospital costs), giving payers cost-offset arguments.</w:t>
      </w:r>
    </w:p>
    <w:p>
      <w:pPr>
        <w:spacing w:after="80"/>
      </w:pPr>
      <w:r>
        <w:rPr>
          <w:rFonts w:ascii="Arial" w:cs="Arial" w:eastAsia="Arial" w:hAnsi="Arial"/>
          <w:b/>
          <w:bCs/>
          <w:sz w:val="20"/>
          <w:szCs w:val="20"/>
        </w:rPr>
        <w:t xml:space="preserve">3. Why it beats rivals (in the market): </w:t>
      </w:r>
      <w:r>
        <w:rPr>
          <w:rFonts w:ascii="Arial" w:cs="Arial" w:eastAsia="Arial" w:hAnsi="Arial"/>
          <w:sz w:val="20"/>
          <w:szCs w:val="20"/>
        </w:rPr>
        <w:t xml:space="preserve">RVMD is the first company to demonstrate an overall survival benefit with a targeted oral therapy in PDAC. First-gen KRAS inhibitors (Amgen's sotorasib, BMS's adagrasib) only work on G12C mutations (~1-2% of PDAC) and face resistance. RVMD's multi-selective approach covers ~90%+ of RAS-driven PDAC. Eli Lilly (olomorasib) is 12-18 months behind. Astellas (setidegrasib) showed lower confirmed ORR (42% vs RVMD's data). RVMD has a deep pipeline with 5 clinical RAS(ON) molecules and compositions-of-matter patents through 2035-2039.</w:t>
      </w:r>
    </w:p>
    <w:p>
      <w:r>
        <w:br w:type="page"/>
      </w:r>
    </w:p>
    <w:p>
      <w:pPr>
        <w:pStyle w:val="Heading1"/>
        <w:spacing w:after="150" w:before="300"/>
      </w:pPr>
      <w:r>
        <w:rPr>
          <w:rFonts w:ascii="Arial" w:cs="Arial" w:eastAsia="Arial" w:hAnsi="Arial"/>
          <w:b/>
          <w:bCs/>
          <w:color w:val="1B3A5C"/>
          <w:sz w:val="28"/>
          <w:szCs w:val="28"/>
        </w:rPr>
        <w:t xml:space="preserve">Layer 1: Science | Score: 5.0 / 5.0</w:t>
      </w:r>
    </w:p>
    <w:p>
      <w:pPr>
        <w:pStyle w:val="Heading2"/>
        <w:spacing w:after="100" w:before="200"/>
      </w:pPr>
      <w:r>
        <w:rPr>
          <w:rFonts w:ascii="Arial" w:cs="Arial" w:eastAsia="Arial" w:hAnsi="Arial"/>
          <w:b/>
          <w:bCs/>
          <w:color w:val="2E75B6"/>
          <w:sz w:val="24"/>
          <w:szCs w:val="24"/>
        </w:rPr>
        <w:t xml:space="preserve">Mechanism Quality</w:t>
      </w:r>
    </w:p>
    <w:p>
      <w:pPr>
        <w:spacing w:after="120"/>
      </w:pPr>
      <w:r>
        <w:rPr>
          <w:rFonts w:ascii="Arial" w:cs="Arial" w:eastAsia="Arial" w:hAnsi="Arial"/>
          <w:sz w:val="20"/>
          <w:szCs w:val="20"/>
        </w:rPr>
        <w:t xml:space="preserve">RAS is the most commonly mutated oncogene in human cancer. KRAS mutations drive &gt;90% of pancreatic cancers. Daraxonrasib uses a novel tri-complex mechanism to target the active, GTP-bound form of RAS proteins (RAS(ON) approach), blocking interactions with downstream RAF-MEK-ERK and PI3K-AKT signaling pathways. This is fundamentally different from first-generation G12C inhibitors that target the inactive GDP-bound state and are limited to one mutation type.</w:t>
      </w:r>
    </w:p>
    <w:p>
      <w:pPr>
        <w:spacing w:after="120"/>
      </w:pPr>
      <w:r>
        <w:rPr>
          <w:rFonts w:ascii="Arial" w:cs="Arial" w:eastAsia="Arial" w:hAnsi="Arial"/>
          <w:sz w:val="20"/>
          <w:szCs w:val="20"/>
        </w:rPr>
        <w:t xml:space="preserve">The target is genetically validated (KRAS is the most studied oncogene in cancer biology). The mechanism of action is clinically validated with unprecedented Phase 3 overall survival data.</w:t>
      </w:r>
    </w:p>
    <w:p>
      <w:pPr>
        <w:pStyle w:val="Heading2"/>
        <w:spacing w:after="100" w:before="200"/>
      </w:pPr>
      <w:r>
        <w:rPr>
          <w:rFonts w:ascii="Arial" w:cs="Arial" w:eastAsia="Arial" w:hAnsi="Arial"/>
          <w:b/>
          <w:bCs/>
          <w:color w:val="2E75B6"/>
          <w:sz w:val="24"/>
          <w:szCs w:val="24"/>
        </w:rPr>
        <w:t xml:space="preserve">Differentiation vs Standard of Care</w:t>
      </w:r>
    </w:p>
    <w:p>
      <w:pPr>
        <w:spacing w:after="120"/>
      </w:pPr>
      <w:r>
        <w:rPr>
          <w:rFonts w:ascii="Arial" w:cs="Arial" w:eastAsia="Arial" w:hAnsi="Arial"/>
          <w:sz w:val="20"/>
          <w:szCs w:val="20"/>
        </w:rPr>
        <w:t xml:space="preserve">Current 2L+ PDAC standard of care is cytotoxic chemotherapy with a median OS of ~6.7 months. Daraxonrasib achieved 13.2 months OS (HR 0.40, p&lt;0.0001), nearly doubling survival. No prior drug has achieved &gt;1-year median OS in a Phase 3 PDAC trial. The drug is an oral daily pill (vs IV chemotherapy), dramatically reducing treatment burden. The effect size is transformational, not incremental.</w:t>
      </w:r>
    </w:p>
    <w:p>
      <w:pPr>
        <w:pStyle w:val="Heading2"/>
        <w:spacing w:after="100" w:before="200"/>
      </w:pPr>
      <w:r>
        <w:rPr>
          <w:rFonts w:ascii="Arial" w:cs="Arial" w:eastAsia="Arial" w:hAnsi="Arial"/>
          <w:b/>
          <w:bCs/>
          <w:color w:val="2E75B6"/>
          <w:sz w:val="24"/>
          <w:szCs w:val="24"/>
        </w:rPr>
        <w:t xml:space="preserve">Safety/Tolerability</w:t>
      </w:r>
    </w:p>
    <w:p>
      <w:pPr>
        <w:spacing w:after="120"/>
      </w:pPr>
      <w:r>
        <w:rPr>
          <w:rFonts w:ascii="Arial" w:cs="Arial" w:eastAsia="Arial" w:hAnsi="Arial"/>
          <w:sz w:val="20"/>
          <w:szCs w:val="20"/>
        </w:rPr>
        <w:t xml:space="preserve">Manageable safety profile with primarily low-grade events. Most common TRAEs: rash (91% any grade, 8% grade 3+), diarrhea (48%, 2% grade 3+), nausea (43%, 0% grade 3+). No patients discontinued due to TRAEs. Average dose intensity maintained at 89% despite some dose modifications. No new safety signals in Phase 3.</w:t>
      </w:r>
    </w:p>
    <w:p>
      <w:pPr>
        <w:pStyle w:val="Heading2"/>
        <w:spacing w:after="100" w:before="200"/>
      </w:pPr>
      <w:r>
        <w:rPr>
          <w:rFonts w:ascii="Arial" w:cs="Arial" w:eastAsia="Arial" w:hAnsi="Arial"/>
          <w:b/>
          <w:bCs/>
          <w:color w:val="2E75B6"/>
          <w:sz w:val="24"/>
          <w:szCs w:val="24"/>
        </w:rPr>
        <w:t xml:space="preserve">Translational Logic &amp; Trial Design</w:t>
      </w:r>
    </w:p>
    <w:p>
      <w:pPr>
        <w:spacing w:after="120"/>
      </w:pPr>
      <w:r>
        <w:rPr>
          <w:rFonts w:ascii="Arial" w:cs="Arial" w:eastAsia="Arial" w:hAnsi="Arial"/>
          <w:sz w:val="20"/>
          <w:szCs w:val="20"/>
        </w:rPr>
        <w:t xml:space="preserve">Strong preclinical-to-clinical coherence. Biomarker-rich program with RAS variant-specific enrollment. Phase 3 RASolute 302 used overall survival as primary endpoint (gold standard). Open-label, randomized, global trial with chemotherapy comparator. Met all primary and secondary endpoints. First interim analysis considered final for all PFS and OS endpoints.</w:t>
      </w:r>
    </w:p>
    <w:p>
      <w:pPr>
        <w:spacing w:after="120"/>
      </w:pPr>
      <w:r>
        <w:rPr>
          <w:rFonts w:ascii="Arial" w:cs="Arial" w:eastAsia="Arial" w:hAnsi="Arial"/>
          <w:sz w:val="20"/>
          <w:szCs w:val="20"/>
        </w:rPr>
        <w:t xml:space="preserve">Score Rationale: Maximum score. Genetically validated target with the most clinically significant result in PDAC history. Clear, patient-felt survival benefit with oral convenience and manageable safety.</w:t>
      </w:r>
    </w:p>
    <w:p>
      <w:r>
        <w:br w:type="page"/>
      </w:r>
    </w:p>
    <w:p>
      <w:pPr>
        <w:pStyle w:val="Heading1"/>
        <w:spacing w:after="150" w:before="300"/>
      </w:pPr>
      <w:r>
        <w:rPr>
          <w:rFonts w:ascii="Arial" w:cs="Arial" w:eastAsia="Arial" w:hAnsi="Arial"/>
          <w:b/>
          <w:bCs/>
          <w:color w:val="1B3A5C"/>
          <w:sz w:val="28"/>
          <w:szCs w:val="28"/>
        </w:rPr>
        <w:t xml:space="preserve">Layer 2: Commercial | Score: 4.5 / 5.0</w:t>
      </w:r>
    </w:p>
    <w:p>
      <w:pPr>
        <w:pStyle w:val="Heading2"/>
        <w:spacing w:after="100" w:before="200"/>
      </w:pPr>
      <w:r>
        <w:rPr>
          <w:rFonts w:ascii="Arial" w:cs="Arial" w:eastAsia="Arial" w:hAnsi="Arial"/>
          <w:b/>
          <w:bCs/>
          <w:color w:val="2E75B6"/>
          <w:sz w:val="24"/>
          <w:szCs w:val="24"/>
        </w:rPr>
        <w:t xml:space="preserve">Market Type &amp; Size</w:t>
      </w:r>
    </w:p>
    <w:p>
      <w:pPr>
        <w:spacing w:after="120"/>
      </w:pPr>
      <w:r>
        <w:rPr>
          <w:rFonts w:ascii="Arial" w:cs="Arial" w:eastAsia="Arial" w:hAnsi="Arial"/>
          <w:sz w:val="20"/>
          <w:szCs w:val="20"/>
        </w:rPr>
        <w:t xml:space="preserve">Large validated market. Pancreatic cancer is the 3rd leading cause of cancer death in the US (~65,000 new cases/year, ~90% metastatic). Metastatic PDAC treatment market: $3.91B (2026) growing to $6.75B (2035) at 6.25% CAGR. Broader pancreatic cancer therapeutics: $6.12B (2026) to $11.21B (2032). KRAS-targeted therapy segment is the fastest-growing subsegment.</w:t>
      </w:r>
    </w:p>
    <w:p>
      <w:pPr>
        <w:pStyle w:val="Heading2"/>
        <w:spacing w:after="100" w:before="200"/>
      </w:pPr>
      <w:r>
        <w:rPr>
          <w:rFonts w:ascii="Arial" w:cs="Arial" w:eastAsia="Arial" w:hAnsi="Arial"/>
          <w:b/>
          <w:bCs/>
          <w:color w:val="2E75B6"/>
          <w:sz w:val="24"/>
          <w:szCs w:val="24"/>
        </w:rPr>
        <w:t xml:space="preserve">Willingness-to-Pay &amp; Reimbursement</w:t>
      </w:r>
    </w:p>
    <w:p>
      <w:pPr>
        <w:spacing w:after="120"/>
      </w:pPr>
      <w:r>
        <w:rPr>
          <w:rFonts w:ascii="Arial" w:cs="Arial" w:eastAsia="Arial" w:hAnsi="Arial"/>
          <w:sz w:val="20"/>
          <w:szCs w:val="20"/>
        </w:rPr>
        <w:t xml:space="preserve">Strong payer value story: doubling OS in a deadly cancer with an oral therapy that replaces IV chemotherapy. Orphan Drug Designation provides pricing power and 7-year market exclusivity. Cost offsets: fewer hospitalizations, no IV infusion center visits, reduced supportive care. Pricing analogs for breakthrough oncology drugs suggest $15,000-$25,000+/month is achievable. Breakthrough Therapy Designation facilitates reimbursement conversations.</w:t>
      </w:r>
    </w:p>
    <w:p>
      <w:pPr>
        <w:pStyle w:val="Heading2"/>
        <w:spacing w:after="100" w:before="200"/>
      </w:pPr>
      <w:r>
        <w:rPr>
          <w:rFonts w:ascii="Arial" w:cs="Arial" w:eastAsia="Arial" w:hAnsi="Arial"/>
          <w:b/>
          <w:bCs/>
          <w:color w:val="2E75B6"/>
          <w:sz w:val="24"/>
          <w:szCs w:val="24"/>
        </w:rPr>
        <w:t xml:space="preserve">Adherence &amp; Convenience</w:t>
      </w:r>
    </w:p>
    <w:p>
      <w:pPr>
        <w:spacing w:after="120"/>
      </w:pPr>
      <w:r>
        <w:rPr>
          <w:rFonts w:ascii="Arial" w:cs="Arial" w:eastAsia="Arial" w:hAnsi="Arial"/>
          <w:sz w:val="20"/>
          <w:szCs w:val="20"/>
        </w:rPr>
        <w:t xml:space="preserve">Once-daily oral pill (300mg) is a major advantage over IV chemotherapy regimens. Home administration eliminates clinic visits. Low discontinuation rate in trials. Dose intensity of 89% indicates strong adherence.</w:t>
      </w:r>
    </w:p>
    <w:p>
      <w:pPr>
        <w:pStyle w:val="Heading2"/>
        <w:spacing w:after="100" w:before="200"/>
      </w:pPr>
      <w:r>
        <w:rPr>
          <w:rFonts w:ascii="Arial" w:cs="Arial" w:eastAsia="Arial" w:hAnsi="Arial"/>
          <w:b/>
          <w:bCs/>
          <w:color w:val="2E75B6"/>
          <w:sz w:val="24"/>
          <w:szCs w:val="24"/>
        </w:rPr>
        <w:t xml:space="preserve">Route to Uptake</w:t>
      </w:r>
    </w:p>
    <w:p>
      <w:pPr>
        <w:spacing w:after="120"/>
      </w:pPr>
      <w:r>
        <w:rPr>
          <w:rFonts w:ascii="Arial" w:cs="Arial" w:eastAsia="Arial" w:hAnsi="Arial"/>
          <w:sz w:val="20"/>
          <w:szCs w:val="20"/>
        </w:rPr>
        <w:t xml:space="preserve">Specialist prescribing (oncology) with clear treatment algorithms. PDAC treatment decisions are already specialist-driven, so no primary care adoption friction. National Comprehensive Cancer Network (NCCN) guideline inclusion expected post-approval. Commissioner's Priority Voucher means potential approval within months of filing.</w:t>
      </w:r>
    </w:p>
    <w:p>
      <w:pPr>
        <w:spacing w:after="120"/>
      </w:pPr>
      <w:r>
        <w:rPr>
          <w:rFonts w:ascii="Arial" w:cs="Arial" w:eastAsia="Arial" w:hAnsi="Arial"/>
          <w:sz w:val="20"/>
          <w:szCs w:val="20"/>
        </w:rPr>
        <w:t xml:space="preserve">Score Rationale: Near-maximum. Validated large market, clear payer value proposition, oral convenience, specialist-driven uptake. Deducted 0.5 points because: (1) peak revenue depends on first-line expansion (RASolute 303 trial still enrolling), and (2) at ~$29B market cap, much commercial value is already priced in.</w:t>
      </w:r>
    </w:p>
    <w:p>
      <w:r>
        <w:br w:type="page"/>
      </w:r>
    </w:p>
    <w:p>
      <w:pPr>
        <w:pStyle w:val="Heading1"/>
        <w:spacing w:after="150" w:before="300"/>
      </w:pPr>
      <w:r>
        <w:rPr>
          <w:rFonts w:ascii="Arial" w:cs="Arial" w:eastAsia="Arial" w:hAnsi="Arial"/>
          <w:b/>
          <w:bCs/>
          <w:color w:val="1B3A5C"/>
          <w:sz w:val="28"/>
          <w:szCs w:val="28"/>
        </w:rPr>
        <w:t xml:space="preserve">Layer 3: Competitive | Score: 4.5 / 5.0</w:t>
      </w:r>
    </w:p>
    <w:p>
      <w:pPr>
        <w:pStyle w:val="Heading2"/>
        <w:spacing w:after="100" w:before="200"/>
      </w:pPr>
      <w:r>
        <w:rPr>
          <w:rFonts w:ascii="Arial" w:cs="Arial" w:eastAsia="Arial" w:hAnsi="Arial"/>
          <w:b/>
          <w:bCs/>
          <w:color w:val="2E75B6"/>
          <w:sz w:val="24"/>
          <w:szCs w:val="24"/>
        </w:rPr>
        <w:t xml:space="preserve">Head-to-Head Edge</w:t>
      </w:r>
    </w:p>
    <w:p>
      <w:pPr>
        <w:spacing w:after="120"/>
      </w:pPr>
      <w:r>
        <w:rPr>
          <w:rFonts w:ascii="Arial" w:cs="Arial" w:eastAsia="Arial" w:hAnsi="Arial"/>
          <w:sz w:val="20"/>
          <w:szCs w:val="20"/>
        </w:rPr>
        <w:t xml:space="preserve">RVMD has the only Phase 3 OS data in PDAC for a targeted RAS therapy. First-gen G12C inhibitors (sotorasib, adagrasib) cover only ~1-2% of PDAC patients and face resistance issues with plateauing sales. RVMD's multi-selective approach covers ~90%+ of RAS-driven PDAC. Lilly's olomorasib is 12-18 months behind in PDAC. Astellas' setidegrasib showed confirmed ORR of 42% (vs initial claimed 58%), and is only now planning Phase 3.</w:t>
      </w:r>
    </w:p>
    <w:p>
      <w:pPr>
        <w:pStyle w:val="Heading2"/>
        <w:spacing w:after="100" w:before="200"/>
      </w:pPr>
      <w:r>
        <w:rPr>
          <w:rFonts w:ascii="Arial" w:cs="Arial" w:eastAsia="Arial" w:hAnsi="Arial"/>
          <w:b/>
          <w:bCs/>
          <w:color w:val="2E75B6"/>
          <w:sz w:val="24"/>
          <w:szCs w:val="24"/>
        </w:rPr>
        <w:t xml:space="preserve">Top 5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000"/>
        <w:gridCol w:w="1800"/>
        <w:gridCol w:w="2460"/>
      </w:tblGrid>
      <w:tr>
        <w:tc>
          <w:tcPr>
            <w:tcW w:type="dxa" w:w="13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Company</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Drug</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Mechanism</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 (PDAC)</w:t>
            </w:r>
          </w:p>
        </w:tc>
        <w:tc>
          <w:tcPr>
            <w:tcW w:type="dxa" w:w="24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Weakness vs RVMD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Eli Lilly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Olomorasib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RAS(ON) G12C-selective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Phase 3 (12-18 mo behind)</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Narrower variant coverage; behind in PDAC timeline</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Amgen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Sotorasib (Lumakras)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KRAS G12C OFF-state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Approved (NSCLC only)</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1st-gen resistance issues; plateauing sales; G12C only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BMS/Mirati</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Adagrasib (Krazati)</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KRAS G12C OFF-state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Approved (NSCLC only)</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1st-gen resistance; G12C only; no PDAC data</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Astellas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Setidegrasib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RAS(ON)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Phase 3 planning</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Confirmed ORR 42% (vs claimed 58%); earlier stage</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BridgeBio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Various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RAS pathway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Early clinical</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Lacks breadth and clinical maturity of RVMD pipeline</w:t>
            </w:r>
          </w:p>
        </w:tc>
      </w:tr>
    </w:tbl>
    <w:p>
      <w:pPr>
        <w:spacing w:after="100"/>
      </w:pPr>
    </w:p>
    <w:p>
      <w:pPr>
        <w:pStyle w:val="Heading2"/>
        <w:spacing w:after="100" w:before="200"/>
      </w:pPr>
      <w:r>
        <w:rPr>
          <w:rFonts w:ascii="Arial" w:cs="Arial" w:eastAsia="Arial" w:hAnsi="Arial"/>
          <w:b/>
          <w:bCs/>
          <w:color w:val="2E75B6"/>
          <w:sz w:val="24"/>
          <w:szCs w:val="24"/>
        </w:rPr>
        <w:t xml:space="preserve">Defensibility</w:t>
      </w:r>
    </w:p>
    <w:p>
      <w:pPr>
        <w:spacing w:after="120"/>
      </w:pPr>
      <w:r>
        <w:rPr>
          <w:rFonts w:ascii="Arial" w:cs="Arial" w:eastAsia="Arial" w:hAnsi="Arial"/>
          <w:sz w:val="20"/>
          <w:szCs w:val="20"/>
        </w:rPr>
        <w:t xml:space="preserve">Strong IP portfolio: composition-of-matter patents through 2035-2039 covering daraxonrasib and pipeline molecules. Orphan Drug exclusivity (7 years from approval). Novel RAS(ON) tri-complex mechanism with significant know-how barriers. Deep pipeline creates a RAS franchise moat (5 clinical molecules targeting different RAS variants). The Royalty Pharma partnership provides non-dilutive capital advantage.</w:t>
      </w:r>
    </w:p>
    <w:p>
      <w:pPr>
        <w:pStyle w:val="Heading2"/>
        <w:spacing w:after="100" w:before="200"/>
      </w:pPr>
      <w:r>
        <w:rPr>
          <w:rFonts w:ascii="Arial" w:cs="Arial" w:eastAsia="Arial" w:hAnsi="Arial"/>
          <w:b/>
          <w:bCs/>
          <w:color w:val="2E75B6"/>
          <w:sz w:val="24"/>
          <w:szCs w:val="24"/>
        </w:rPr>
        <w:t xml:space="preserve">Speed &amp; Focus</w:t>
      </w:r>
    </w:p>
    <w:p>
      <w:pPr>
        <w:spacing w:after="120"/>
      </w:pPr>
      <w:r>
        <w:rPr>
          <w:rFonts w:ascii="Arial" w:cs="Arial" w:eastAsia="Arial" w:hAnsi="Arial"/>
          <w:sz w:val="20"/>
          <w:szCs w:val="20"/>
        </w:rPr>
        <w:t xml:space="preserve">First-mover in PDAC with Phase 3 data. NDA filing expected Q2 2026 with expedited review (1-2 months via Commissioner's Priority Voucher). Five concurrent Phase 3 programs demonstrate aggressive but focused execution. Already initiating first-line trials (RASolute 303, 305, 309). 9 presentations at AACR 2026 (April 17-22) signal continued data generation momentum.</w:t>
      </w:r>
    </w:p>
    <w:p>
      <w:pPr>
        <w:spacing w:after="120"/>
      </w:pPr>
      <w:r>
        <w:rPr>
          <w:rFonts w:ascii="Arial" w:cs="Arial" w:eastAsia="Arial" w:hAnsi="Arial"/>
          <w:sz w:val="20"/>
          <w:szCs w:val="20"/>
        </w:rPr>
        <w:t xml:space="preserve">Score Rationale: Near-maximum. Clear first-mover advantage with unprecedented data and deep pipeline. Deducted 0.5 for: (1) Eli Lilly is a formidable competitor with deep pockets, even if behind; (2) the RAS(ON) mechanism class will eventually see more entrants.</w:t>
      </w:r>
    </w:p>
    <w:p>
      <w:r>
        <w:br w:type="page"/>
      </w:r>
    </w:p>
    <w:p>
      <w:pPr>
        <w:pStyle w:val="Heading1"/>
        <w:spacing w:after="150" w:before="300"/>
      </w:pPr>
      <w:r>
        <w:rPr>
          <w:rFonts w:ascii="Arial" w:cs="Arial" w:eastAsia="Arial" w:hAnsi="Arial"/>
          <w:b/>
          <w:bCs/>
          <w:color w:val="1B3A5C"/>
          <w:sz w:val="28"/>
          <w:szCs w:val="28"/>
        </w:rPr>
        <w:t xml:space="preserve">+1 Enablers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Gate</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5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Rationale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CMC</w:t>
            </w:r>
          </w:p>
        </w:tc>
        <w:tc>
          <w:tcPr>
            <w:tcW w:type="dxa" w:w="1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b/>
                <w:bCs/>
                <w:sz w:val="18"/>
                <w:szCs w:val="18"/>
              </w:rPr>
              <w:t xml:space="preserve">PASS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Oral small molecule; scalable manufacturing. 300mg once-daily dosing established. 89% dose intensity achieved in trials.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Regulatory/Trial Design</w:t>
            </w:r>
          </w:p>
        </w:tc>
        <w:tc>
          <w:tcPr>
            <w:tcW w:type="dxa" w:w="1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b/>
                <w:bCs/>
                <w:sz w:val="18"/>
                <w:szCs w:val="18"/>
              </w:rPr>
              <w:t xml:space="preserve">PASS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OS primary endpoint (gold standard). Phase 3 RASolute 302 met all endpoints. Breakthrough Therapy + Orphan Drug designations. Commissioner's National Priority Voucher for expedited review.</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IP/FTO</w:t>
            </w:r>
          </w:p>
        </w:tc>
        <w:tc>
          <w:tcPr>
            <w:tcW w:type="dxa" w:w="1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b/>
                <w:bCs/>
                <w:sz w:val="18"/>
                <w:szCs w:val="18"/>
              </w:rPr>
              <w:t xml:space="preserve">PASS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Patents through 2035-2039. Novel RAS(ON) tri-complex mechanism. Orphan Drug exclusivity (7 years). Composition of matter patents covering daraxonrasib and pipeline molecules.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Financing Runway</w:t>
            </w:r>
          </w:p>
        </w:tc>
        <w:tc>
          <w:tcPr>
            <w:tcW w:type="dxa" w:w="1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b/>
                <w:bCs/>
                <w:sz w:val="18"/>
                <w:szCs w:val="18"/>
              </w:rPr>
              <w:t xml:space="preserve">PASS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$2.0B cash (Dec 2025). $1.75B committed from Royalty Pharma. Runway well into 2027+. No near-term dilution risk.</w:t>
            </w:r>
          </w:p>
        </w:tc>
      </w:tr>
    </w:tbl>
    <w:p>
      <w:pPr>
        <w:spacing w:after="100"/>
      </w:pPr>
    </w:p>
    <w:p>
      <w:pPr>
        <w:spacing w:after="120"/>
      </w:pPr>
      <w:r>
        <w:rPr>
          <w:rFonts w:ascii="Arial" w:cs="Arial" w:eastAsia="Arial" w:hAnsi="Arial"/>
          <w:sz w:val="20"/>
          <w:szCs w:val="20"/>
        </w:rPr>
        <w:t xml:space="preserve">All four gates PASS. The company has an exceptionally strong enablers profile: oral small molecule manufacturing, gold-standard trial design with all endpoints met, broad IP portfolio with regulatory exclusivity, and a fortress balance sheet ($2B cash + $1.75B committed from Royalty Pharma). No red flags.</w:t>
      </w:r>
    </w:p>
    <w:p>
      <w:r>
        <w:br w:type="page"/>
      </w:r>
    </w:p>
    <w:p>
      <w:pPr>
        <w:pStyle w:val="Heading1"/>
        <w:spacing w:after="150" w:before="300"/>
      </w:pPr>
      <w:r>
        <w:rPr>
          <w:rFonts w:ascii="Arial" w:cs="Arial" w:eastAsia="Arial" w:hAnsi="Arial"/>
          <w:b/>
          <w:bCs/>
          <w:color w:val="1B3A5C"/>
          <w:sz w:val="28"/>
          <w:szCs w:val="28"/>
        </w:rPr>
        <w:t xml:space="preserve">Dated Catalyst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Timeframe</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Catalyst</w:t>
            </w:r>
          </w:p>
        </w:tc>
        <w:tc>
          <w:tcPr>
            <w:tcW w:type="dxa" w:w="5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Details</w:t>
            </w:r>
          </w:p>
        </w:tc>
      </w:tr>
      <w:tr>
        <w:tc>
          <w:tcPr>
            <w:tcW w:type="dxa" w:w="20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b/>
                <w:bCs/>
                <w:sz w:val="18"/>
                <w:szCs w:val="18"/>
              </w:rPr>
              <w:t xml:space="preserve">Apr 17-22, 2026</w:t>
            </w:r>
          </w:p>
        </w:tc>
        <w:tc>
          <w:tcPr>
            <w:tcW w:type="dxa" w:w="20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AACR Presentations</w:t>
            </w:r>
          </w:p>
        </w:tc>
        <w:tc>
          <w:tcPr>
            <w:tcW w:type="dxa" w:w="536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b w:val="false"/>
                <w:bCs w:val="false"/>
                <w:sz w:val="18"/>
                <w:szCs w:val="18"/>
              </w:rPr>
              <w:t xml:space="preserve">9 presentations including RAS(ON) pipeline data + new catalytic inhibitor class discovery data.</w:t>
            </w:r>
          </w:p>
        </w:tc>
      </w:tr>
      <w:tr>
        <w:tc>
          <w:tcPr>
            <w:tcW w:type="dxa" w:w="20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Q2 2026</w:t>
            </w:r>
          </w:p>
        </w:tc>
        <w:tc>
          <w:tcPr>
            <w:tcW w:type="dxa" w:w="20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sz w:val="18"/>
                <w:szCs w:val="18"/>
              </w:rPr>
              <w:t xml:space="preserve">NDA Filing</w:t>
            </w:r>
          </w:p>
        </w:tc>
        <w:tc>
          <w:tcPr>
            <w:tcW w:type="dxa" w:w="53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sz w:val="18"/>
                <w:szCs w:val="18"/>
              </w:rPr>
              <w:t xml:space="preserve">Daraxonrasib NDA via Commissioner's National Priority Voucher. Expedited 1-2 month FDA review expected.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H2 2026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FDA Decision</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Potential approval of daraxonrasib for 2L+ metastatic PDAC. If approved, first RAS(ON) inhibitor in pancreatic cancer.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H2 2026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RASolute 303 Enrollment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Phase 3 first-line PDAC trial. Daraxonrasib + chemo vs chemo alone.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H2 2026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RASolute 305/309</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Zoldonrasib (G12D) Phase 3 combos in 1L PDAC. RAS(ON) doublet (darax + zoldon) planned.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2026-2027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Elironrasib Data</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G12C-selective RAS(ON) inhibitor in NSCLC. FDA Breakthrough Therapy Designation granted.</w:t>
            </w:r>
          </w:p>
        </w:tc>
      </w:tr>
    </w:tbl>
    <w:p>
      <w:pPr>
        <w:spacing w:after="200"/>
      </w:pPr>
    </w:p>
    <w:p>
      <w:pPr>
        <w:pStyle w:val="Heading1"/>
        <w:spacing w:after="150" w:before="300"/>
      </w:pPr>
      <w:r>
        <w:rPr>
          <w:rFonts w:ascii="Arial" w:cs="Arial" w:eastAsia="Arial" w:hAnsi="Arial"/>
          <w:b/>
          <w:bCs/>
          <w:color w:val="1B3A5C"/>
          <w:sz w:val="28"/>
          <w:szCs w:val="28"/>
        </w:rPr>
        <w:t xml:space="preserve">Key Risk Factors</w:t>
      </w:r>
    </w:p>
    <w:p>
      <w:pPr>
        <w:spacing w:after="80"/>
      </w:pPr>
      <w:r>
        <w:rPr>
          <w:rFonts w:ascii="Arial" w:cs="Arial" w:eastAsia="Arial" w:hAnsi="Arial"/>
          <w:b/>
          <w:bCs/>
          <w:sz w:val="20"/>
          <w:szCs w:val="20"/>
        </w:rPr>
        <w:t xml:space="preserve">1. Valuation Risk: </w:t>
      </w:r>
      <w:r>
        <w:rPr>
          <w:rFonts w:ascii="Arial" w:cs="Arial" w:eastAsia="Arial" w:hAnsi="Arial"/>
          <w:sz w:val="20"/>
          <w:szCs w:val="20"/>
        </w:rPr>
        <w:t xml:space="preserve">At ~$29B market cap and ~$147/share, significant upside from the Phase 3 data is already priced in. The stock surged 30%+ on the data release. Further upside depends on (a) successful NDA/approval, (b) first-line data (RASolute 303), and (c) pipeline readouts. Downside risk is meaningful if any of these falter.</w:t>
      </w:r>
    </w:p>
    <w:p>
      <w:pPr>
        <w:spacing w:after="80"/>
      </w:pPr>
      <w:r>
        <w:rPr>
          <w:rFonts w:ascii="Arial" w:cs="Arial" w:eastAsia="Arial" w:hAnsi="Arial"/>
          <w:b/>
          <w:bCs/>
          <w:sz w:val="20"/>
          <w:szCs w:val="20"/>
        </w:rPr>
        <w:t xml:space="preserve">2. First-Line Execution: </w:t>
      </w:r>
      <w:r>
        <w:rPr>
          <w:rFonts w:ascii="Arial" w:cs="Arial" w:eastAsia="Arial" w:hAnsi="Arial"/>
          <w:sz w:val="20"/>
          <w:szCs w:val="20"/>
        </w:rPr>
        <w:t xml:space="preserve">The 2L+ PDAC market is meaningful but smaller than the 1L opportunity. Peak revenue projections ($5B+) depend on first-line expansion, which requires the RASolute 303 trial to succeed. This trial is still enrolling.</w:t>
      </w:r>
    </w:p>
    <w:p>
      <w:pPr>
        <w:spacing w:after="80"/>
      </w:pPr>
      <w:r>
        <w:rPr>
          <w:rFonts w:ascii="Arial" w:cs="Arial" w:eastAsia="Arial" w:hAnsi="Arial"/>
          <w:b/>
          <w:bCs/>
          <w:sz w:val="20"/>
          <w:szCs w:val="20"/>
        </w:rPr>
        <w:t xml:space="preserve">3. Competition: </w:t>
      </w:r>
      <w:r>
        <w:rPr>
          <w:rFonts w:ascii="Arial" w:cs="Arial" w:eastAsia="Arial" w:hAnsi="Arial"/>
          <w:sz w:val="20"/>
          <w:szCs w:val="20"/>
        </w:rPr>
        <w:t xml:space="preserve">Eli Lilly (olomorasib) has deep pockets and is 12-18 months behind. If Lilly's data is competitive, it could split the market. Astellas and others are also advancing RAS(ON) programs.</w:t>
      </w:r>
    </w:p>
    <w:p>
      <w:pPr>
        <w:spacing w:after="80"/>
      </w:pPr>
      <w:r>
        <w:rPr>
          <w:rFonts w:ascii="Arial" w:cs="Arial" w:eastAsia="Arial" w:hAnsi="Arial"/>
          <w:b/>
          <w:bCs/>
          <w:sz w:val="20"/>
          <w:szCs w:val="20"/>
        </w:rPr>
        <w:t xml:space="preserve">4. Safety in Broader Use: </w:t>
      </w:r>
      <w:r>
        <w:rPr>
          <w:rFonts w:ascii="Arial" w:cs="Arial" w:eastAsia="Arial" w:hAnsi="Arial"/>
          <w:sz w:val="20"/>
          <w:szCs w:val="20"/>
        </w:rPr>
        <w:t xml:space="preserve">Rash rates are high (91% any grade). While mostly low-grade, real-world adherence and tolerability in a broader, sicker population may differ from trial data.</w:t>
      </w:r>
    </w:p>
    <w:p>
      <w:pPr>
        <w:spacing w:after="80"/>
      </w:pPr>
      <w:r>
        <w:rPr>
          <w:rFonts w:ascii="Arial" w:cs="Arial" w:eastAsia="Arial" w:hAnsi="Arial"/>
          <w:b/>
          <w:bCs/>
          <w:sz w:val="20"/>
          <w:szCs w:val="20"/>
        </w:rPr>
        <w:t xml:space="preserve">5. Cash Burn: </w:t>
      </w:r>
      <w:r>
        <w:rPr>
          <w:rFonts w:ascii="Arial" w:cs="Arial" w:eastAsia="Arial" w:hAnsi="Arial"/>
          <w:sz w:val="20"/>
          <w:szCs w:val="20"/>
        </w:rPr>
        <w:t xml:space="preserve">$1.1B net loss in 2025 with five Phase 3 programs running simultaneously. While the balance sheet is strong, sustained burn at this rate requires successful commercialization within ~2 years.</w:t>
      </w:r>
    </w:p>
    <w:p>
      <w:r>
        <w:br w:type="page"/>
      </w:r>
    </w:p>
    <w:p>
      <w:pPr>
        <w:pStyle w:val="Heading1"/>
        <w:spacing w:after="150" w:before="300"/>
      </w:pPr>
      <w:r>
        <w:rPr>
          <w:rFonts w:ascii="Arial" w:cs="Arial" w:eastAsia="Arial" w:hAnsi="Arial"/>
          <w:b/>
          <w:bCs/>
          <w:color w:val="1B3A5C"/>
          <w:sz w:val="28"/>
          <w:szCs w:val="28"/>
        </w:rPr>
        <w:t xml:space="preserve">Final Decision Summary</w:t>
      </w:r>
    </w:p>
    <w:p>
      <w:pPr>
        <w:shd w:fill="E8F5E9" w:val="clear"/>
        <w:spacing w:after="100"/>
      </w:pPr>
      <w:r>
        <w:rPr>
          <w:rFonts w:ascii="Arial" w:cs="Arial" w:eastAsia="Arial" w:hAnsi="Arial"/>
          <w:b/>
          <w:bCs/>
          <w:color w:val="2E7D32"/>
          <w:sz w:val="28"/>
          <w:szCs w:val="28"/>
        </w:rPr>
        <w:t xml:space="preserve">VERDICT: GO</w:t>
      </w:r>
    </w:p>
    <w:p>
      <w:pPr>
        <w:shd w:fill="E8F5E9" w:val="clear"/>
        <w:spacing w:after="100"/>
      </w:pPr>
      <w:r>
        <w:rPr>
          <w:rFonts w:ascii="Arial" w:cs="Arial" w:eastAsia="Arial" w:hAnsi="Arial"/>
          <w:b/>
          <w:bCs/>
          <w:color w:val="1B5E20"/>
          <w:sz w:val="20"/>
          <w:szCs w:val="20"/>
        </w:rPr>
        <w:t xml:space="preserve">Composite Score: 3.53 (Weighted) | Position: Starter-to-Core (0.5-2% depending on entry price)</w:t>
      </w:r>
    </w:p>
    <w:p>
      <w:pPr>
        <w:spacing w:after="120"/>
      </w:pPr>
      <w:r>
        <w:rPr>
          <w:rFonts w:ascii="Arial" w:cs="Arial" w:eastAsia="Arial" w:hAnsi="Arial"/>
          <w:sz w:val="20"/>
          <w:szCs w:val="20"/>
        </w:rPr>
        <w:t xml:space="preserve">Revolution Medicines represents the strongest pre-revenue biotech thesis in oncology today. The science is validated at the highest level (Phase 3 OS in PDAC), the commercial opportunity is massive and underserved, the competitive moat is deep (first-mover + pipeline breadth + IP), and all enablers gates pass with distinction. The primary investment debate is no longer about the science - it is about valuation and how much upside remains at a ~$29B market cap.</w:t>
      </w:r>
    </w:p>
    <w:p>
      <w:pPr>
        <w:spacing w:after="120"/>
      </w:pPr>
      <w:r>
        <w:rPr>
          <w:rFonts w:ascii="Arial" w:cs="Arial" w:eastAsia="Arial" w:hAnsi="Arial"/>
          <w:sz w:val="20"/>
          <w:szCs w:val="20"/>
        </w:rPr>
        <w:t xml:space="preserve">For a new position, consider a Starter allocation (0.5-1.5%) with plans to add on any pullback or on positive first-line data (RASolute 303). Existing holders should consider holding through NDA filing and AACR catalysts (April 17-22). The Commissioner's Priority Voucher for expedited review is a near-term catalyst that could drive the stock to new highs on approval.</w:t>
      </w:r>
    </w:p>
    <w:p>
      <w:pPr>
        <w:spacing w:after="200"/>
      </w:pPr>
    </w:p>
    <w:p>
      <w:pPr>
        <w:pBdr>
          <w:bottom w:val="single" w:color="1B3A5C" w:sz="4" w:space="1"/>
        </w:pBdr>
        <w:spacing w:after="200"/>
      </w:pPr>
    </w:p>
    <w:p>
      <w:pPr>
        <w:spacing w:after="100"/>
      </w:pPr>
      <w:r>
        <w:rPr>
          <w:rFonts w:ascii="Arial" w:cs="Arial" w:eastAsia="Arial" w:hAnsi="Arial"/>
          <w:b/>
          <w:bCs/>
          <w:color w:val="CC0000"/>
          <w:sz w:val="18"/>
          <w:szCs w:val="18"/>
        </w:rPr>
        <w:t xml:space="preserve">DISCLAIMER</w:t>
      </w:r>
    </w:p>
    <w:p>
      <w:pPr>
        <w:spacing w:after="120"/>
      </w:pPr>
      <w:r>
        <w:rPr>
          <w:rFonts w:ascii="Arial" w:cs="Arial" w:eastAsia="Arial" w:hAnsi="Arial"/>
          <w:sz w:val="20"/>
          <w:szCs w:val="20"/>
        </w:rPr>
        <w:t xml:space="preserve">This analysis is for informational purposes only. Not investment advice. All data sourced from publicly available information including SEC filings, company press releases, clinical trial databases, and financial news. Always conduct your own due diligence. Past performance does not guarantee future results.</w:t>
      </w:r>
    </w:p>
    <w:p>
      <w:pPr>
        <w:spacing w:after="120"/>
      </w:pPr>
      <w:r>
        <w:rPr>
          <w:rFonts w:ascii="Arial" w:cs="Arial" w:eastAsia="Arial" w:hAnsi="Arial"/>
          <w:sz w:val="20"/>
          <w:szCs w:val="20"/>
        </w:rPr>
        <w:t xml:space="preserve">Sources: Revolution Medicines IR, CNBC, Bloomberg, STAT News, OncoDaily, OncLive, CancerNetwork, GlobeNewsWire, SEC EDGAR, FDA.gov, Seeking Alpha, Yahoo Finance, Simply Wall St, Grand View Research, PanCAN, Targeted Oncology.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3+1 Filter Analysis | RVMD | April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3A5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2026-04-15T22:11:51.212Z</dcterms:created>
  <dcterms:modified xsi:type="dcterms:W3CDTF">2026-04-15T22:11:51.212Z</dcterms:modified>
</cp:coreProperties>
</file>

<file path=docProps/custom.xml><?xml version="1.0" encoding="utf-8"?>
<Properties xmlns="http://schemas.openxmlformats.org/officeDocument/2006/custom-properties" xmlns:vt="http://schemas.openxmlformats.org/officeDocument/2006/docPropsVTypes"/>
</file>