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065D8" w14:textId="77777777" w:rsidR="00DA28C1" w:rsidRDefault="00000000">
      <w:pPr>
        <w:spacing w:after="60"/>
      </w:pPr>
      <w:r>
        <w:rPr>
          <w:rFonts w:ascii="Arial" w:eastAsia="Arial" w:hAnsi="Arial" w:cs="Arial"/>
          <w:b/>
          <w:bCs/>
          <w:sz w:val="32"/>
          <w:szCs w:val="32"/>
        </w:rPr>
        <w:t>AMPHASTAR PHARMACEUTICALS, INC. (AMPH)</w:t>
      </w:r>
    </w:p>
    <w:p w14:paraId="321FB921" w14:textId="77777777" w:rsidR="00DA28C1" w:rsidRDefault="00000000">
      <w:pPr>
        <w:spacing w:after="40"/>
      </w:pPr>
      <w:r>
        <w:rPr>
          <w:rFonts w:ascii="Arial" w:eastAsia="Arial" w:hAnsi="Arial" w:cs="Arial"/>
          <w:color w:val="6A6A6A"/>
          <w:sz w:val="20"/>
          <w:szCs w:val="20"/>
        </w:rPr>
        <w:t>Filing reality check — 10-K for fiscal year ended December 31, 2025</w:t>
      </w:r>
    </w:p>
    <w:p w14:paraId="060E0088" w14:textId="77777777" w:rsidR="00DA28C1" w:rsidRDefault="00000000">
      <w:pPr>
        <w:pBdr>
          <w:bottom w:val="single" w:sz="8" w:space="12" w:color="CCCCCC"/>
        </w:pBdr>
        <w:spacing w:after="280"/>
      </w:pPr>
      <w:r>
        <w:rPr>
          <w:rFonts w:ascii="Arial" w:eastAsia="Arial" w:hAnsi="Arial" w:cs="Arial"/>
          <w:i/>
          <w:iCs/>
          <w:color w:val="6A6A6A"/>
          <w:sz w:val="18"/>
          <w:szCs w:val="18"/>
        </w:rPr>
        <w:t>Prepared April 21, 2026 · Source-locked to the 10-K as provided</w:t>
      </w:r>
    </w:p>
    <w:p w14:paraId="62371734" w14:textId="77777777" w:rsidR="00DA28C1" w:rsidRDefault="00000000">
      <w:pPr>
        <w:pStyle w:val="Heading2"/>
      </w:pPr>
      <w:r>
        <w:t>Financial lens</w:t>
      </w:r>
    </w:p>
    <w:p w14:paraId="76820FC3" w14:textId="77777777" w:rsidR="00DA28C1" w:rsidRDefault="00000000">
      <w:pPr>
        <w:spacing w:before="80" w:after="120" w:line="330" w:lineRule="auto"/>
      </w:pPr>
      <w:proofErr w:type="spellStart"/>
      <w:r>
        <w:t>Amphastar</w:t>
      </w:r>
      <w:proofErr w:type="spellEnd"/>
      <w:r>
        <w:t xml:space="preserve"> earns cash from a concentrated, injectable/inhalation portfolio sold through three US wholesalers, where BAQSIMI, Primatene, epinephrine, glucagon and lidocaine together throw off most of the gross profit. Roughly 65% of revenue funnels through McKesson, </w:t>
      </w:r>
      <w:proofErr w:type="spellStart"/>
      <w:r>
        <w:t>Cencora</w:t>
      </w:r>
      <w:proofErr w:type="spellEnd"/>
      <w:r>
        <w:t xml:space="preserve"> and Cardinal.</w:t>
      </w:r>
    </w:p>
    <w:p w14:paraId="76A39EED" w14:textId="77777777" w:rsidR="00DA28C1" w:rsidRDefault="00000000">
      <w:pPr>
        <w:spacing w:before="80" w:after="120" w:line="330" w:lineRule="auto"/>
      </w:pPr>
      <w:r>
        <w:t xml:space="preserve">The capital sits in vertical manufacturing (California and </w:t>
      </w:r>
      <w:proofErr w:type="spellStart"/>
      <w:r>
        <w:t>Éragny</w:t>
      </w:r>
      <w:proofErr w:type="spellEnd"/>
      <w:r>
        <w:t>-sur-</w:t>
      </w:r>
      <w:proofErr w:type="spellStart"/>
      <w:r>
        <w:t>Epte</w:t>
      </w:r>
      <w:proofErr w:type="spellEnd"/>
      <w:r>
        <w:t>) and, increasingly, in a $559 million BAQSIMI intangible bundle tied to a 2023 acquisition from Eli Lilly.</w:t>
      </w:r>
    </w:p>
    <w:p w14:paraId="7E14EA4C" w14:textId="77777777" w:rsidR="00DA28C1" w:rsidRDefault="00000000">
      <w:pPr>
        <w:spacing w:before="80" w:after="120" w:line="330" w:lineRule="auto"/>
      </w:pPr>
      <w:r>
        <w:t>The places where reported accounting most plausibly drifts from economic reality: (</w:t>
      </w:r>
      <w:proofErr w:type="spellStart"/>
      <w:r>
        <w:t>i</w:t>
      </w:r>
      <w:proofErr w:type="spellEnd"/>
      <w:r>
        <w:t xml:space="preserve">) the $79 million chargebacks/rebates reserve that the auditor already flagged as a critical audit matter, (ii) the 24-year useful life and indefinite-life assumptions beneath the BAQSIMI intangibles, and (iii) related-party pricing across a growing web of </w:t>
      </w:r>
      <w:proofErr w:type="spellStart"/>
      <w:r>
        <w:t>Hanxin</w:t>
      </w:r>
      <w:proofErr w:type="spellEnd"/>
      <w:r>
        <w:t xml:space="preserve"> entities that the CEO's son controls.</w:t>
      </w:r>
    </w:p>
    <w:p w14:paraId="036D5DB9" w14:textId="77777777" w:rsidR="00DA28C1" w:rsidRDefault="00000000">
      <w:pPr>
        <w:pStyle w:val="Heading2"/>
      </w:pPr>
      <w:r>
        <w:t>Bottom line</w:t>
      </w:r>
    </w:p>
    <w:p w14:paraId="15B13C48" w14:textId="77777777" w:rsidR="00DA28C1" w:rsidRDefault="00000000">
      <w:pPr>
        <w:spacing w:before="80" w:after="120" w:line="330" w:lineRule="auto"/>
      </w:pPr>
      <w:r>
        <w:t xml:space="preserve">Headline revenue held at $720 million and EPS stayed profitable, but strip out the things the filing buries — a one-time R&amp;D-tax windfall, a cannibalizing BAQSIMI franchise, a $609 million debt stack maturing in 2028–2029 against $170 million of cash and a convertible strike at $62.96 that the stock would need to double to reach — and the underlying earnings quality is weaker than 2024's, not stronger. The three buried realities that matter most are: related-party escalation with </w:t>
      </w:r>
      <w:proofErr w:type="spellStart"/>
      <w:r>
        <w:t>Hanxin</w:t>
      </w:r>
      <w:proofErr w:type="spellEnd"/>
      <w:r>
        <w:t>, BAQSIMI's intangible value vs. core-franchise cannibalization, and the refinancing cliff hiding behind non-current debt classification.</w:t>
      </w:r>
    </w:p>
    <w:p w14:paraId="4B6240DD" w14:textId="77777777" w:rsidR="00DA28C1" w:rsidRDefault="00000000">
      <w:pPr>
        <w:pStyle w:val="Heading2"/>
      </w:pPr>
      <w:r>
        <w:t>Executive summary</w:t>
      </w:r>
    </w:p>
    <w:p w14:paraId="135F4CA8" w14:textId="77777777" w:rsidR="00DA28C1" w:rsidRDefault="00000000">
      <w:pPr>
        <w:spacing w:before="160" w:after="60"/>
      </w:pPr>
      <w:r>
        <w:rPr>
          <w:rFonts w:ascii="Arial" w:eastAsia="Arial" w:hAnsi="Arial" w:cs="Arial"/>
          <w:b/>
          <w:bCs/>
          <w:color w:val="8C1C1C"/>
          <w:sz w:val="20"/>
          <w:szCs w:val="20"/>
        </w:rPr>
        <w:t>Revenue held flat, but product mix is hollowing out.</w:t>
      </w:r>
    </w:p>
    <w:p w14:paraId="4A0C91DC" w14:textId="77777777" w:rsidR="00DA28C1" w:rsidRDefault="00000000">
      <w:pPr>
        <w:spacing w:before="80" w:after="120" w:line="330" w:lineRule="auto"/>
      </w:pPr>
      <w:r>
        <w:t xml:space="preserve">Product revenue rose 1.0% to $719.9 million. BAQSIMI's $58.5 million year-over-year gain (+46%) almost exactly offset collapses in glucagon (-$39.2 million, -36%) and epinephrine (-$23.5 million, -25%). Two legacy franchises that together were 28% of 2024 revenue are now 19%, with price erosion cited by management themselves. The headline "growth" is </w:t>
      </w:r>
      <w:proofErr w:type="gramStart"/>
      <w:r>
        <w:t>mix</w:t>
      </w:r>
      <w:proofErr w:type="gramEnd"/>
      <w:r>
        <w:t xml:space="preserve"> substitution, not expansion.</w:t>
      </w:r>
    </w:p>
    <w:p w14:paraId="5F44940A" w14:textId="77777777" w:rsidR="00DA28C1" w:rsidRDefault="00000000">
      <w:pPr>
        <w:spacing w:before="40" w:after="200"/>
      </w:pPr>
      <w:r>
        <w:rPr>
          <w:rFonts w:ascii="Arial" w:eastAsia="Arial" w:hAnsi="Arial" w:cs="Arial"/>
          <w:i/>
          <w:iCs/>
          <w:color w:val="6A6A6A"/>
          <w:sz w:val="16"/>
          <w:szCs w:val="16"/>
        </w:rPr>
        <w:t>Source: Item 7 product revenue table; Item 1A Risk Factors on glucagon/epinephrine price erosion.</w:t>
      </w:r>
    </w:p>
    <w:p w14:paraId="64F02BC8" w14:textId="77777777" w:rsidR="00DA28C1" w:rsidRDefault="00000000">
      <w:pPr>
        <w:spacing w:before="160" w:after="60"/>
      </w:pPr>
      <w:r>
        <w:rPr>
          <w:rFonts w:ascii="Arial" w:eastAsia="Arial" w:hAnsi="Arial" w:cs="Arial"/>
          <w:b/>
          <w:bCs/>
          <w:color w:val="8C1C1C"/>
          <w:sz w:val="20"/>
          <w:szCs w:val="20"/>
        </w:rPr>
        <w:t xml:space="preserve">Net income fell </w:t>
      </w:r>
      <w:proofErr w:type="gramStart"/>
      <w:r>
        <w:rPr>
          <w:rFonts w:ascii="Arial" w:eastAsia="Arial" w:hAnsi="Arial" w:cs="Arial"/>
          <w:b/>
          <w:bCs/>
          <w:color w:val="8C1C1C"/>
          <w:sz w:val="20"/>
          <w:szCs w:val="20"/>
        </w:rPr>
        <w:t>38% —</w:t>
      </w:r>
      <w:proofErr w:type="gramEnd"/>
      <w:r>
        <w:rPr>
          <w:rFonts w:ascii="Arial" w:eastAsia="Arial" w:hAnsi="Arial" w:cs="Arial"/>
          <w:b/>
          <w:bCs/>
          <w:color w:val="8C1C1C"/>
          <w:sz w:val="20"/>
          <w:szCs w:val="20"/>
        </w:rPr>
        <w:t xml:space="preserve"> but the filing is quiet about why.</w:t>
      </w:r>
    </w:p>
    <w:p w14:paraId="6CCC83ED" w14:textId="77777777" w:rsidR="00DA28C1" w:rsidRDefault="00000000">
      <w:pPr>
        <w:spacing w:before="80" w:after="120" w:line="330" w:lineRule="auto"/>
      </w:pPr>
      <w:r>
        <w:t xml:space="preserve">Reported net income was $98.1 million (2024: $159.5 million). Three items explain most of the drop, none especially visible on the income-statement line itself: a $23.1 million personal-injury verdict booked to G&amp;A (Q4 2025, insurance covered only $11.0 million), G&amp;A up 51% overall, and a </w:t>
      </w:r>
      <w:r>
        <w:lastRenderedPageBreak/>
        <w:t>higher effective tax rate (20.7% vs. 15.6%). The 2024 number was also lifted by $19.2 million of non-recurring "other revenue."</w:t>
      </w:r>
    </w:p>
    <w:p w14:paraId="7CEE06FE" w14:textId="77777777" w:rsidR="00DA28C1" w:rsidRDefault="00000000">
      <w:pPr>
        <w:spacing w:before="40" w:after="200"/>
      </w:pPr>
      <w:r>
        <w:rPr>
          <w:rFonts w:ascii="Arial" w:eastAsia="Arial" w:hAnsi="Arial" w:cs="Arial"/>
          <w:i/>
          <w:iCs/>
          <w:color w:val="6A6A6A"/>
          <w:sz w:val="16"/>
          <w:szCs w:val="16"/>
        </w:rPr>
        <w:t>Source: Consolidated Statements of Operations; Note 14 income taxes; Note 19 litigation.</w:t>
      </w:r>
    </w:p>
    <w:p w14:paraId="528F2DB1" w14:textId="77777777" w:rsidR="00DA28C1" w:rsidRDefault="00000000">
      <w:pPr>
        <w:spacing w:before="160" w:after="60"/>
      </w:pPr>
      <w:r>
        <w:rPr>
          <w:rFonts w:ascii="Arial" w:eastAsia="Arial" w:hAnsi="Arial" w:cs="Arial"/>
          <w:b/>
          <w:bCs/>
          <w:color w:val="8C1C1C"/>
          <w:sz w:val="20"/>
          <w:szCs w:val="20"/>
        </w:rPr>
        <w:t>Related-party concentration is escalating in real time.</w:t>
      </w:r>
    </w:p>
    <w:p w14:paraId="59D8BD09" w14:textId="77777777" w:rsidR="00DA28C1" w:rsidRDefault="00000000">
      <w:pPr>
        <w:spacing w:before="80" w:after="120" w:line="330" w:lineRule="auto"/>
      </w:pPr>
      <w:proofErr w:type="spellStart"/>
      <w:r>
        <w:t>Amphastar</w:t>
      </w:r>
      <w:proofErr w:type="spellEnd"/>
      <w:r>
        <w:t xml:space="preserve"> owns 11.5% of </w:t>
      </w:r>
      <w:proofErr w:type="spellStart"/>
      <w:r>
        <w:t>Hanxin</w:t>
      </w:r>
      <w:proofErr w:type="spellEnd"/>
      <w:r>
        <w:t xml:space="preserve">. The founder-CEO's son runs it. During 2025–early 2026, </w:t>
      </w:r>
      <w:proofErr w:type="spellStart"/>
      <w:r>
        <w:t>Amphastar</w:t>
      </w:r>
      <w:proofErr w:type="spellEnd"/>
      <w:r>
        <w:t xml:space="preserve"> expanded its </w:t>
      </w:r>
      <w:proofErr w:type="spellStart"/>
      <w:r>
        <w:t>Hanxin</w:t>
      </w:r>
      <w:proofErr w:type="spellEnd"/>
      <w:r>
        <w:t xml:space="preserve"> arrangements to a global manufacturing territory for lidocaine, corticotropin, and — most notably — Semaglutide API and finished product (3, 7, 14 mg doses); appointed a </w:t>
      </w:r>
      <w:proofErr w:type="spellStart"/>
      <w:r>
        <w:t>Hanxin</w:t>
      </w:r>
      <w:proofErr w:type="spellEnd"/>
      <w:r>
        <w:t xml:space="preserve"> subsidiary as exclusive BAQSIMI distributor for Greater China; and signed a new corticotropin license requiring up to $89 million in milestones plus a 5% royalty. Current-period cash flows are immaterial, but the commercial footprint is compounding.</w:t>
      </w:r>
    </w:p>
    <w:p w14:paraId="6AD8E506" w14:textId="77777777" w:rsidR="00DA28C1" w:rsidRDefault="00000000">
      <w:pPr>
        <w:spacing w:before="40" w:after="200"/>
      </w:pPr>
      <w:r>
        <w:rPr>
          <w:rFonts w:ascii="Arial" w:eastAsia="Arial" w:hAnsi="Arial" w:cs="Arial"/>
          <w:i/>
          <w:iCs/>
          <w:color w:val="6A6A6A"/>
          <w:sz w:val="16"/>
          <w:szCs w:val="16"/>
        </w:rPr>
        <w:t>Source: Note 18 related-party transactions; Note 20 subsequent events; Exhibit list 10.17–10.36.</w:t>
      </w:r>
    </w:p>
    <w:p w14:paraId="1DD70075" w14:textId="77777777" w:rsidR="00DA28C1" w:rsidRDefault="00000000">
      <w:pPr>
        <w:spacing w:before="160" w:after="60"/>
      </w:pPr>
      <w:r>
        <w:rPr>
          <w:rFonts w:ascii="Arial" w:eastAsia="Arial" w:hAnsi="Arial" w:cs="Arial"/>
          <w:b/>
          <w:bCs/>
          <w:color w:val="8C1C1C"/>
          <w:sz w:val="20"/>
          <w:szCs w:val="20"/>
        </w:rPr>
        <w:t>The debt wall is closer than the balance sheet suggests.</w:t>
      </w:r>
    </w:p>
    <w:p w14:paraId="5C3943EC" w14:textId="77777777" w:rsidR="00DA28C1" w:rsidRDefault="00000000">
      <w:pPr>
        <w:spacing w:before="80" w:after="120" w:line="330" w:lineRule="auto"/>
      </w:pPr>
      <w:r>
        <w:t xml:space="preserve">$608.7 million of long-term debt is classified non-current — but the maturity table concentrates $609.2 million of it into 2028 ($255.7 million Wells Fargo term loan) and 2029 ($353.5 million convertible notes). The 2029 convertible converts at </w:t>
      </w:r>
      <w:proofErr w:type="gramStart"/>
      <w:r>
        <w:t>$62.96;</w:t>
      </w:r>
      <w:proofErr w:type="gramEnd"/>
      <w:r>
        <w:t xml:space="preserve"> the stock trades at $21.65 (April 21, 2026), a 65% deficit. Short-term liquidity is fine. The 24-month refinancing risk is not.</w:t>
      </w:r>
    </w:p>
    <w:p w14:paraId="1BEF9026" w14:textId="77777777" w:rsidR="00DA28C1" w:rsidRDefault="00000000">
      <w:pPr>
        <w:spacing w:before="40" w:after="200"/>
      </w:pPr>
      <w:r>
        <w:rPr>
          <w:rFonts w:ascii="Arial" w:eastAsia="Arial" w:hAnsi="Arial" w:cs="Arial"/>
          <w:i/>
          <w:iCs/>
          <w:color w:val="6A6A6A"/>
          <w:sz w:val="16"/>
          <w:szCs w:val="16"/>
        </w:rPr>
        <w:t>Source: Note 10 long-term debt; issuer disclosures.</w:t>
      </w:r>
    </w:p>
    <w:p w14:paraId="5079CC5C" w14:textId="77777777" w:rsidR="00DA28C1" w:rsidRDefault="00000000">
      <w:pPr>
        <w:pStyle w:val="Heading1"/>
      </w:pPr>
      <w:r>
        <w:t xml:space="preserve">Buried details that </w:t>
      </w:r>
      <w:proofErr w:type="gramStart"/>
      <w:r>
        <w:t>actually matter</w:t>
      </w:r>
      <w:proofErr w:type="gramEnd"/>
    </w:p>
    <w:p w14:paraId="6BA1B4FE" w14:textId="77777777" w:rsidR="00DA28C1" w:rsidRDefault="00000000">
      <w:pPr>
        <w:spacing w:before="240" w:after="80"/>
      </w:pPr>
      <w:r>
        <w:rPr>
          <w:rFonts w:ascii="Arial" w:eastAsia="Arial" w:hAnsi="Arial" w:cs="Arial"/>
          <w:b/>
          <w:bCs/>
          <w:color w:val="8C1C1C"/>
        </w:rPr>
        <w:t>1</w:t>
      </w:r>
      <w:proofErr w:type="gramStart"/>
      <w:r>
        <w:rPr>
          <w:rFonts w:ascii="Arial" w:eastAsia="Arial" w:hAnsi="Arial" w:cs="Arial"/>
          <w:b/>
          <w:bCs/>
          <w:color w:val="8C1C1C"/>
        </w:rPr>
        <w:t xml:space="preserve">.  </w:t>
      </w:r>
      <w:r>
        <w:rPr>
          <w:rFonts w:ascii="Arial" w:eastAsia="Arial" w:hAnsi="Arial" w:cs="Arial"/>
          <w:b/>
          <w:bCs/>
        </w:rPr>
        <w:t>The</w:t>
      </w:r>
      <w:proofErr w:type="gramEnd"/>
      <w:r>
        <w:rPr>
          <w:rFonts w:ascii="Arial" w:eastAsia="Arial" w:hAnsi="Arial" w:cs="Arial"/>
          <w:b/>
          <w:bCs/>
        </w:rPr>
        <w:t xml:space="preserve"> $23.1 million personal-injury verdict is inside G&amp;A, not separately disclosed.</w:t>
      </w:r>
    </w:p>
    <w:p w14:paraId="35A970BB" w14:textId="77777777" w:rsidR="00DA28C1" w:rsidRDefault="00000000">
      <w:pPr>
        <w:spacing w:before="80" w:after="120" w:line="330" w:lineRule="auto"/>
      </w:pPr>
      <w:r>
        <w:t xml:space="preserve">A jury returned a $34.1 million verdict against </w:t>
      </w:r>
      <w:proofErr w:type="spellStart"/>
      <w:r>
        <w:t>Amphastar</w:t>
      </w:r>
      <w:proofErr w:type="spellEnd"/>
      <w:r>
        <w:t xml:space="preserve"> on October 22, </w:t>
      </w:r>
      <w:proofErr w:type="gramStart"/>
      <w:r>
        <w:t>2025</w:t>
      </w:r>
      <w:proofErr w:type="gramEnd"/>
      <w:r>
        <w:t xml:space="preserve"> in a San Bernardino personal-injury case. Insurance picked up $11.0 million; the remaining $23.1 million ran through general and administrative expense and was paid in Q4 2025. This single item explains roughly 41% of the $56.7-to-$85.9 million G&amp;A swing.</w:t>
      </w:r>
    </w:p>
    <w:p w14:paraId="40568489" w14:textId="77777777" w:rsidR="00DA28C1" w:rsidRDefault="00000000">
      <w:pPr>
        <w:spacing w:before="60" w:after="80" w:line="320" w:lineRule="auto"/>
      </w:pPr>
      <w:r>
        <w:rPr>
          <w:rFonts w:ascii="Arial" w:eastAsia="Arial" w:hAnsi="Arial" w:cs="Arial"/>
          <w:b/>
          <w:bCs/>
          <w:color w:val="8C1C1C"/>
          <w:sz w:val="20"/>
          <w:szCs w:val="20"/>
        </w:rPr>
        <w:t xml:space="preserve">Why it matters.  </w:t>
      </w:r>
      <w:r>
        <w:t xml:space="preserve">Consensus models watching "G&amp;A trend" will </w:t>
      </w:r>
      <w:proofErr w:type="gramStart"/>
      <w:r>
        <w:t>mis-read</w:t>
      </w:r>
      <w:proofErr w:type="gramEnd"/>
      <w:r>
        <w:t xml:space="preserve"> the 2026 baseline if they assume the 2025 level is recurring. On a clean basis, G&amp;A is closer to $63 million, not $86 million.</w:t>
      </w:r>
    </w:p>
    <w:p w14:paraId="52274400" w14:textId="77777777" w:rsidR="00DA28C1" w:rsidRDefault="00000000">
      <w:pPr>
        <w:spacing w:before="40" w:after="200"/>
      </w:pPr>
      <w:r>
        <w:rPr>
          <w:rFonts w:ascii="Arial" w:eastAsia="Arial" w:hAnsi="Arial" w:cs="Arial"/>
          <w:i/>
          <w:iCs/>
          <w:color w:val="6A6A6A"/>
          <w:sz w:val="16"/>
          <w:szCs w:val="16"/>
        </w:rPr>
        <w:t>Source: Note 19 Litigation; Statements of Operations (G&amp;A).</w:t>
      </w:r>
    </w:p>
    <w:p w14:paraId="476891BC" w14:textId="77777777" w:rsidR="00DA28C1" w:rsidRDefault="00000000">
      <w:pPr>
        <w:spacing w:before="240" w:after="80"/>
      </w:pPr>
      <w:r>
        <w:rPr>
          <w:rFonts w:ascii="Arial" w:eastAsia="Arial" w:hAnsi="Arial" w:cs="Arial"/>
          <w:b/>
          <w:bCs/>
          <w:color w:val="8C1C1C"/>
        </w:rPr>
        <w:t>2</w:t>
      </w:r>
      <w:proofErr w:type="gramStart"/>
      <w:r>
        <w:rPr>
          <w:rFonts w:ascii="Arial" w:eastAsia="Arial" w:hAnsi="Arial" w:cs="Arial"/>
          <w:b/>
          <w:bCs/>
          <w:color w:val="8C1C1C"/>
        </w:rPr>
        <w:t xml:space="preserve">.  </w:t>
      </w:r>
      <w:r>
        <w:rPr>
          <w:rFonts w:ascii="Arial" w:eastAsia="Arial" w:hAnsi="Arial" w:cs="Arial"/>
          <w:b/>
          <w:bCs/>
        </w:rPr>
        <w:t>Federal</w:t>
      </w:r>
      <w:proofErr w:type="gramEnd"/>
      <w:r>
        <w:rPr>
          <w:rFonts w:ascii="Arial" w:eastAsia="Arial" w:hAnsi="Arial" w:cs="Arial"/>
          <w:b/>
          <w:bCs/>
        </w:rPr>
        <w:t xml:space="preserve"> current tax was negative — a retroactive R&amp;D windfall under the OBBB Act.</w:t>
      </w:r>
    </w:p>
    <w:p w14:paraId="11ABBC0E" w14:textId="77777777" w:rsidR="00DA28C1" w:rsidRDefault="00000000">
      <w:pPr>
        <w:spacing w:before="80" w:after="120" w:line="330" w:lineRule="auto"/>
      </w:pPr>
      <w:r>
        <w:t xml:space="preserve">Federal current tax provision was a $2.9 million benefit in 2025. The driver is the One Big Beautiful Bill Act, enacted July 4, 2025, which reinstated immediate </w:t>
      </w:r>
      <w:proofErr w:type="gramStart"/>
      <w:r>
        <w:t>expensing</w:t>
      </w:r>
      <w:proofErr w:type="gramEnd"/>
      <w:r>
        <w:t xml:space="preserve"> of domestic R&amp;D under new Section 174A retroactive to tax years beginning after December 31, 2024. The accounting tax rate (20.7%) captures the headline; the cash-tax benefit is non-recurring in magnitude.</w:t>
      </w:r>
    </w:p>
    <w:p w14:paraId="045A2800" w14:textId="77777777" w:rsidR="00DA28C1" w:rsidRDefault="00000000">
      <w:pPr>
        <w:spacing w:before="60" w:after="80" w:line="320" w:lineRule="auto"/>
      </w:pPr>
      <w:r>
        <w:rPr>
          <w:rFonts w:ascii="Arial" w:eastAsia="Arial" w:hAnsi="Arial" w:cs="Arial"/>
          <w:b/>
          <w:bCs/>
          <w:color w:val="8C1C1C"/>
          <w:sz w:val="20"/>
          <w:szCs w:val="20"/>
        </w:rPr>
        <w:t xml:space="preserve">Why it matters.  </w:t>
      </w:r>
      <w:r>
        <w:t>A reader comparing 2025 cash conversion to 2024 will be flattered by a one-time federal refund posture. The normalized federal current tax liability returns in 2026 and beyond.</w:t>
      </w:r>
    </w:p>
    <w:p w14:paraId="11BD4359" w14:textId="77777777" w:rsidR="00DA28C1" w:rsidRDefault="00000000">
      <w:pPr>
        <w:spacing w:before="40" w:after="200"/>
      </w:pPr>
      <w:r>
        <w:rPr>
          <w:rFonts w:ascii="Arial" w:eastAsia="Arial" w:hAnsi="Arial" w:cs="Arial"/>
          <w:i/>
          <w:iCs/>
          <w:color w:val="6A6A6A"/>
          <w:sz w:val="16"/>
          <w:szCs w:val="16"/>
        </w:rPr>
        <w:lastRenderedPageBreak/>
        <w:t>Source: Note 14 Income Taxes; OBBBA enacted July 4, 2025.</w:t>
      </w:r>
    </w:p>
    <w:p w14:paraId="24CD5B6A" w14:textId="77777777" w:rsidR="00DA28C1" w:rsidRDefault="00000000">
      <w:pPr>
        <w:spacing w:before="240" w:after="80"/>
      </w:pPr>
      <w:r>
        <w:rPr>
          <w:rFonts w:ascii="Arial" w:eastAsia="Arial" w:hAnsi="Arial" w:cs="Arial"/>
          <w:b/>
          <w:bCs/>
          <w:color w:val="8C1C1C"/>
        </w:rPr>
        <w:t>3</w:t>
      </w:r>
      <w:proofErr w:type="gramStart"/>
      <w:r>
        <w:rPr>
          <w:rFonts w:ascii="Arial" w:eastAsia="Arial" w:hAnsi="Arial" w:cs="Arial"/>
          <w:b/>
          <w:bCs/>
          <w:color w:val="8C1C1C"/>
        </w:rPr>
        <w:t xml:space="preserve">.  </w:t>
      </w:r>
      <w:r>
        <w:rPr>
          <w:rFonts w:ascii="Arial" w:eastAsia="Arial" w:hAnsi="Arial" w:cs="Arial"/>
          <w:b/>
          <w:bCs/>
        </w:rPr>
        <w:t>BAQSIMI</w:t>
      </w:r>
      <w:proofErr w:type="gramEnd"/>
      <w:r>
        <w:rPr>
          <w:rFonts w:ascii="Arial" w:eastAsia="Arial" w:hAnsi="Arial" w:cs="Arial"/>
          <w:b/>
          <w:bCs/>
        </w:rPr>
        <w:t xml:space="preserve"> carries $529.7 million </w:t>
      </w:r>
      <w:proofErr w:type="gramStart"/>
      <w:r>
        <w:rPr>
          <w:rFonts w:ascii="Arial" w:eastAsia="Arial" w:hAnsi="Arial" w:cs="Arial"/>
          <w:b/>
          <w:bCs/>
        </w:rPr>
        <w:t>of</w:t>
      </w:r>
      <w:proofErr w:type="gramEnd"/>
      <w:r>
        <w:rPr>
          <w:rFonts w:ascii="Arial" w:eastAsia="Arial" w:hAnsi="Arial" w:cs="Arial"/>
          <w:b/>
          <w:bCs/>
        </w:rPr>
        <w:t xml:space="preserve"> net product-rights intangibles against a franchise now cannibalizing itself.</w:t>
      </w:r>
    </w:p>
    <w:p w14:paraId="7538C02E" w14:textId="77777777" w:rsidR="00DA28C1" w:rsidRDefault="00000000">
      <w:pPr>
        <w:spacing w:before="80" w:after="120" w:line="330" w:lineRule="auto"/>
      </w:pPr>
      <w:r>
        <w:t xml:space="preserve">BAQSIMI product rights are capitalized at $591.3 million and amortized straight-line over 24 years. An additional $29.2 million is an indefinite-lived trademark. BAQSIMI revenue rose from $126.9 million to $185.4 million. But glucagon fell from $108.3 million to $69.1 million — a $39 million cannibalization of </w:t>
      </w:r>
      <w:proofErr w:type="spellStart"/>
      <w:r>
        <w:t>Amphastar's</w:t>
      </w:r>
      <w:proofErr w:type="spellEnd"/>
      <w:r>
        <w:t xml:space="preserve"> own legacy product. Net BAQSIMI + glucagon grew $19 million on a combined $254 million base, or roughly 8%.</w:t>
      </w:r>
    </w:p>
    <w:p w14:paraId="1D319A47" w14:textId="77777777" w:rsidR="00DA28C1" w:rsidRDefault="00000000">
      <w:pPr>
        <w:spacing w:before="60" w:after="80" w:line="320" w:lineRule="auto"/>
      </w:pPr>
      <w:r>
        <w:rPr>
          <w:rFonts w:ascii="Arial" w:eastAsia="Arial" w:hAnsi="Arial" w:cs="Arial"/>
          <w:b/>
          <w:bCs/>
          <w:color w:val="8C1C1C"/>
          <w:sz w:val="20"/>
          <w:szCs w:val="20"/>
        </w:rPr>
        <w:t xml:space="preserve">Why it matters.  </w:t>
      </w:r>
      <w:r>
        <w:t>If BAQSIMI growth stalls while glucagon erosion continues, the useful-life and terminal-value assumptions embedded in the $529.7 million carrying value come under pressure. The filing does not disclose a goodwill or indefinite-life impairment test result for 2025 in the body; the assumptions live in Note 1 policy language.</w:t>
      </w:r>
    </w:p>
    <w:p w14:paraId="12F8491F" w14:textId="77777777" w:rsidR="00DA28C1" w:rsidRDefault="00000000">
      <w:pPr>
        <w:spacing w:before="80" w:after="120" w:line="330" w:lineRule="auto"/>
      </w:pPr>
      <w:r>
        <w:t xml:space="preserve">Note: a </w:t>
      </w:r>
      <w:r>
        <w:rPr>
          <w:rFonts w:ascii="Arial" w:eastAsia="Arial" w:hAnsi="Arial" w:cs="Arial"/>
          <w:b/>
          <w:bCs/>
          <w:color w:val="8C1C1C"/>
          <w:sz w:val="16"/>
          <w:szCs w:val="16"/>
        </w:rPr>
        <w:t>[SPECULATIVE]</w:t>
      </w:r>
      <w:r>
        <w:t xml:space="preserve"> read — the 24-year life looks aggressive given that the acquired indication is nasal glucagon, a category already shrinking in unit volume.</w:t>
      </w:r>
    </w:p>
    <w:p w14:paraId="5A19EDFF" w14:textId="77777777" w:rsidR="00DA28C1" w:rsidRDefault="00000000">
      <w:pPr>
        <w:spacing w:before="40" w:after="200"/>
      </w:pPr>
      <w:r>
        <w:rPr>
          <w:rFonts w:ascii="Arial" w:eastAsia="Arial" w:hAnsi="Arial" w:cs="Arial"/>
          <w:i/>
          <w:iCs/>
          <w:color w:val="6A6A6A"/>
          <w:sz w:val="16"/>
          <w:szCs w:val="16"/>
        </w:rPr>
        <w:t>Source: Note 8 Intangible Assets; Item 7 MD&amp;A product revenue discussion.</w:t>
      </w:r>
    </w:p>
    <w:p w14:paraId="2FCC3145" w14:textId="77777777" w:rsidR="00DA28C1" w:rsidRDefault="00000000">
      <w:pPr>
        <w:spacing w:before="240" w:after="80"/>
      </w:pPr>
      <w:r>
        <w:rPr>
          <w:rFonts w:ascii="Arial" w:eastAsia="Arial" w:hAnsi="Arial" w:cs="Arial"/>
          <w:b/>
          <w:bCs/>
          <w:color w:val="8C1C1C"/>
        </w:rPr>
        <w:t>4</w:t>
      </w:r>
      <w:proofErr w:type="gramStart"/>
      <w:r>
        <w:rPr>
          <w:rFonts w:ascii="Arial" w:eastAsia="Arial" w:hAnsi="Arial" w:cs="Arial"/>
          <w:b/>
          <w:bCs/>
          <w:color w:val="8C1C1C"/>
        </w:rPr>
        <w:t xml:space="preserve">.  </w:t>
      </w:r>
      <w:r>
        <w:rPr>
          <w:rFonts w:ascii="Arial" w:eastAsia="Arial" w:hAnsi="Arial" w:cs="Arial"/>
          <w:b/>
          <w:bCs/>
        </w:rPr>
        <w:t>Up</w:t>
      </w:r>
      <w:proofErr w:type="gramEnd"/>
      <w:r>
        <w:rPr>
          <w:rFonts w:ascii="Arial" w:eastAsia="Arial" w:hAnsi="Arial" w:cs="Arial"/>
          <w:b/>
          <w:bCs/>
        </w:rPr>
        <w:t xml:space="preserve"> to $575 million of BAQSIMI contingent consideration is off the balance sheet.</w:t>
      </w:r>
    </w:p>
    <w:p w14:paraId="478AF18B" w14:textId="77777777" w:rsidR="00DA28C1" w:rsidRDefault="00000000">
      <w:pPr>
        <w:spacing w:before="80" w:after="120" w:line="330" w:lineRule="auto"/>
      </w:pPr>
      <w:r>
        <w:t xml:space="preserve">The 2023 BAQSIMI acquisition included up to $450 million in contingent milestones payable to Lilly plus up to $125 million in assumed Lilly pre-closing liabilities (Note 17). None of this is recorded on the balance sheet — it is classed as contingent and disclosed as a commitment. Combined with Anji (up to $267 million development + sales milestones) and </w:t>
      </w:r>
      <w:proofErr w:type="spellStart"/>
      <w:r>
        <w:t>Hanxin</w:t>
      </w:r>
      <w:proofErr w:type="spellEnd"/>
      <w:r>
        <w:t xml:space="preserve"> corticotropin (up to $89 million plus 5% royalty capped at $60 million), </w:t>
      </w:r>
      <w:proofErr w:type="spellStart"/>
      <w:r>
        <w:t>Amphastar</w:t>
      </w:r>
      <w:proofErr w:type="spellEnd"/>
      <w:r>
        <w:t xml:space="preserve"> is carrying close to $1.0 billion of potential milestone exposure that does not appear in total liabilities.</w:t>
      </w:r>
    </w:p>
    <w:p w14:paraId="3861344B" w14:textId="77777777" w:rsidR="00DA28C1" w:rsidRDefault="00000000">
      <w:pPr>
        <w:spacing w:before="60" w:after="80" w:line="320" w:lineRule="auto"/>
      </w:pPr>
      <w:r>
        <w:rPr>
          <w:rFonts w:ascii="Arial" w:eastAsia="Arial" w:hAnsi="Arial" w:cs="Arial"/>
          <w:b/>
          <w:bCs/>
          <w:color w:val="8C1C1C"/>
          <w:sz w:val="20"/>
          <w:szCs w:val="20"/>
        </w:rPr>
        <w:t xml:space="preserve">Why it matters.  </w:t>
      </w:r>
      <w:r>
        <w:t>Leverage ratios that rely on total reported liabilities will understate forward cash-obligation intensity. A single milestone trigger would re-rate the capital structure.</w:t>
      </w:r>
    </w:p>
    <w:p w14:paraId="041FF013" w14:textId="77777777" w:rsidR="00DA28C1" w:rsidRDefault="00000000">
      <w:pPr>
        <w:spacing w:before="40" w:after="200"/>
      </w:pPr>
      <w:r>
        <w:rPr>
          <w:rFonts w:ascii="Arial" w:eastAsia="Arial" w:hAnsi="Arial" w:cs="Arial"/>
          <w:i/>
          <w:iCs/>
          <w:color w:val="6A6A6A"/>
          <w:sz w:val="16"/>
          <w:szCs w:val="16"/>
        </w:rPr>
        <w:t>Source: Note 17 Commitments and Contingencies (BAQSIMI, Anji); Note 20 Subsequent Events (</w:t>
      </w:r>
      <w:proofErr w:type="spellStart"/>
      <w:r>
        <w:rPr>
          <w:rFonts w:ascii="Arial" w:eastAsia="Arial" w:hAnsi="Arial" w:cs="Arial"/>
          <w:i/>
          <w:iCs/>
          <w:color w:val="6A6A6A"/>
          <w:sz w:val="16"/>
          <w:szCs w:val="16"/>
        </w:rPr>
        <w:t>Hanxin</w:t>
      </w:r>
      <w:proofErr w:type="spellEnd"/>
      <w:r>
        <w:rPr>
          <w:rFonts w:ascii="Arial" w:eastAsia="Arial" w:hAnsi="Arial" w:cs="Arial"/>
          <w:i/>
          <w:iCs/>
          <w:color w:val="6A6A6A"/>
          <w:sz w:val="16"/>
          <w:szCs w:val="16"/>
        </w:rPr>
        <w:t>).</w:t>
      </w:r>
    </w:p>
    <w:p w14:paraId="5849BFAC" w14:textId="77777777" w:rsidR="00DA28C1" w:rsidRDefault="00000000">
      <w:pPr>
        <w:spacing w:before="240" w:after="80"/>
      </w:pPr>
      <w:r>
        <w:rPr>
          <w:rFonts w:ascii="Arial" w:eastAsia="Arial" w:hAnsi="Arial" w:cs="Arial"/>
          <w:b/>
          <w:bCs/>
          <w:color w:val="8C1C1C"/>
        </w:rPr>
        <w:t>5</w:t>
      </w:r>
      <w:proofErr w:type="gramStart"/>
      <w:r>
        <w:rPr>
          <w:rFonts w:ascii="Arial" w:eastAsia="Arial" w:hAnsi="Arial" w:cs="Arial"/>
          <w:b/>
          <w:bCs/>
          <w:color w:val="8C1C1C"/>
        </w:rPr>
        <w:t xml:space="preserve">.  </w:t>
      </w:r>
      <w:r>
        <w:rPr>
          <w:rFonts w:ascii="Arial" w:eastAsia="Arial" w:hAnsi="Arial" w:cs="Arial"/>
          <w:b/>
          <w:bCs/>
        </w:rPr>
        <w:t>Nearly</w:t>
      </w:r>
      <w:proofErr w:type="gramEnd"/>
      <w:r>
        <w:rPr>
          <w:rFonts w:ascii="Arial" w:eastAsia="Arial" w:hAnsi="Arial" w:cs="Arial"/>
          <w:b/>
          <w:bCs/>
        </w:rPr>
        <w:t xml:space="preserve"> 65% of revenue flows through three wholesalers; concentration is rising.</w:t>
      </w:r>
    </w:p>
    <w:p w14:paraId="204B2139" w14:textId="77777777" w:rsidR="00DA28C1" w:rsidRDefault="00000000">
      <w:pPr>
        <w:spacing w:before="80" w:after="120" w:line="330" w:lineRule="auto"/>
      </w:pPr>
      <w:r>
        <w:t xml:space="preserve">McKesson was 24% of revenue and 28% of AR; </w:t>
      </w:r>
      <w:proofErr w:type="spellStart"/>
      <w:r>
        <w:t>Cencora</w:t>
      </w:r>
      <w:proofErr w:type="spellEnd"/>
      <w:r>
        <w:t xml:space="preserve"> was 22%/28%; Cardinal was 19%/12%. The </w:t>
      </w:r>
      <w:proofErr w:type="gramStart"/>
      <w:r>
        <w:t>top-three</w:t>
      </w:r>
      <w:proofErr w:type="gramEnd"/>
      <w:r>
        <w:t xml:space="preserve"> </w:t>
      </w:r>
      <w:proofErr w:type="gramStart"/>
      <w:r>
        <w:t>share has</w:t>
      </w:r>
      <w:proofErr w:type="gramEnd"/>
      <w:r>
        <w:t xml:space="preserve"> drifted higher over recent years. The $79.2 million chargebacks and rebates reserve — which the auditor flagged as a Critical Audit Matter — is essentially a function of this concentration and the expected-value estimation around it.</w:t>
      </w:r>
    </w:p>
    <w:p w14:paraId="7D464538" w14:textId="77777777" w:rsidR="00DA28C1" w:rsidRDefault="00000000">
      <w:pPr>
        <w:spacing w:before="60" w:after="80" w:line="320" w:lineRule="auto"/>
      </w:pPr>
      <w:r>
        <w:rPr>
          <w:rFonts w:ascii="Arial" w:eastAsia="Arial" w:hAnsi="Arial" w:cs="Arial"/>
          <w:b/>
          <w:bCs/>
          <w:color w:val="8C1C1C"/>
          <w:sz w:val="20"/>
          <w:szCs w:val="20"/>
        </w:rPr>
        <w:t xml:space="preserve">Why it matters.  </w:t>
      </w:r>
      <w:r>
        <w:t xml:space="preserve">Concentration is not itself the story; the story is that </w:t>
      </w:r>
      <w:proofErr w:type="gramStart"/>
      <w:r>
        <w:t>the concentration</w:t>
      </w:r>
      <w:proofErr w:type="gramEnd"/>
      <w:r>
        <w:t xml:space="preserve"> plus the reserve-estimation sensitivity is what the auditor explicitly called out as the hardest thing to audit. A 10% estimate miss is an $8 million pre-tax swing.</w:t>
      </w:r>
    </w:p>
    <w:p w14:paraId="0BDA7A6B" w14:textId="77777777" w:rsidR="00DA28C1" w:rsidRDefault="00000000">
      <w:pPr>
        <w:spacing w:before="40" w:after="200"/>
      </w:pPr>
      <w:r>
        <w:rPr>
          <w:rFonts w:ascii="Arial" w:eastAsia="Arial" w:hAnsi="Arial" w:cs="Arial"/>
          <w:i/>
          <w:iCs/>
          <w:color w:val="6A6A6A"/>
          <w:sz w:val="16"/>
          <w:szCs w:val="16"/>
        </w:rPr>
        <w:t>Source: Note 1 customer concentration; Auditor's Report — Critical Audit Matter.</w:t>
      </w:r>
    </w:p>
    <w:p w14:paraId="57972520" w14:textId="77777777" w:rsidR="00DA28C1" w:rsidRDefault="00000000">
      <w:pPr>
        <w:spacing w:before="240" w:after="80"/>
      </w:pPr>
      <w:r>
        <w:rPr>
          <w:rFonts w:ascii="Arial" w:eastAsia="Arial" w:hAnsi="Arial" w:cs="Arial"/>
          <w:b/>
          <w:bCs/>
          <w:color w:val="8C1C1C"/>
        </w:rPr>
        <w:lastRenderedPageBreak/>
        <w:t>6</w:t>
      </w:r>
      <w:proofErr w:type="gramStart"/>
      <w:r>
        <w:rPr>
          <w:rFonts w:ascii="Arial" w:eastAsia="Arial" w:hAnsi="Arial" w:cs="Arial"/>
          <w:b/>
          <w:bCs/>
          <w:color w:val="8C1C1C"/>
        </w:rPr>
        <w:t xml:space="preserve">.  </w:t>
      </w:r>
      <w:r>
        <w:rPr>
          <w:rFonts w:ascii="Arial" w:eastAsia="Arial" w:hAnsi="Arial" w:cs="Arial"/>
          <w:b/>
          <w:bCs/>
        </w:rPr>
        <w:t>The</w:t>
      </w:r>
      <w:proofErr w:type="gramEnd"/>
      <w:r>
        <w:rPr>
          <w:rFonts w:ascii="Arial" w:eastAsia="Arial" w:hAnsi="Arial" w:cs="Arial"/>
          <w:b/>
          <w:bCs/>
        </w:rPr>
        <w:t xml:space="preserve"> convertible strike is effectively unreachable at current prices.</w:t>
      </w:r>
    </w:p>
    <w:p w14:paraId="5C7816B0" w14:textId="77777777" w:rsidR="00DA28C1" w:rsidRDefault="00000000">
      <w:pPr>
        <w:spacing w:before="80" w:after="120" w:line="330" w:lineRule="auto"/>
      </w:pPr>
      <w:r>
        <w:t xml:space="preserve">The $345 million 2029 convertible notes convert at $62.96. AMPH traded at $21.65 on April 21, 2026 (Jefferies same-day downgrade to Hold, $22 target). Anti-dilutive options grew from 619K to 3.2M shares at a weighted-average price of ~$35 — every broken strike in the cap table sits above the current price. Fair value of the notes is $319.1 million versus $345 million face, </w:t>
      </w:r>
      <w:proofErr w:type="spellStart"/>
      <w:r>
        <w:t>signalling</w:t>
      </w:r>
      <w:proofErr w:type="spellEnd"/>
      <w:r>
        <w:t xml:space="preserve"> the market is already pricing refinancing friction, not conversion.</w:t>
      </w:r>
    </w:p>
    <w:p w14:paraId="060B4485" w14:textId="77777777" w:rsidR="00DA28C1" w:rsidRDefault="00000000">
      <w:pPr>
        <w:spacing w:before="60" w:after="80" w:line="320" w:lineRule="auto"/>
      </w:pPr>
      <w:r>
        <w:rPr>
          <w:rFonts w:ascii="Arial" w:eastAsia="Arial" w:hAnsi="Arial" w:cs="Arial"/>
          <w:b/>
          <w:bCs/>
          <w:color w:val="8C1C1C"/>
          <w:sz w:val="20"/>
          <w:szCs w:val="20"/>
        </w:rPr>
        <w:t xml:space="preserve">Why it matters.  </w:t>
      </w:r>
      <w:r>
        <w:t>The convertible was not taken out by equity; it will need to be taken out by cash or by a new debt instrument. With $170 million of cash and $283 million of cash + short-term investments, the runway does not comfortably bridge 2029 without another financing event.</w:t>
      </w:r>
    </w:p>
    <w:p w14:paraId="795048FA" w14:textId="77777777" w:rsidR="00DA28C1" w:rsidRDefault="00000000">
      <w:pPr>
        <w:spacing w:before="40" w:after="200"/>
      </w:pPr>
      <w:r>
        <w:rPr>
          <w:rFonts w:ascii="Arial" w:eastAsia="Arial" w:hAnsi="Arial" w:cs="Arial"/>
          <w:i/>
          <w:iCs/>
          <w:color w:val="6A6A6A"/>
          <w:sz w:val="16"/>
          <w:szCs w:val="16"/>
        </w:rPr>
        <w:t>Source: Note 10 Long-term Debt; AMPH public pricing (April 21, 2026); Note 15 Stockholders' Equity anti-dilution disclosure.</w:t>
      </w:r>
    </w:p>
    <w:p w14:paraId="180C9489" w14:textId="77777777" w:rsidR="00DA28C1" w:rsidRDefault="00000000">
      <w:pPr>
        <w:spacing w:before="240" w:after="80"/>
      </w:pPr>
      <w:r>
        <w:rPr>
          <w:rFonts w:ascii="Arial" w:eastAsia="Arial" w:hAnsi="Arial" w:cs="Arial"/>
          <w:b/>
          <w:bCs/>
          <w:color w:val="8C1C1C"/>
        </w:rPr>
        <w:t xml:space="preserve">7.  </w:t>
      </w:r>
      <w:proofErr w:type="spellStart"/>
      <w:r>
        <w:rPr>
          <w:rFonts w:ascii="Arial" w:eastAsia="Arial" w:hAnsi="Arial" w:cs="Arial"/>
          <w:b/>
          <w:bCs/>
        </w:rPr>
        <w:t>Hanxin's</w:t>
      </w:r>
      <w:proofErr w:type="spellEnd"/>
      <w:r>
        <w:rPr>
          <w:rFonts w:ascii="Arial" w:eastAsia="Arial" w:hAnsi="Arial" w:cs="Arial"/>
          <w:b/>
          <w:bCs/>
        </w:rPr>
        <w:t xml:space="preserve"> role as exclusive Greater-China distributor for BAQSIMI is related-party.</w:t>
      </w:r>
    </w:p>
    <w:p w14:paraId="35AB0D08" w14:textId="77777777" w:rsidR="00DA28C1" w:rsidRDefault="00000000">
      <w:pPr>
        <w:spacing w:before="80" w:after="120" w:line="330" w:lineRule="auto"/>
      </w:pPr>
      <w:r>
        <w:t xml:space="preserve">In October 2025, </w:t>
      </w:r>
      <w:proofErr w:type="spellStart"/>
      <w:r>
        <w:t>Amphastar</w:t>
      </w:r>
      <w:proofErr w:type="spellEnd"/>
      <w:r>
        <w:t xml:space="preserve"> appointed Nanjing </w:t>
      </w:r>
      <w:proofErr w:type="spellStart"/>
      <w:r>
        <w:t>Chengong</w:t>
      </w:r>
      <w:proofErr w:type="spellEnd"/>
      <w:r>
        <w:t xml:space="preserve"> Pharmaceutical Co., Ltd. — a wholly-owned subsidiary of </w:t>
      </w:r>
      <w:proofErr w:type="spellStart"/>
      <w:r>
        <w:t>Hanxin</w:t>
      </w:r>
      <w:proofErr w:type="spellEnd"/>
      <w:r>
        <w:t xml:space="preserve"> — as exclusive BAQSIMI distributor across Mainland China, Taiwan, Hong Kong and Macau on a 10-year agreement. </w:t>
      </w:r>
      <w:proofErr w:type="spellStart"/>
      <w:r>
        <w:t>Hanxin's</w:t>
      </w:r>
      <w:proofErr w:type="spellEnd"/>
      <w:r>
        <w:t xml:space="preserve"> chairman and general manager is Henry Zhang, son of CEO Dr. Jack Zhang. Dr. Mary Luo (COO) and Dr. Jack Zhang also hold ownership through an affiliated entity.</w:t>
      </w:r>
    </w:p>
    <w:p w14:paraId="7E1FCDC2" w14:textId="77777777" w:rsidR="00DA28C1" w:rsidRDefault="00000000">
      <w:pPr>
        <w:spacing w:before="60" w:after="80" w:line="320" w:lineRule="auto"/>
      </w:pPr>
      <w:r>
        <w:rPr>
          <w:rFonts w:ascii="Arial" w:eastAsia="Arial" w:hAnsi="Arial" w:cs="Arial"/>
          <w:b/>
          <w:bCs/>
          <w:color w:val="8C1C1C"/>
          <w:sz w:val="20"/>
          <w:szCs w:val="20"/>
        </w:rPr>
        <w:t xml:space="preserve">Why it matters.  </w:t>
      </w:r>
      <w:r>
        <w:t xml:space="preserve">Greater China is the largest potential new geography for a nasal glucagon product. Awarding that exclusivity to an entity controlled by the CEO's family, without a disclosed arm's-length determination process, is a governance matter an investor should want documented. No 2025 revenue was recorded from </w:t>
      </w:r>
      <w:proofErr w:type="spellStart"/>
      <w:r>
        <w:t>Chengong</w:t>
      </w:r>
      <w:proofErr w:type="spellEnd"/>
      <w:r>
        <w:t xml:space="preserve"> — which means transfer pricing has not yet been tested in the filing.</w:t>
      </w:r>
    </w:p>
    <w:p w14:paraId="25259439" w14:textId="77777777" w:rsidR="00DA28C1" w:rsidRDefault="00000000">
      <w:pPr>
        <w:spacing w:before="40" w:after="200"/>
      </w:pPr>
      <w:r>
        <w:rPr>
          <w:rFonts w:ascii="Arial" w:eastAsia="Arial" w:hAnsi="Arial" w:cs="Arial"/>
          <w:i/>
          <w:iCs/>
          <w:color w:val="6A6A6A"/>
          <w:sz w:val="16"/>
          <w:szCs w:val="16"/>
        </w:rPr>
        <w:t xml:space="preserve">Source: Note 18 Related-Party Transactions — BAQSIMI Distribution Agreement with </w:t>
      </w:r>
      <w:proofErr w:type="spellStart"/>
      <w:r>
        <w:rPr>
          <w:rFonts w:ascii="Arial" w:eastAsia="Arial" w:hAnsi="Arial" w:cs="Arial"/>
          <w:i/>
          <w:iCs/>
          <w:color w:val="6A6A6A"/>
          <w:sz w:val="16"/>
          <w:szCs w:val="16"/>
        </w:rPr>
        <w:t>Chengong</w:t>
      </w:r>
      <w:proofErr w:type="spellEnd"/>
      <w:r>
        <w:rPr>
          <w:rFonts w:ascii="Arial" w:eastAsia="Arial" w:hAnsi="Arial" w:cs="Arial"/>
          <w:i/>
          <w:iCs/>
          <w:color w:val="6A6A6A"/>
          <w:sz w:val="16"/>
          <w:szCs w:val="16"/>
        </w:rPr>
        <w:t>.</w:t>
      </w:r>
    </w:p>
    <w:p w14:paraId="2DB41537" w14:textId="77777777" w:rsidR="00DA28C1" w:rsidRDefault="00000000">
      <w:pPr>
        <w:spacing w:before="240" w:after="80"/>
      </w:pPr>
      <w:r>
        <w:rPr>
          <w:rFonts w:ascii="Arial" w:eastAsia="Arial" w:hAnsi="Arial" w:cs="Arial"/>
          <w:b/>
          <w:bCs/>
          <w:color w:val="8C1C1C"/>
        </w:rPr>
        <w:t>8</w:t>
      </w:r>
      <w:proofErr w:type="gramStart"/>
      <w:r>
        <w:rPr>
          <w:rFonts w:ascii="Arial" w:eastAsia="Arial" w:hAnsi="Arial" w:cs="Arial"/>
          <w:b/>
          <w:bCs/>
          <w:color w:val="8C1C1C"/>
        </w:rPr>
        <w:t xml:space="preserve">.  </w:t>
      </w:r>
      <w:r>
        <w:rPr>
          <w:rFonts w:ascii="Arial" w:eastAsia="Arial" w:hAnsi="Arial" w:cs="Arial"/>
          <w:b/>
          <w:bCs/>
        </w:rPr>
        <w:t>Semaglutide</w:t>
      </w:r>
      <w:proofErr w:type="gramEnd"/>
      <w:r>
        <w:rPr>
          <w:rFonts w:ascii="Arial" w:eastAsia="Arial" w:hAnsi="Arial" w:cs="Arial"/>
          <w:b/>
          <w:bCs/>
        </w:rPr>
        <w:t xml:space="preserve"> API and finished-product supply through </w:t>
      </w:r>
      <w:proofErr w:type="spellStart"/>
      <w:r>
        <w:rPr>
          <w:rFonts w:ascii="Arial" w:eastAsia="Arial" w:hAnsi="Arial" w:cs="Arial"/>
          <w:b/>
          <w:bCs/>
        </w:rPr>
        <w:t>Hanxin</w:t>
      </w:r>
      <w:proofErr w:type="spellEnd"/>
      <w:r>
        <w:rPr>
          <w:rFonts w:ascii="Arial" w:eastAsia="Arial" w:hAnsi="Arial" w:cs="Arial"/>
          <w:b/>
          <w:bCs/>
        </w:rPr>
        <w:t xml:space="preserve"> is new.</w:t>
      </w:r>
    </w:p>
    <w:p w14:paraId="709EB5E5" w14:textId="77777777" w:rsidR="00DA28C1" w:rsidRDefault="00000000">
      <w:pPr>
        <w:spacing w:before="80" w:after="120" w:line="330" w:lineRule="auto"/>
      </w:pPr>
      <w:r>
        <w:t xml:space="preserve">A January 2026 amendment to the </w:t>
      </w:r>
      <w:proofErr w:type="spellStart"/>
      <w:r>
        <w:t>Hanxin</w:t>
      </w:r>
      <w:proofErr w:type="spellEnd"/>
      <w:r>
        <w:t xml:space="preserve"> contract-manufacturing agreement added a global territory (ex-US/Canada for lidocaine and corticotropin) AND a global territory for Semaglutide API and finished product at 3, 7, and 14 mg dose strengths. The filing does not describe any Semaglutide program on </w:t>
      </w:r>
      <w:proofErr w:type="spellStart"/>
      <w:r>
        <w:t>Amphastar's</w:t>
      </w:r>
      <w:proofErr w:type="spellEnd"/>
      <w:r>
        <w:t xml:space="preserve"> balance sheet; this disclosure is the first signal.</w:t>
      </w:r>
    </w:p>
    <w:p w14:paraId="13B50702" w14:textId="77777777" w:rsidR="00DA28C1" w:rsidRDefault="00000000">
      <w:pPr>
        <w:spacing w:before="60" w:after="80" w:line="320" w:lineRule="auto"/>
      </w:pPr>
      <w:r>
        <w:rPr>
          <w:rFonts w:ascii="Arial" w:eastAsia="Arial" w:hAnsi="Arial" w:cs="Arial"/>
          <w:b/>
          <w:bCs/>
          <w:color w:val="8C1C1C"/>
          <w:sz w:val="20"/>
          <w:szCs w:val="20"/>
        </w:rPr>
        <w:t xml:space="preserve">Why it matters.  </w:t>
      </w:r>
      <w:r>
        <w:t xml:space="preserve">Oral Semaglutide </w:t>
      </w:r>
      <w:proofErr w:type="gramStart"/>
      <w:r>
        <w:t>finished-product</w:t>
      </w:r>
      <w:proofErr w:type="gramEnd"/>
      <w:r>
        <w:t xml:space="preserve"> at those dose strengths matches the </w:t>
      </w:r>
      <w:proofErr w:type="spellStart"/>
      <w:r>
        <w:t>Rybelsus</w:t>
      </w:r>
      <w:proofErr w:type="spellEnd"/>
      <w:r>
        <w:t xml:space="preserve"> profile. Entering that supply chain through a related party, disclosed only as a contract-manufacturing amendment, is exactly the kind of strategic decision that normally sits in an Item 1 business-development paragraph — and it does not.</w:t>
      </w:r>
    </w:p>
    <w:p w14:paraId="22DA9219" w14:textId="77777777" w:rsidR="00DA28C1" w:rsidRDefault="00000000">
      <w:pPr>
        <w:spacing w:before="40" w:after="200"/>
      </w:pPr>
      <w:r>
        <w:rPr>
          <w:rFonts w:ascii="Arial" w:eastAsia="Arial" w:hAnsi="Arial" w:cs="Arial"/>
          <w:i/>
          <w:iCs/>
          <w:color w:val="6A6A6A"/>
          <w:sz w:val="16"/>
          <w:szCs w:val="16"/>
        </w:rPr>
        <w:t>Source: Note 18 Contract Manufacturing Agreements — January 2026 amendment; no corresponding Item 1 disclosure.</w:t>
      </w:r>
    </w:p>
    <w:p w14:paraId="36238FAA" w14:textId="77777777" w:rsidR="00DA28C1" w:rsidRDefault="00000000">
      <w:pPr>
        <w:spacing w:before="240" w:after="80"/>
      </w:pPr>
      <w:r>
        <w:rPr>
          <w:rFonts w:ascii="Arial" w:eastAsia="Arial" w:hAnsi="Arial" w:cs="Arial"/>
          <w:b/>
          <w:bCs/>
          <w:color w:val="8C1C1C"/>
        </w:rPr>
        <w:t xml:space="preserve">9.  </w:t>
      </w:r>
      <w:r>
        <w:rPr>
          <w:rFonts w:ascii="Arial" w:eastAsia="Arial" w:hAnsi="Arial" w:cs="Arial"/>
          <w:b/>
          <w:bCs/>
        </w:rPr>
        <w:t>France operations have generated pre-tax losses every year; valuation allowance is growing.</w:t>
      </w:r>
    </w:p>
    <w:p w14:paraId="0D4B4AA5" w14:textId="77777777" w:rsidR="00DA28C1" w:rsidRDefault="00000000">
      <w:pPr>
        <w:spacing w:before="80" w:after="120" w:line="330" w:lineRule="auto"/>
      </w:pPr>
      <w:r>
        <w:lastRenderedPageBreak/>
        <w:t xml:space="preserve">Total foreign pre-tax results have been in loss every year disclosed. Deferred tax assets of foreign subsidiaries carry a $23.3 million valuation allowance, up from $21.7 million in 2024. </w:t>
      </w:r>
      <w:proofErr w:type="spellStart"/>
      <w:r>
        <w:t>Éragny</w:t>
      </w:r>
      <w:proofErr w:type="spellEnd"/>
      <w:r>
        <w:t>-sur-</w:t>
      </w:r>
      <w:proofErr w:type="spellStart"/>
      <w:r>
        <w:t>Epte</w:t>
      </w:r>
      <w:proofErr w:type="spellEnd"/>
      <w:r>
        <w:t xml:space="preserve"> (France) houses the MannKind insulin API line — MannKind is not purchasing for "at least the next two years" per Item 1A while they qualify </w:t>
      </w:r>
      <w:proofErr w:type="spellStart"/>
      <w:r>
        <w:t>Amphastar's</w:t>
      </w:r>
      <w:proofErr w:type="spellEnd"/>
      <w:r>
        <w:t xml:space="preserve"> upgraded RHI. The China Nanjing operation runs $3.2 million of revenue against $110.1 million of assets.</w:t>
      </w:r>
    </w:p>
    <w:p w14:paraId="1C7B6646" w14:textId="77777777" w:rsidR="00DA28C1" w:rsidRDefault="00000000">
      <w:pPr>
        <w:spacing w:before="60" w:after="80" w:line="320" w:lineRule="auto"/>
      </w:pPr>
      <w:r>
        <w:rPr>
          <w:rFonts w:ascii="Arial" w:eastAsia="Arial" w:hAnsi="Arial" w:cs="Arial"/>
          <w:b/>
          <w:bCs/>
          <w:color w:val="8C1C1C"/>
          <w:sz w:val="20"/>
          <w:szCs w:val="20"/>
        </w:rPr>
        <w:t xml:space="preserve">Why it matters.  </w:t>
      </w:r>
      <w:r>
        <w:t>The foreign asset base is being carried at $150-plus million while generating persistent losses. This is the clearest candidate for a future impairment charge the headline narrative does not invite the reader to price in.</w:t>
      </w:r>
    </w:p>
    <w:p w14:paraId="450F4619" w14:textId="77777777" w:rsidR="00DA28C1" w:rsidRDefault="00000000">
      <w:pPr>
        <w:spacing w:before="40" w:after="200"/>
      </w:pPr>
      <w:r>
        <w:rPr>
          <w:rFonts w:ascii="Arial" w:eastAsia="Arial" w:hAnsi="Arial" w:cs="Arial"/>
          <w:i/>
          <w:iCs/>
          <w:color w:val="6A6A6A"/>
          <w:sz w:val="16"/>
          <w:szCs w:val="16"/>
        </w:rPr>
        <w:t>Source: Note 14 deferred tax valuation allowance; Note 4 geographic segments; Item 1A France utilization risk.</w:t>
      </w:r>
    </w:p>
    <w:p w14:paraId="76010F89" w14:textId="77777777" w:rsidR="00DA28C1" w:rsidRDefault="00000000">
      <w:pPr>
        <w:spacing w:before="240" w:after="80"/>
      </w:pPr>
      <w:r>
        <w:rPr>
          <w:rFonts w:ascii="Arial" w:eastAsia="Arial" w:hAnsi="Arial" w:cs="Arial"/>
          <w:b/>
          <w:bCs/>
          <w:color w:val="8C1C1C"/>
        </w:rPr>
        <w:t>10</w:t>
      </w:r>
      <w:proofErr w:type="gramStart"/>
      <w:r>
        <w:rPr>
          <w:rFonts w:ascii="Arial" w:eastAsia="Arial" w:hAnsi="Arial" w:cs="Arial"/>
          <w:b/>
          <w:bCs/>
          <w:color w:val="8C1C1C"/>
        </w:rPr>
        <w:t xml:space="preserve">.  </w:t>
      </w:r>
      <w:r>
        <w:rPr>
          <w:rFonts w:ascii="Arial" w:eastAsia="Arial" w:hAnsi="Arial" w:cs="Arial"/>
          <w:b/>
          <w:bCs/>
        </w:rPr>
        <w:t>Buybacks</w:t>
      </w:r>
      <w:proofErr w:type="gramEnd"/>
      <w:r>
        <w:rPr>
          <w:rFonts w:ascii="Arial" w:eastAsia="Arial" w:hAnsi="Arial" w:cs="Arial"/>
          <w:b/>
          <w:bCs/>
        </w:rPr>
        <w:t xml:space="preserve"> are doing real EPS work — and the count is still falling.</w:t>
      </w:r>
    </w:p>
    <w:p w14:paraId="21BDEE89" w14:textId="77777777" w:rsidR="00DA28C1" w:rsidRDefault="00000000">
      <w:pPr>
        <w:spacing w:before="80" w:after="120" w:line="330" w:lineRule="auto"/>
      </w:pPr>
      <w:r>
        <w:t>Weighted-average basic share count dropped from 48.4M to 46.7M. Treasury stock now sits at $408.1 million (16.1M shares). The 2025 buyback was $75.6 million (2.92M shares at ~$26 average). With the stock at $21.65, the buyback authorization remaining is economically more valuable, but it also consumes the same cash that otherwise repays the 2028/2029 debt wall.</w:t>
      </w:r>
    </w:p>
    <w:p w14:paraId="0E74C9AD" w14:textId="77777777" w:rsidR="00DA28C1" w:rsidRDefault="00000000">
      <w:pPr>
        <w:spacing w:before="60" w:after="80" w:line="320" w:lineRule="auto"/>
      </w:pPr>
      <w:r>
        <w:rPr>
          <w:rFonts w:ascii="Arial" w:eastAsia="Arial" w:hAnsi="Arial" w:cs="Arial"/>
          <w:b/>
          <w:bCs/>
          <w:color w:val="8C1C1C"/>
          <w:sz w:val="20"/>
          <w:szCs w:val="20"/>
        </w:rPr>
        <w:t xml:space="preserve">Why it matters.  </w:t>
      </w:r>
      <w:r>
        <w:t>A tighter capital policy would pause buybacks to build the refinancing cushion. Management is doing the opposite. That is a choice, not a neutral fact.</w:t>
      </w:r>
    </w:p>
    <w:p w14:paraId="3169A566" w14:textId="77777777" w:rsidR="00DA28C1" w:rsidRDefault="00000000">
      <w:pPr>
        <w:spacing w:before="40" w:after="200"/>
      </w:pPr>
      <w:r>
        <w:rPr>
          <w:rFonts w:ascii="Arial" w:eastAsia="Arial" w:hAnsi="Arial" w:cs="Arial"/>
          <w:i/>
          <w:iCs/>
          <w:color w:val="6A6A6A"/>
          <w:sz w:val="16"/>
          <w:szCs w:val="16"/>
        </w:rPr>
        <w:t>Source: Note 15 Stockholders' Equity; Cash Flow Statement; Issuer-repurchase disclosures.</w:t>
      </w:r>
    </w:p>
    <w:p w14:paraId="3CFB12B2" w14:textId="77777777" w:rsidR="00DA28C1" w:rsidRDefault="00000000">
      <w:pPr>
        <w:pStyle w:val="Heading1"/>
      </w:pPr>
      <w:r>
        <w:t>Investigation threads</w:t>
      </w:r>
    </w:p>
    <w:p w14:paraId="07090BF0" w14:textId="77777777" w:rsidR="00DA28C1" w:rsidRDefault="00000000">
      <w:pPr>
        <w:pStyle w:val="Heading2"/>
      </w:pPr>
      <w:r>
        <w:t xml:space="preserve">Thread 1 — The </w:t>
      </w:r>
      <w:proofErr w:type="spellStart"/>
      <w:r>
        <w:t>Hanxin</w:t>
      </w:r>
      <w:proofErr w:type="spellEnd"/>
      <w:r>
        <w:t xml:space="preserve"> web</w:t>
      </w:r>
    </w:p>
    <w:p w14:paraId="011B9E6E" w14:textId="77777777" w:rsidR="00DA28C1" w:rsidRDefault="00000000">
      <w:pPr>
        <w:spacing w:before="80" w:after="160"/>
      </w:pPr>
      <w:r>
        <w:rPr>
          <w:i/>
          <w:iCs/>
          <w:color w:val="6A6A6A"/>
        </w:rPr>
        <w:t>A related-party network that has expanded from a narrow contract-manufacturing arrangement into a multi-geography commercial, licensing and API partnership — all with the CEO's family — and all while reported cash flows between the parties remain immaterial.</w:t>
      </w:r>
    </w:p>
    <w:p w14:paraId="1B9983D5" w14:textId="77777777" w:rsidR="00DA28C1" w:rsidRDefault="00000000">
      <w:pPr>
        <w:pBdr>
          <w:left w:val="single" w:sz="18" w:space="12" w:color="8C1C1C"/>
        </w:pBdr>
        <w:spacing w:before="160" w:after="200" w:line="320" w:lineRule="auto"/>
        <w:ind w:left="360"/>
      </w:pPr>
      <w:r>
        <w:rPr>
          <w:i/>
          <w:iCs/>
        </w:rPr>
        <w:t xml:space="preserve">"Henry Zhang, the son of Dr. Jack Zhang, is an equity holder, the general manager, and the chairman of the board of directors of </w:t>
      </w:r>
      <w:proofErr w:type="spellStart"/>
      <w:r>
        <w:rPr>
          <w:i/>
          <w:iCs/>
        </w:rPr>
        <w:t>Hanxin</w:t>
      </w:r>
      <w:proofErr w:type="spellEnd"/>
      <w:r>
        <w:rPr>
          <w:i/>
          <w:iCs/>
        </w:rPr>
        <w:t xml:space="preserve">. Additionally, Dr. Mary Luo and Dr. Jack Zhang, have an ownership interest in </w:t>
      </w:r>
      <w:proofErr w:type="spellStart"/>
      <w:r>
        <w:rPr>
          <w:i/>
          <w:iCs/>
        </w:rPr>
        <w:t>Hanxin</w:t>
      </w:r>
      <w:proofErr w:type="spellEnd"/>
      <w:r>
        <w:rPr>
          <w:i/>
          <w:iCs/>
        </w:rPr>
        <w:t xml:space="preserve"> through an affiliated entity." — Note 18</w:t>
      </w:r>
    </w:p>
    <w:p w14:paraId="6B6339C0" w14:textId="77777777" w:rsidR="00DA28C1" w:rsidRDefault="00000000">
      <w:pPr>
        <w:spacing w:before="220" w:after="100"/>
      </w:pPr>
      <w:r>
        <w:rPr>
          <w:rFonts w:ascii="Arial" w:eastAsia="Arial" w:hAnsi="Arial" w:cs="Arial"/>
          <w:b/>
          <w:bCs/>
        </w:rPr>
        <w:t>Finding A. Commercial exclusivity for the crown asset is inside the family.</w:t>
      </w:r>
    </w:p>
    <w:p w14:paraId="58AB6901" w14:textId="77777777" w:rsidR="00DA28C1" w:rsidRDefault="00000000">
      <w:pPr>
        <w:spacing w:before="80" w:after="120" w:line="330" w:lineRule="auto"/>
      </w:pPr>
      <w:r>
        <w:t xml:space="preserve">The October 2025 </w:t>
      </w:r>
      <w:proofErr w:type="spellStart"/>
      <w:r>
        <w:t>Chengong</w:t>
      </w:r>
      <w:proofErr w:type="spellEnd"/>
      <w:r>
        <w:t xml:space="preserve"> distribution agreement grants 10-year exclusivity for BAQSIMI across the entire Greater China region to an entity that, through </w:t>
      </w:r>
      <w:proofErr w:type="spellStart"/>
      <w:r>
        <w:t>Hanxin</w:t>
      </w:r>
      <w:proofErr w:type="spellEnd"/>
      <w:r>
        <w:t>, the CEO's son controls.</w:t>
      </w:r>
    </w:p>
    <w:p w14:paraId="42E84353" w14:textId="77777777" w:rsidR="00DA28C1" w:rsidRDefault="00000000">
      <w:pPr>
        <w:spacing w:before="60" w:after="80" w:line="320" w:lineRule="auto"/>
      </w:pPr>
      <w:r>
        <w:rPr>
          <w:rFonts w:ascii="Arial" w:eastAsia="Arial" w:hAnsi="Arial" w:cs="Arial"/>
          <w:b/>
          <w:bCs/>
          <w:color w:val="8C1C1C"/>
          <w:sz w:val="20"/>
          <w:szCs w:val="20"/>
        </w:rPr>
        <w:t xml:space="preserve">Why it matters.  </w:t>
      </w:r>
      <w:r>
        <w:t>If BAQSIMI's growth engine is Asia (it is the largest unpenetrated geography for nasal glucagon), the economics of that future growth will be split in a way that is not yet visible and that was awarded without competitive process disclosure.</w:t>
      </w:r>
    </w:p>
    <w:p w14:paraId="636B9992" w14:textId="77777777" w:rsidR="00DA28C1" w:rsidRDefault="00000000">
      <w:pPr>
        <w:spacing w:before="40" w:after="160" w:line="320" w:lineRule="auto"/>
      </w:pPr>
      <w:r>
        <w:rPr>
          <w:rFonts w:ascii="Arial" w:eastAsia="Arial" w:hAnsi="Arial" w:cs="Arial"/>
          <w:b/>
          <w:bCs/>
          <w:color w:val="8C1C1C"/>
          <w:sz w:val="20"/>
          <w:szCs w:val="20"/>
        </w:rPr>
        <w:t xml:space="preserve">Why a fast reader misses it.  </w:t>
      </w:r>
      <w:r>
        <w:t xml:space="preserve">The agreement </w:t>
      </w:r>
      <w:proofErr w:type="gramStart"/>
      <w:r>
        <w:t>has produced</w:t>
      </w:r>
      <w:proofErr w:type="gramEnd"/>
      <w:r>
        <w:t xml:space="preserve"> zero revenue in 2025. Readers looking for materiality via the 2025 P&amp;L will miss it. Materiality here is forward-looking, not backward.</w:t>
      </w:r>
    </w:p>
    <w:p w14:paraId="31EF6EC0" w14:textId="77777777" w:rsidR="00DA28C1" w:rsidRDefault="00000000">
      <w:pPr>
        <w:spacing w:before="220" w:after="100"/>
      </w:pPr>
      <w:r>
        <w:rPr>
          <w:rFonts w:ascii="Arial" w:eastAsia="Arial" w:hAnsi="Arial" w:cs="Arial"/>
          <w:b/>
          <w:bCs/>
        </w:rPr>
        <w:lastRenderedPageBreak/>
        <w:t>Finding B. Global Semaglutide supply, routed through related party, no Item 1 disclosure.</w:t>
      </w:r>
    </w:p>
    <w:p w14:paraId="49788721" w14:textId="77777777" w:rsidR="00DA28C1" w:rsidRDefault="00000000">
      <w:pPr>
        <w:spacing w:before="80" w:after="120" w:line="330" w:lineRule="auto"/>
      </w:pPr>
      <w:r>
        <w:t xml:space="preserve">The January 2026 manufacturing amendment adds global-territory supply for Semaglutide API and oral finished product at 3/7/14 mg — the </w:t>
      </w:r>
      <w:proofErr w:type="spellStart"/>
      <w:r>
        <w:t>Rybelsus</w:t>
      </w:r>
      <w:proofErr w:type="spellEnd"/>
      <w:r>
        <w:t xml:space="preserve"> strength profile. The business description in Item 1 makes no reference to a Semaglutide program.</w:t>
      </w:r>
    </w:p>
    <w:p w14:paraId="2FE4CC7D" w14:textId="77777777" w:rsidR="00DA28C1" w:rsidRDefault="00000000">
      <w:pPr>
        <w:spacing w:before="60" w:after="80" w:line="320" w:lineRule="auto"/>
      </w:pPr>
      <w:r>
        <w:rPr>
          <w:rFonts w:ascii="Arial" w:eastAsia="Arial" w:hAnsi="Arial" w:cs="Arial"/>
          <w:b/>
          <w:bCs/>
          <w:color w:val="8C1C1C"/>
          <w:sz w:val="20"/>
          <w:szCs w:val="20"/>
        </w:rPr>
        <w:t xml:space="preserve">Why it matters.  </w:t>
      </w:r>
      <w:r>
        <w:t>A company that is building a supply-chain position in a Novo Nordisk-class molecule is doing something strategically large. The filing's architecture hides it in a related-party footnote.</w:t>
      </w:r>
    </w:p>
    <w:p w14:paraId="7785A688" w14:textId="77777777" w:rsidR="00DA28C1" w:rsidRDefault="00000000">
      <w:pPr>
        <w:spacing w:before="40" w:after="160" w:line="320" w:lineRule="auto"/>
      </w:pPr>
      <w:r>
        <w:rPr>
          <w:rFonts w:ascii="Arial" w:eastAsia="Arial" w:hAnsi="Arial" w:cs="Arial"/>
          <w:b/>
          <w:bCs/>
          <w:color w:val="8C1C1C"/>
          <w:sz w:val="20"/>
          <w:szCs w:val="20"/>
        </w:rPr>
        <w:t xml:space="preserve">Why a fast reader misses it.  </w:t>
      </w:r>
      <w:r>
        <w:t>Item 1 readers see a peptide platform; they do not see GLP-1. The disclosure that does exist is in the exhibit list and Note 18.</w:t>
      </w:r>
    </w:p>
    <w:p w14:paraId="5D52A86A" w14:textId="77777777" w:rsidR="00DA28C1" w:rsidRDefault="00000000">
      <w:pPr>
        <w:spacing w:before="220" w:after="100"/>
      </w:pPr>
      <w:r>
        <w:rPr>
          <w:rFonts w:ascii="Arial" w:eastAsia="Arial" w:hAnsi="Arial" w:cs="Arial"/>
          <w:b/>
          <w:bCs/>
        </w:rPr>
        <w:t>Finding C. Small current cash flow disguises a compounding commercial footprint.</w:t>
      </w:r>
    </w:p>
    <w:p w14:paraId="4713D1D5" w14:textId="77777777" w:rsidR="00DA28C1" w:rsidRDefault="00000000">
      <w:pPr>
        <w:spacing w:before="80" w:after="120" w:line="330" w:lineRule="auto"/>
      </w:pPr>
      <w:r>
        <w:t xml:space="preserve">2025 revenue from </w:t>
      </w:r>
      <w:proofErr w:type="spellStart"/>
      <w:r>
        <w:t>Hanxin</w:t>
      </w:r>
      <w:proofErr w:type="spellEnd"/>
      <w:r>
        <w:t xml:space="preserve"> manufacturing: $1.1 million. 2025 payments to </w:t>
      </w:r>
      <w:proofErr w:type="spellStart"/>
      <w:r>
        <w:t>Hanxin</w:t>
      </w:r>
      <w:proofErr w:type="spellEnd"/>
      <w:r>
        <w:t xml:space="preserve"> under research agreements: $0.4 million. Immaterial. But within 16 months the parties have added: Primatene distribution (</w:t>
      </w:r>
      <w:proofErr w:type="spellStart"/>
      <w:r>
        <w:t>Genreach</w:t>
      </w:r>
      <w:proofErr w:type="spellEnd"/>
      <w:r>
        <w:t>), BAQSIMI distribution (</w:t>
      </w:r>
      <w:proofErr w:type="spellStart"/>
      <w:r>
        <w:t>Chengong</w:t>
      </w:r>
      <w:proofErr w:type="spellEnd"/>
      <w:r>
        <w:t>), global-territory Lidocaine and corticotropin manufacturing, Semaglutide API/FP global, a new corticotropin license requiring up to $89 million in milestones.</w:t>
      </w:r>
    </w:p>
    <w:p w14:paraId="5E65C4B9" w14:textId="77777777" w:rsidR="00DA28C1" w:rsidRDefault="00000000">
      <w:pPr>
        <w:spacing w:before="60" w:after="80" w:line="320" w:lineRule="auto"/>
      </w:pPr>
      <w:r>
        <w:rPr>
          <w:rFonts w:ascii="Arial" w:eastAsia="Arial" w:hAnsi="Arial" w:cs="Arial"/>
          <w:b/>
          <w:bCs/>
          <w:color w:val="8C1C1C"/>
          <w:sz w:val="20"/>
          <w:szCs w:val="20"/>
        </w:rPr>
        <w:t xml:space="preserve">Why it matters.  </w:t>
      </w:r>
      <w:r>
        <w:t>The governance question is not whether 2025 transactions were material — they were not. It is whether the board has an independent arm's-length review mechanism keeping pace with the deal flow.</w:t>
      </w:r>
    </w:p>
    <w:p w14:paraId="0138E014" w14:textId="77777777" w:rsidR="00DA28C1" w:rsidRDefault="00000000">
      <w:pPr>
        <w:spacing w:before="40" w:after="160" w:line="320" w:lineRule="auto"/>
      </w:pPr>
      <w:r>
        <w:rPr>
          <w:rFonts w:ascii="Arial" w:eastAsia="Arial" w:hAnsi="Arial" w:cs="Arial"/>
          <w:b/>
          <w:bCs/>
          <w:color w:val="8C1C1C"/>
          <w:sz w:val="20"/>
          <w:szCs w:val="20"/>
        </w:rPr>
        <w:t xml:space="preserve">Why a fast reader misses it.  </w:t>
      </w:r>
      <w:r>
        <w:t>Only a reader who reads Note 18 and Note 20 in sequence — and notices the exhibit-list additions since prior year — can see the velocity.</w:t>
      </w:r>
    </w:p>
    <w:p w14:paraId="7DF8FDD5" w14:textId="77777777" w:rsidR="00DA28C1" w:rsidRDefault="00000000">
      <w:pPr>
        <w:pStyle w:val="Heading2"/>
      </w:pPr>
      <w:r>
        <w:t>Thread 2 — BAQSIMI is paying for itself by cannibalizing glucagon</w:t>
      </w:r>
    </w:p>
    <w:p w14:paraId="542ED8C7" w14:textId="77777777" w:rsidR="00DA28C1" w:rsidRDefault="00000000">
      <w:pPr>
        <w:spacing w:before="80" w:after="160"/>
      </w:pPr>
      <w:r>
        <w:rPr>
          <w:i/>
          <w:iCs/>
          <w:color w:val="6A6A6A"/>
        </w:rPr>
        <w:t xml:space="preserve">The growth of the acquired product is being offset by the decline of </w:t>
      </w:r>
      <w:proofErr w:type="gramStart"/>
      <w:r>
        <w:rPr>
          <w:i/>
          <w:iCs/>
          <w:color w:val="6A6A6A"/>
        </w:rPr>
        <w:t>the legacy</w:t>
      </w:r>
      <w:proofErr w:type="gramEnd"/>
      <w:r>
        <w:rPr>
          <w:i/>
          <w:iCs/>
          <w:color w:val="6A6A6A"/>
        </w:rPr>
        <w:t xml:space="preserve"> product it displaces. The $529.7 million intangible book value presumes the opposite.</w:t>
      </w:r>
    </w:p>
    <w:p w14:paraId="243F2E2D" w14:textId="77777777" w:rsidR="00DA28C1" w:rsidRDefault="00000000">
      <w:pPr>
        <w:pBdr>
          <w:left w:val="single" w:sz="18" w:space="12" w:color="8C1C1C"/>
        </w:pBdr>
        <w:spacing w:before="160" w:after="200" w:line="320" w:lineRule="auto"/>
        <w:ind w:left="360"/>
      </w:pPr>
      <w:r>
        <w:rPr>
          <w:i/>
          <w:iCs/>
        </w:rPr>
        <w:t xml:space="preserve">"Sales from our glucagon </w:t>
      </w:r>
      <w:proofErr w:type="gramStart"/>
      <w:r>
        <w:rPr>
          <w:i/>
          <w:iCs/>
        </w:rPr>
        <w:t>product,</w:t>
      </w:r>
      <w:proofErr w:type="gramEnd"/>
      <w:r>
        <w:rPr>
          <w:i/>
          <w:iCs/>
        </w:rPr>
        <w:t xml:space="preserve"> represented 10%, 15% and 18% of our total net revenues for the years ended December 31, 2025, 2024, and 2023, respectively." — Item 1A</w:t>
      </w:r>
    </w:p>
    <w:p w14:paraId="26DB2CB2" w14:textId="77777777" w:rsidR="00DA28C1" w:rsidRDefault="00000000">
      <w:pPr>
        <w:spacing w:before="220" w:after="100"/>
      </w:pPr>
      <w:r>
        <w:rPr>
          <w:rFonts w:ascii="Arial" w:eastAsia="Arial" w:hAnsi="Arial" w:cs="Arial"/>
          <w:b/>
          <w:bCs/>
        </w:rPr>
        <w:t>Finding A. Net franchise growth is minimal, not the 46% BAQSIMI headline.</w:t>
      </w:r>
    </w:p>
    <w:p w14:paraId="414E72EB" w14:textId="77777777" w:rsidR="00DA28C1" w:rsidRDefault="00000000">
      <w:pPr>
        <w:spacing w:before="80" w:after="120" w:line="330" w:lineRule="auto"/>
      </w:pPr>
      <w:r>
        <w:t>BAQSIMI + glucagon combined grew from $235.2 million to $254.5 million, or 8.2%. BAQSIMI's 46% growth number, read without glucagon's -36% decline, overstates the economics of the acquired asset.</w:t>
      </w:r>
    </w:p>
    <w:p w14:paraId="799B7B6F" w14:textId="77777777" w:rsidR="00DA28C1" w:rsidRDefault="00000000">
      <w:pPr>
        <w:spacing w:before="60" w:after="80" w:line="320" w:lineRule="auto"/>
      </w:pPr>
      <w:r>
        <w:rPr>
          <w:rFonts w:ascii="Arial" w:eastAsia="Arial" w:hAnsi="Arial" w:cs="Arial"/>
          <w:b/>
          <w:bCs/>
          <w:color w:val="8C1C1C"/>
          <w:sz w:val="20"/>
          <w:szCs w:val="20"/>
        </w:rPr>
        <w:t xml:space="preserve">Why it matters.  </w:t>
      </w:r>
      <w:r>
        <w:t>If the BAQSIMI DCF in the 2023 acquisition model assumed incremental growth, part of it has arrived as substitution. Over a 24-year amortization period, this materially compresses terminal value.</w:t>
      </w:r>
    </w:p>
    <w:p w14:paraId="5CDB37E6" w14:textId="77777777" w:rsidR="00DA28C1" w:rsidRDefault="00000000">
      <w:pPr>
        <w:spacing w:before="40" w:after="160" w:line="320" w:lineRule="auto"/>
      </w:pPr>
      <w:r>
        <w:rPr>
          <w:rFonts w:ascii="Arial" w:eastAsia="Arial" w:hAnsi="Arial" w:cs="Arial"/>
          <w:b/>
          <w:bCs/>
          <w:color w:val="8C1C1C"/>
          <w:sz w:val="20"/>
          <w:szCs w:val="20"/>
        </w:rPr>
        <w:lastRenderedPageBreak/>
        <w:t xml:space="preserve">Why a fast reader misses it.  </w:t>
      </w:r>
      <w:r>
        <w:t>The MD&amp;A discusses each product's change; it does not synthesize them into the net-franchise view.</w:t>
      </w:r>
    </w:p>
    <w:p w14:paraId="60FC6604" w14:textId="77777777" w:rsidR="00DA28C1" w:rsidRDefault="00000000">
      <w:pPr>
        <w:spacing w:before="220" w:after="100"/>
      </w:pPr>
      <w:r>
        <w:rPr>
          <w:rFonts w:ascii="Arial" w:eastAsia="Arial" w:hAnsi="Arial" w:cs="Arial"/>
          <w:b/>
          <w:bCs/>
        </w:rPr>
        <w:t xml:space="preserve">Finding B. </w:t>
      </w:r>
      <w:proofErr w:type="gramStart"/>
      <w:r>
        <w:rPr>
          <w:rFonts w:ascii="Arial" w:eastAsia="Arial" w:hAnsi="Arial" w:cs="Arial"/>
          <w:b/>
          <w:bCs/>
        </w:rPr>
        <w:t>Useful-life</w:t>
      </w:r>
      <w:proofErr w:type="gramEnd"/>
      <w:r>
        <w:rPr>
          <w:rFonts w:ascii="Arial" w:eastAsia="Arial" w:hAnsi="Arial" w:cs="Arial"/>
          <w:b/>
          <w:bCs/>
        </w:rPr>
        <w:t xml:space="preserve"> (24 years) and </w:t>
      </w:r>
      <w:proofErr w:type="gramStart"/>
      <w:r>
        <w:rPr>
          <w:rFonts w:ascii="Arial" w:eastAsia="Arial" w:hAnsi="Arial" w:cs="Arial"/>
          <w:b/>
          <w:bCs/>
        </w:rPr>
        <w:t>indefinite-life</w:t>
      </w:r>
      <w:proofErr w:type="gramEnd"/>
      <w:r>
        <w:rPr>
          <w:rFonts w:ascii="Arial" w:eastAsia="Arial" w:hAnsi="Arial" w:cs="Arial"/>
          <w:b/>
          <w:bCs/>
        </w:rPr>
        <w:t xml:space="preserve"> (trademark) assumptions are </w:t>
      </w:r>
      <w:proofErr w:type="gramStart"/>
      <w:r>
        <w:rPr>
          <w:rFonts w:ascii="Arial" w:eastAsia="Arial" w:hAnsi="Arial" w:cs="Arial"/>
          <w:b/>
          <w:bCs/>
        </w:rPr>
        <w:t>load-bearing</w:t>
      </w:r>
      <w:proofErr w:type="gramEnd"/>
      <w:r>
        <w:rPr>
          <w:rFonts w:ascii="Arial" w:eastAsia="Arial" w:hAnsi="Arial" w:cs="Arial"/>
          <w:b/>
          <w:bCs/>
        </w:rPr>
        <w:t>.</w:t>
      </w:r>
    </w:p>
    <w:p w14:paraId="4DE2A422" w14:textId="77777777" w:rsidR="00DA28C1" w:rsidRDefault="00000000">
      <w:pPr>
        <w:spacing w:before="80" w:after="120" w:line="330" w:lineRule="auto"/>
      </w:pPr>
      <w:r>
        <w:t>$591.3 million of product rights on a 24-year straight line produce ~$24.6 million of annual amortization. A change to 15 years would add roughly $15 million of pre-tax expense annually — about 15% of 2025 net income.</w:t>
      </w:r>
    </w:p>
    <w:p w14:paraId="0ABF8FC9" w14:textId="77777777" w:rsidR="00DA28C1" w:rsidRDefault="00000000">
      <w:pPr>
        <w:spacing w:before="60" w:after="80" w:line="320" w:lineRule="auto"/>
      </w:pPr>
      <w:r>
        <w:rPr>
          <w:rFonts w:ascii="Arial" w:eastAsia="Arial" w:hAnsi="Arial" w:cs="Arial"/>
          <w:b/>
          <w:bCs/>
          <w:color w:val="8C1C1C"/>
          <w:sz w:val="20"/>
          <w:szCs w:val="20"/>
        </w:rPr>
        <w:t xml:space="preserve">Why it matters.  </w:t>
      </w:r>
      <w:r>
        <w:t>The sensitivity is not remote. Useful-life reassessment is a standard consequence of accelerating competitive dynamics in the glucagon category.</w:t>
      </w:r>
    </w:p>
    <w:p w14:paraId="71FBC6EB" w14:textId="77777777" w:rsidR="00DA28C1" w:rsidRDefault="00000000">
      <w:pPr>
        <w:spacing w:before="40" w:after="160" w:line="320" w:lineRule="auto"/>
      </w:pPr>
      <w:r>
        <w:rPr>
          <w:rFonts w:ascii="Arial" w:eastAsia="Arial" w:hAnsi="Arial" w:cs="Arial"/>
          <w:b/>
          <w:bCs/>
          <w:color w:val="8C1C1C"/>
          <w:sz w:val="20"/>
          <w:szCs w:val="20"/>
        </w:rPr>
        <w:t xml:space="preserve">Why a fast reader misses it.  </w:t>
      </w:r>
      <w:r>
        <w:t xml:space="preserve">The Note 8 disclosure shows </w:t>
      </w:r>
      <w:proofErr w:type="gramStart"/>
      <w:r>
        <w:t>the balance</w:t>
      </w:r>
      <w:proofErr w:type="gramEnd"/>
      <w:r>
        <w:t xml:space="preserve"> and amortization but does not disclose </w:t>
      </w:r>
      <w:proofErr w:type="gramStart"/>
      <w:r>
        <w:t>the sensitivity</w:t>
      </w:r>
      <w:proofErr w:type="gramEnd"/>
      <w:r>
        <w:t>. The filing does not indicate any impairment testing concern, but absence of evidence is not evidence of absence.</w:t>
      </w:r>
    </w:p>
    <w:p w14:paraId="630B0859" w14:textId="77777777" w:rsidR="00DA28C1" w:rsidRDefault="00000000">
      <w:pPr>
        <w:pStyle w:val="Heading2"/>
      </w:pPr>
      <w:r>
        <w:t>Thread 3 — The 2028–2029 refinancing cliff</w:t>
      </w:r>
    </w:p>
    <w:p w14:paraId="394C3C96" w14:textId="77777777" w:rsidR="00DA28C1" w:rsidRDefault="00000000">
      <w:pPr>
        <w:spacing w:before="80" w:after="160"/>
      </w:pPr>
      <w:r>
        <w:rPr>
          <w:i/>
          <w:iCs/>
          <w:color w:val="6A6A6A"/>
        </w:rPr>
        <w:t xml:space="preserve">Non-current long-term debt classification is obscuring how close the refinancing wall </w:t>
      </w:r>
      <w:proofErr w:type="gramStart"/>
      <w:r>
        <w:rPr>
          <w:i/>
          <w:iCs/>
          <w:color w:val="6A6A6A"/>
        </w:rPr>
        <w:t>actually is</w:t>
      </w:r>
      <w:proofErr w:type="gramEnd"/>
      <w:r>
        <w:rPr>
          <w:i/>
          <w:iCs/>
          <w:color w:val="6A6A6A"/>
        </w:rPr>
        <w:t>, and the equity-conversion path on the convertible is closed at current prices.</w:t>
      </w:r>
    </w:p>
    <w:p w14:paraId="3CBD22CE" w14:textId="77777777" w:rsidR="00DA28C1" w:rsidRDefault="00000000">
      <w:pPr>
        <w:pBdr>
          <w:left w:val="single" w:sz="18" w:space="12" w:color="8C1C1C"/>
        </w:pBdr>
        <w:spacing w:before="160" w:after="200" w:line="320" w:lineRule="auto"/>
        <w:ind w:left="360"/>
      </w:pPr>
      <w:r>
        <w:rPr>
          <w:i/>
          <w:iCs/>
        </w:rPr>
        <w:t>"The fair value of the 2029 Convertible Notes was approximately $319.1 million as of December 31, 2025." — Note 10</w:t>
      </w:r>
    </w:p>
    <w:p w14:paraId="3EED0A49" w14:textId="77777777" w:rsidR="00DA28C1" w:rsidRDefault="00000000">
      <w:pPr>
        <w:spacing w:before="220" w:after="100"/>
      </w:pPr>
      <w:r>
        <w:rPr>
          <w:rFonts w:ascii="Arial" w:eastAsia="Arial" w:hAnsi="Arial" w:cs="Arial"/>
          <w:b/>
          <w:bCs/>
        </w:rPr>
        <w:t>Finding A. The maturity table tells the real story.</w:t>
      </w:r>
    </w:p>
    <w:p w14:paraId="26B05702" w14:textId="77777777" w:rsidR="00DA28C1" w:rsidRDefault="00000000">
      <w:pPr>
        <w:spacing w:before="80" w:after="120" w:line="330" w:lineRule="auto"/>
      </w:pPr>
      <w:r>
        <w:t>2026: $1.5 million. 2027: $5.7 million. 2028: $255.7 million (Wells Fargo Term Loan). 2029: $353.5 million (convertible + remainder). Against $170.2 million cash, $112.6 million short-term investments, and $219.5 million unused revolver capacity.</w:t>
      </w:r>
    </w:p>
    <w:p w14:paraId="56069BF3" w14:textId="77777777" w:rsidR="00DA28C1" w:rsidRDefault="00000000">
      <w:pPr>
        <w:spacing w:before="60" w:after="80" w:line="320" w:lineRule="auto"/>
      </w:pPr>
      <w:r>
        <w:rPr>
          <w:rFonts w:ascii="Arial" w:eastAsia="Arial" w:hAnsi="Arial" w:cs="Arial"/>
          <w:b/>
          <w:bCs/>
          <w:color w:val="8C1C1C"/>
          <w:sz w:val="20"/>
          <w:szCs w:val="20"/>
        </w:rPr>
        <w:t xml:space="preserve">Why it matters.  </w:t>
      </w:r>
      <w:r>
        <w:t>$609 million coming due in 24 months against ~$500 million of available liquidity (cash + securities + revolver) means: either operating cash flow bridges the gap, or a refinancing event is mandatory. Both 2024 and 2025 operating cash flow levels would not cover it alone.</w:t>
      </w:r>
    </w:p>
    <w:p w14:paraId="5699AA45" w14:textId="77777777" w:rsidR="00DA28C1" w:rsidRDefault="00000000">
      <w:pPr>
        <w:spacing w:before="40" w:after="160" w:line="320" w:lineRule="auto"/>
      </w:pPr>
      <w:r>
        <w:rPr>
          <w:rFonts w:ascii="Arial" w:eastAsia="Arial" w:hAnsi="Arial" w:cs="Arial"/>
          <w:b/>
          <w:bCs/>
          <w:color w:val="8C1C1C"/>
          <w:sz w:val="20"/>
          <w:szCs w:val="20"/>
        </w:rPr>
        <w:t xml:space="preserve">Why a fast reader misses it.  </w:t>
      </w:r>
      <w:r>
        <w:t>The reader sees "long-term debt" on the balance sheet and relaxes. The filing's own note discloses the concentration, but it is three pages into Note 10.</w:t>
      </w:r>
    </w:p>
    <w:p w14:paraId="6025EF9B" w14:textId="77777777" w:rsidR="00DA28C1" w:rsidRDefault="00000000">
      <w:pPr>
        <w:spacing w:before="220" w:after="100"/>
      </w:pPr>
      <w:r>
        <w:rPr>
          <w:rFonts w:ascii="Arial" w:eastAsia="Arial" w:hAnsi="Arial" w:cs="Arial"/>
          <w:b/>
          <w:bCs/>
        </w:rPr>
        <w:t>Finding B. The convertible market is already discounting the refi risk.</w:t>
      </w:r>
    </w:p>
    <w:p w14:paraId="2A6605A5" w14:textId="77777777" w:rsidR="00DA28C1" w:rsidRDefault="00000000">
      <w:pPr>
        <w:spacing w:before="80" w:after="120" w:line="330" w:lineRule="auto"/>
      </w:pPr>
      <w:r>
        <w:t>Fair value of $319.1 million on $345 million face value is a 7.5% discount. At a 2.0% coupon and four years to maturity, that discount implies roughly a 340-basis-point yield-to-maturity uplift over issuance. The bond market's signal is clear.</w:t>
      </w:r>
    </w:p>
    <w:p w14:paraId="26F359D8" w14:textId="77777777" w:rsidR="00DA28C1" w:rsidRDefault="00000000">
      <w:pPr>
        <w:spacing w:before="60" w:after="80" w:line="320" w:lineRule="auto"/>
      </w:pPr>
      <w:r>
        <w:rPr>
          <w:rFonts w:ascii="Arial" w:eastAsia="Arial" w:hAnsi="Arial" w:cs="Arial"/>
          <w:b/>
          <w:bCs/>
          <w:color w:val="8C1C1C"/>
          <w:sz w:val="20"/>
          <w:szCs w:val="20"/>
        </w:rPr>
        <w:t xml:space="preserve">Why it matters.  </w:t>
      </w:r>
      <w:r>
        <w:t>A take-out at par in cash costs $345 million. A take-out via a new convertible at today's share price would be highly dilutive. Neither is costless.</w:t>
      </w:r>
    </w:p>
    <w:p w14:paraId="60CA7135" w14:textId="77777777" w:rsidR="00DA28C1" w:rsidRDefault="00000000">
      <w:pPr>
        <w:spacing w:before="40" w:after="160" w:line="320" w:lineRule="auto"/>
      </w:pPr>
      <w:r>
        <w:rPr>
          <w:rFonts w:ascii="Arial" w:eastAsia="Arial" w:hAnsi="Arial" w:cs="Arial"/>
          <w:b/>
          <w:bCs/>
          <w:color w:val="8C1C1C"/>
          <w:sz w:val="20"/>
          <w:szCs w:val="20"/>
        </w:rPr>
        <w:lastRenderedPageBreak/>
        <w:t xml:space="preserve">Why a fast reader misses it.  </w:t>
      </w:r>
      <w:r>
        <w:t>The fair-value disclosure is a one-line item in the debt note. The reader who skims the notes misses the market's verdict.</w:t>
      </w:r>
    </w:p>
    <w:p w14:paraId="5165F1DE" w14:textId="77777777" w:rsidR="00DA28C1" w:rsidRDefault="00000000">
      <w:pPr>
        <w:pStyle w:val="Heading1"/>
      </w:pPr>
      <w:r>
        <w:t>Earnings quality read</w:t>
      </w:r>
    </w:p>
    <w:p w14:paraId="4EFCB5E7" w14:textId="77777777" w:rsidR="00DA28C1" w:rsidRDefault="00000000">
      <w:pPr>
        <w:spacing w:before="160" w:after="60"/>
      </w:pPr>
      <w:r>
        <w:rPr>
          <w:rFonts w:ascii="Arial" w:eastAsia="Arial" w:hAnsi="Arial" w:cs="Arial"/>
          <w:b/>
          <w:bCs/>
          <w:color w:val="8C1C1C"/>
          <w:sz w:val="20"/>
          <w:szCs w:val="20"/>
        </w:rPr>
        <w:t>What looks cleaner than reality</w:t>
      </w:r>
    </w:p>
    <w:p w14:paraId="4FDB3A1B" w14:textId="77777777" w:rsidR="00DA28C1" w:rsidRDefault="00000000">
      <w:pPr>
        <w:pStyle w:val="ListParagraph"/>
        <w:numPr>
          <w:ilvl w:val="0"/>
          <w:numId w:val="1"/>
        </w:numPr>
        <w:spacing w:before="40" w:after="40" w:line="320" w:lineRule="auto"/>
      </w:pPr>
      <w:r>
        <w:t>Headline net income ($98.1 million) benefits from the OBBBA retroactive R&amp;D deduction (negative federal current tax).</w:t>
      </w:r>
    </w:p>
    <w:p w14:paraId="2850F9D3" w14:textId="77777777" w:rsidR="00DA28C1" w:rsidRDefault="00000000">
      <w:pPr>
        <w:pStyle w:val="ListParagraph"/>
        <w:numPr>
          <w:ilvl w:val="0"/>
          <w:numId w:val="1"/>
        </w:numPr>
        <w:spacing w:before="40" w:after="40" w:line="320" w:lineRule="auto"/>
      </w:pPr>
      <w:r>
        <w:t>EPS benefits from buybacks that reduced weighted-average basic shares by 3.5%.</w:t>
      </w:r>
    </w:p>
    <w:p w14:paraId="458CC93A" w14:textId="77777777" w:rsidR="00DA28C1" w:rsidRDefault="00000000">
      <w:pPr>
        <w:pStyle w:val="ListParagraph"/>
        <w:numPr>
          <w:ilvl w:val="0"/>
          <w:numId w:val="1"/>
        </w:numPr>
        <w:spacing w:before="40" w:after="40" w:line="320" w:lineRule="auto"/>
      </w:pPr>
      <w:r>
        <w:t>BAQSIMI growth headlines substantially overstate net franchise economics once glucagon cannibalization is netted.</w:t>
      </w:r>
    </w:p>
    <w:p w14:paraId="45108B0A" w14:textId="77777777" w:rsidR="00DA28C1" w:rsidRDefault="00000000">
      <w:pPr>
        <w:spacing w:before="160" w:after="60"/>
      </w:pPr>
      <w:r>
        <w:rPr>
          <w:rFonts w:ascii="Arial" w:eastAsia="Arial" w:hAnsi="Arial" w:cs="Arial"/>
          <w:b/>
          <w:bCs/>
          <w:color w:val="8C1C1C"/>
          <w:sz w:val="20"/>
          <w:szCs w:val="20"/>
        </w:rPr>
        <w:t>What may be better than the headline</w:t>
      </w:r>
    </w:p>
    <w:p w14:paraId="26B2D7B9" w14:textId="77777777" w:rsidR="00DA28C1" w:rsidRDefault="00000000">
      <w:pPr>
        <w:pStyle w:val="ListParagraph"/>
        <w:numPr>
          <w:ilvl w:val="0"/>
          <w:numId w:val="1"/>
        </w:numPr>
        <w:spacing w:before="40" w:after="40" w:line="320" w:lineRule="auto"/>
      </w:pPr>
      <w:r>
        <w:t>The $23.1 million legal charge is non-recurring; 2026 G&amp;A should normalize by roughly $20 million if no similar verdicts land.</w:t>
      </w:r>
    </w:p>
    <w:p w14:paraId="360AACEC" w14:textId="77777777" w:rsidR="00DA28C1" w:rsidRDefault="00000000">
      <w:pPr>
        <w:pStyle w:val="ListParagraph"/>
        <w:numPr>
          <w:ilvl w:val="0"/>
          <w:numId w:val="1"/>
        </w:numPr>
        <w:spacing w:before="40" w:after="40" w:line="320" w:lineRule="auto"/>
      </w:pPr>
      <w:r>
        <w:t>Iron sucrose (August 2025), teriparatide (December 2025), and ipratropium HFA (February 2026, 180-day exclusivity) are all unwinding into 2026 revenue and have not yet materialized in the 2025 numbers.</w:t>
      </w:r>
    </w:p>
    <w:p w14:paraId="5298B5F8" w14:textId="77777777" w:rsidR="00DA28C1" w:rsidRDefault="00000000">
      <w:pPr>
        <w:spacing w:before="160" w:after="60"/>
      </w:pPr>
      <w:r>
        <w:rPr>
          <w:rFonts w:ascii="Arial" w:eastAsia="Arial" w:hAnsi="Arial" w:cs="Arial"/>
          <w:b/>
          <w:bCs/>
          <w:color w:val="8C1C1C"/>
          <w:sz w:val="20"/>
          <w:szCs w:val="20"/>
        </w:rPr>
        <w:t>What remains unclear</w:t>
      </w:r>
    </w:p>
    <w:p w14:paraId="4789DBF0" w14:textId="77777777" w:rsidR="00DA28C1" w:rsidRDefault="00000000">
      <w:pPr>
        <w:pStyle w:val="ListParagraph"/>
        <w:numPr>
          <w:ilvl w:val="0"/>
          <w:numId w:val="1"/>
        </w:numPr>
        <w:spacing w:before="40" w:after="40" w:line="320" w:lineRule="auto"/>
      </w:pPr>
      <w:r>
        <w:t>Whether BAQSIMI intangible assumptions hold if 2026 glucagon erosion accelerates.</w:t>
      </w:r>
    </w:p>
    <w:p w14:paraId="0EC74ECC" w14:textId="77777777" w:rsidR="00DA28C1" w:rsidRDefault="00000000">
      <w:pPr>
        <w:pStyle w:val="ListParagraph"/>
        <w:numPr>
          <w:ilvl w:val="0"/>
          <w:numId w:val="1"/>
        </w:numPr>
        <w:spacing w:before="40" w:after="40" w:line="320" w:lineRule="auto"/>
      </w:pPr>
      <w:r>
        <w:t xml:space="preserve">What arm's-length pricing framework governs the expanding </w:t>
      </w:r>
      <w:proofErr w:type="spellStart"/>
      <w:r>
        <w:t>Hanxin</w:t>
      </w:r>
      <w:proofErr w:type="spellEnd"/>
      <w:r>
        <w:t xml:space="preserve"> commercial footprint.</w:t>
      </w:r>
    </w:p>
    <w:p w14:paraId="0F269BF7" w14:textId="77777777" w:rsidR="00DA28C1" w:rsidRDefault="00000000">
      <w:pPr>
        <w:pStyle w:val="ListParagraph"/>
        <w:numPr>
          <w:ilvl w:val="0"/>
          <w:numId w:val="1"/>
        </w:numPr>
        <w:spacing w:before="40" w:after="40" w:line="320" w:lineRule="auto"/>
      </w:pPr>
      <w:r>
        <w:t>Whether the foreign valuation allowance is complete; France and China losses suggest the carried asset base may yet require additional write-downs.</w:t>
      </w:r>
    </w:p>
    <w:p w14:paraId="5739FA84" w14:textId="77777777" w:rsidR="00DA28C1" w:rsidRDefault="00000000">
      <w:pPr>
        <w:pStyle w:val="Heading1"/>
      </w:pPr>
      <w:r>
        <w:t>Reality snapshot</w:t>
      </w:r>
    </w:p>
    <w:p w14:paraId="664C8519" w14:textId="77777777" w:rsidR="00DA28C1" w:rsidRDefault="00000000">
      <w:pPr>
        <w:spacing w:before="160" w:after="60"/>
      </w:pPr>
      <w:r>
        <w:rPr>
          <w:rFonts w:ascii="Arial" w:eastAsia="Arial" w:hAnsi="Arial" w:cs="Arial"/>
          <w:b/>
          <w:bCs/>
          <w:color w:val="8C1C1C"/>
          <w:sz w:val="20"/>
          <w:szCs w:val="20"/>
        </w:rPr>
        <w:t>Cash-flow reality</w:t>
      </w:r>
    </w:p>
    <w:p w14:paraId="209B068C" w14:textId="77777777" w:rsidR="00DA28C1" w:rsidRDefault="00000000">
      <w:pPr>
        <w:spacing w:before="80" w:after="120" w:line="330" w:lineRule="auto"/>
      </w:pPr>
      <w:r>
        <w:t>2025 operating cash flow must bridge the 2028–2029 debt wall alongside ongoing buybacks, and the math does not work without a refinancing event in the next 24 months.</w:t>
      </w:r>
    </w:p>
    <w:p w14:paraId="7656E300" w14:textId="77777777" w:rsidR="00DA28C1" w:rsidRDefault="00000000">
      <w:pPr>
        <w:spacing w:before="160" w:after="60"/>
      </w:pPr>
      <w:r>
        <w:rPr>
          <w:rFonts w:ascii="Arial" w:eastAsia="Arial" w:hAnsi="Arial" w:cs="Arial"/>
          <w:b/>
          <w:bCs/>
          <w:color w:val="8C1C1C"/>
          <w:sz w:val="20"/>
          <w:szCs w:val="20"/>
        </w:rPr>
        <w:t>Balance-sheet reality</w:t>
      </w:r>
    </w:p>
    <w:p w14:paraId="7E4F7567" w14:textId="77777777" w:rsidR="00DA28C1" w:rsidRDefault="00000000">
      <w:pPr>
        <w:spacing w:before="80" w:after="120" w:line="330" w:lineRule="auto"/>
      </w:pPr>
      <w:r>
        <w:t xml:space="preserve">Reported total liabilities understate the forward capital-obligation intensity by close to $1.0 billion of contingent consideration across BAQSIMI, Anji, and </w:t>
      </w:r>
      <w:proofErr w:type="spellStart"/>
      <w:r>
        <w:t>Hanxin</w:t>
      </w:r>
      <w:proofErr w:type="spellEnd"/>
      <w:r>
        <w:t xml:space="preserve"> milestones that sit off balance sheet.</w:t>
      </w:r>
    </w:p>
    <w:p w14:paraId="4957DABE" w14:textId="77777777" w:rsidR="00DA28C1" w:rsidRDefault="00000000">
      <w:pPr>
        <w:spacing w:before="160" w:after="60"/>
      </w:pPr>
      <w:r>
        <w:rPr>
          <w:rFonts w:ascii="Arial" w:eastAsia="Arial" w:hAnsi="Arial" w:cs="Arial"/>
          <w:b/>
          <w:bCs/>
          <w:color w:val="8C1C1C"/>
          <w:sz w:val="20"/>
          <w:szCs w:val="20"/>
        </w:rPr>
        <w:t>Verify next</w:t>
      </w:r>
    </w:p>
    <w:p w14:paraId="4A6F7B45" w14:textId="77777777" w:rsidR="00DA28C1" w:rsidRDefault="00000000">
      <w:pPr>
        <w:spacing w:before="80" w:after="120" w:line="330" w:lineRule="auto"/>
      </w:pPr>
      <w:r>
        <w:t xml:space="preserve">The BAQSIMI intangible impairment review process and any disclosed or undisclosed </w:t>
      </w:r>
      <w:proofErr w:type="gramStart"/>
      <w:r>
        <w:t>sensitivity — this</w:t>
      </w:r>
      <w:proofErr w:type="gramEnd"/>
      <w:r>
        <w:t xml:space="preserve"> is the single line item most exposed to being re-rated in 2026.</w:t>
      </w:r>
    </w:p>
    <w:p w14:paraId="31D8F483" w14:textId="77777777" w:rsidR="00DA28C1" w:rsidRDefault="00000000">
      <w:pPr>
        <w:pStyle w:val="Heading1"/>
      </w:pPr>
      <w:r>
        <w:lastRenderedPageBreak/>
        <w:t>Follow-up questions</w:t>
      </w:r>
    </w:p>
    <w:p w14:paraId="6B291563" w14:textId="77777777" w:rsidR="00DA28C1" w:rsidRDefault="00000000">
      <w:pPr>
        <w:spacing w:before="40" w:after="40" w:line="320" w:lineRule="auto"/>
      </w:pPr>
      <w:r>
        <w:rPr>
          <w:rFonts w:ascii="Arial" w:eastAsia="Arial" w:hAnsi="Arial" w:cs="Arial"/>
          <w:b/>
          <w:bCs/>
          <w:color w:val="8C1C1C"/>
        </w:rPr>
        <w:t>1</w:t>
      </w:r>
      <w:proofErr w:type="gramStart"/>
      <w:r>
        <w:rPr>
          <w:rFonts w:ascii="Arial" w:eastAsia="Arial" w:hAnsi="Arial" w:cs="Arial"/>
          <w:b/>
          <w:bCs/>
          <w:color w:val="8C1C1C"/>
        </w:rPr>
        <w:t xml:space="preserve">.  </w:t>
      </w:r>
      <w:r>
        <w:t>What</w:t>
      </w:r>
      <w:proofErr w:type="gramEnd"/>
      <w:r>
        <w:t xml:space="preserve"> is the independent review mechanism that approves </w:t>
      </w:r>
      <w:proofErr w:type="spellStart"/>
      <w:r>
        <w:t>Hanxin</w:t>
      </w:r>
      <w:proofErr w:type="spellEnd"/>
      <w:r>
        <w:t>-affiliate transactions, and who sits on it?</w:t>
      </w:r>
    </w:p>
    <w:p w14:paraId="222661F7" w14:textId="77777777" w:rsidR="00DA28C1" w:rsidRDefault="00000000">
      <w:pPr>
        <w:spacing w:before="40" w:after="40" w:line="320" w:lineRule="auto"/>
      </w:pPr>
      <w:r>
        <w:rPr>
          <w:rFonts w:ascii="Arial" w:eastAsia="Arial" w:hAnsi="Arial" w:cs="Arial"/>
          <w:b/>
          <w:bCs/>
          <w:color w:val="8C1C1C"/>
        </w:rPr>
        <w:t>2</w:t>
      </w:r>
      <w:proofErr w:type="gramStart"/>
      <w:r>
        <w:rPr>
          <w:rFonts w:ascii="Arial" w:eastAsia="Arial" w:hAnsi="Arial" w:cs="Arial"/>
          <w:b/>
          <w:bCs/>
          <w:color w:val="8C1C1C"/>
        </w:rPr>
        <w:t xml:space="preserve">.  </w:t>
      </w:r>
      <w:r>
        <w:t>What</w:t>
      </w:r>
      <w:proofErr w:type="gramEnd"/>
      <w:r>
        <w:t xml:space="preserve"> are the specific BAQSIMI milestones remaining ($450M to Lilly) and the trigger thresholds?</w:t>
      </w:r>
    </w:p>
    <w:p w14:paraId="358902E5" w14:textId="77777777" w:rsidR="00DA28C1" w:rsidRDefault="00000000">
      <w:pPr>
        <w:spacing w:before="40" w:after="40" w:line="320" w:lineRule="auto"/>
      </w:pPr>
      <w:r>
        <w:rPr>
          <w:rFonts w:ascii="Arial" w:eastAsia="Arial" w:hAnsi="Arial" w:cs="Arial"/>
          <w:b/>
          <w:bCs/>
          <w:color w:val="8C1C1C"/>
        </w:rPr>
        <w:t>3</w:t>
      </w:r>
      <w:proofErr w:type="gramStart"/>
      <w:r>
        <w:rPr>
          <w:rFonts w:ascii="Arial" w:eastAsia="Arial" w:hAnsi="Arial" w:cs="Arial"/>
          <w:b/>
          <w:bCs/>
          <w:color w:val="8C1C1C"/>
        </w:rPr>
        <w:t xml:space="preserve">.  </w:t>
      </w:r>
      <w:r>
        <w:t>Has</w:t>
      </w:r>
      <w:proofErr w:type="gramEnd"/>
      <w:r>
        <w:t xml:space="preserve"> the BAQSIMI intangible impairment review been performed in Q1 2026, and at what discount rate?</w:t>
      </w:r>
    </w:p>
    <w:p w14:paraId="6440CD93" w14:textId="77777777" w:rsidR="00DA28C1" w:rsidRDefault="00000000">
      <w:pPr>
        <w:spacing w:before="40" w:after="40" w:line="320" w:lineRule="auto"/>
      </w:pPr>
      <w:r>
        <w:rPr>
          <w:rFonts w:ascii="Arial" w:eastAsia="Arial" w:hAnsi="Arial" w:cs="Arial"/>
          <w:b/>
          <w:bCs/>
          <w:color w:val="8C1C1C"/>
        </w:rPr>
        <w:t>4</w:t>
      </w:r>
      <w:proofErr w:type="gramStart"/>
      <w:r>
        <w:rPr>
          <w:rFonts w:ascii="Arial" w:eastAsia="Arial" w:hAnsi="Arial" w:cs="Arial"/>
          <w:b/>
          <w:bCs/>
          <w:color w:val="8C1C1C"/>
        </w:rPr>
        <w:t xml:space="preserve">.  </w:t>
      </w:r>
      <w:r>
        <w:t>What</w:t>
      </w:r>
      <w:proofErr w:type="gramEnd"/>
      <w:r>
        <w:t xml:space="preserve"> is the assumed terminal market share for BAQSIMI inside the 24-year </w:t>
      </w:r>
      <w:proofErr w:type="gramStart"/>
      <w:r>
        <w:t>useful-life</w:t>
      </w:r>
      <w:proofErr w:type="gramEnd"/>
      <w:r>
        <w:t xml:space="preserve"> model?</w:t>
      </w:r>
    </w:p>
    <w:p w14:paraId="251B7E0F" w14:textId="77777777" w:rsidR="00DA28C1" w:rsidRDefault="00000000">
      <w:pPr>
        <w:spacing w:before="40" w:after="40" w:line="320" w:lineRule="auto"/>
      </w:pPr>
      <w:r>
        <w:rPr>
          <w:rFonts w:ascii="Arial" w:eastAsia="Arial" w:hAnsi="Arial" w:cs="Arial"/>
          <w:b/>
          <w:bCs/>
          <w:color w:val="8C1C1C"/>
        </w:rPr>
        <w:t>5</w:t>
      </w:r>
      <w:proofErr w:type="gramStart"/>
      <w:r>
        <w:rPr>
          <w:rFonts w:ascii="Arial" w:eastAsia="Arial" w:hAnsi="Arial" w:cs="Arial"/>
          <w:b/>
          <w:bCs/>
          <w:color w:val="8C1C1C"/>
        </w:rPr>
        <w:t xml:space="preserve">.  </w:t>
      </w:r>
      <w:r>
        <w:t>What</w:t>
      </w:r>
      <w:proofErr w:type="gramEnd"/>
      <w:r>
        <w:t xml:space="preserve"> is the refinancing plan for the $255.7 million Wells Fargo Term Loan due June 2028?</w:t>
      </w:r>
    </w:p>
    <w:p w14:paraId="2ABFD061" w14:textId="77777777" w:rsidR="00DA28C1" w:rsidRDefault="00000000">
      <w:pPr>
        <w:spacing w:before="40" w:after="40" w:line="320" w:lineRule="auto"/>
      </w:pPr>
      <w:r>
        <w:rPr>
          <w:rFonts w:ascii="Arial" w:eastAsia="Arial" w:hAnsi="Arial" w:cs="Arial"/>
          <w:b/>
          <w:bCs/>
          <w:color w:val="8C1C1C"/>
        </w:rPr>
        <w:t>6</w:t>
      </w:r>
      <w:proofErr w:type="gramStart"/>
      <w:r>
        <w:rPr>
          <w:rFonts w:ascii="Arial" w:eastAsia="Arial" w:hAnsi="Arial" w:cs="Arial"/>
          <w:b/>
          <w:bCs/>
          <w:color w:val="8C1C1C"/>
        </w:rPr>
        <w:t xml:space="preserve">.  </w:t>
      </w:r>
      <w:r>
        <w:t>What</w:t>
      </w:r>
      <w:proofErr w:type="gramEnd"/>
      <w:r>
        <w:t xml:space="preserve"> is the Semaglutide program — finished product dose strengths, target market, regulatory pathway?</w:t>
      </w:r>
    </w:p>
    <w:p w14:paraId="1BA9E54B" w14:textId="77777777" w:rsidR="00DA28C1" w:rsidRDefault="00000000">
      <w:pPr>
        <w:spacing w:before="40" w:after="40" w:line="320" w:lineRule="auto"/>
      </w:pPr>
      <w:r>
        <w:rPr>
          <w:rFonts w:ascii="Arial" w:eastAsia="Arial" w:hAnsi="Arial" w:cs="Arial"/>
          <w:b/>
          <w:bCs/>
          <w:color w:val="8C1C1C"/>
        </w:rPr>
        <w:t xml:space="preserve">7.  </w:t>
      </w:r>
      <w:r>
        <w:t xml:space="preserve">How was </w:t>
      </w:r>
      <w:proofErr w:type="spellStart"/>
      <w:r>
        <w:t>Chengong</w:t>
      </w:r>
      <w:proofErr w:type="spellEnd"/>
      <w:r>
        <w:t xml:space="preserve"> selected as BAQSIMI exclusive distributor for Greater China, and what other parties were considered?</w:t>
      </w:r>
    </w:p>
    <w:p w14:paraId="5FCE2FBB" w14:textId="77777777" w:rsidR="00DA28C1" w:rsidRDefault="00000000">
      <w:pPr>
        <w:spacing w:before="40" w:after="40" w:line="320" w:lineRule="auto"/>
      </w:pPr>
      <w:r>
        <w:rPr>
          <w:rFonts w:ascii="Arial" w:eastAsia="Arial" w:hAnsi="Arial" w:cs="Arial"/>
          <w:b/>
          <w:bCs/>
          <w:color w:val="8C1C1C"/>
        </w:rPr>
        <w:t>8</w:t>
      </w:r>
      <w:proofErr w:type="gramStart"/>
      <w:r>
        <w:rPr>
          <w:rFonts w:ascii="Arial" w:eastAsia="Arial" w:hAnsi="Arial" w:cs="Arial"/>
          <w:b/>
          <w:bCs/>
          <w:color w:val="8C1C1C"/>
        </w:rPr>
        <w:t xml:space="preserve">.  </w:t>
      </w:r>
      <w:r>
        <w:t>What</w:t>
      </w:r>
      <w:proofErr w:type="gramEnd"/>
      <w:r>
        <w:t xml:space="preserve"> is the transfer-pricing benchmark for </w:t>
      </w:r>
      <w:proofErr w:type="spellStart"/>
      <w:r>
        <w:t>Hanxin</w:t>
      </w:r>
      <w:proofErr w:type="spellEnd"/>
      <w:r>
        <w:t xml:space="preserve"> contract manufacturing on a cost-plus </w:t>
      </w:r>
      <w:proofErr w:type="gramStart"/>
      <w:r>
        <w:t>basis — what is the plus</w:t>
      </w:r>
      <w:proofErr w:type="gramEnd"/>
      <w:r>
        <w:t>?</w:t>
      </w:r>
    </w:p>
    <w:p w14:paraId="040A0FB3" w14:textId="77777777" w:rsidR="00DA28C1" w:rsidRDefault="00000000">
      <w:pPr>
        <w:spacing w:before="40" w:after="40" w:line="320" w:lineRule="auto"/>
      </w:pPr>
      <w:r>
        <w:rPr>
          <w:rFonts w:ascii="Arial" w:eastAsia="Arial" w:hAnsi="Arial" w:cs="Arial"/>
          <w:b/>
          <w:bCs/>
          <w:color w:val="8C1C1C"/>
        </w:rPr>
        <w:t xml:space="preserve">9.  </w:t>
      </w:r>
      <w:r>
        <w:t>Will the 2026 buyback pace continue given the 2028–2029 maturity wall, and at what stock price does it pause?</w:t>
      </w:r>
    </w:p>
    <w:p w14:paraId="1108F5AF" w14:textId="77777777" w:rsidR="00DA28C1" w:rsidRDefault="00000000">
      <w:pPr>
        <w:spacing w:before="40" w:after="40" w:line="320" w:lineRule="auto"/>
      </w:pPr>
      <w:r>
        <w:rPr>
          <w:rFonts w:ascii="Arial" w:eastAsia="Arial" w:hAnsi="Arial" w:cs="Arial"/>
          <w:b/>
          <w:bCs/>
          <w:color w:val="8C1C1C"/>
        </w:rPr>
        <w:t>10</w:t>
      </w:r>
      <w:proofErr w:type="gramStart"/>
      <w:r>
        <w:rPr>
          <w:rFonts w:ascii="Arial" w:eastAsia="Arial" w:hAnsi="Arial" w:cs="Arial"/>
          <w:b/>
          <w:bCs/>
          <w:color w:val="8C1C1C"/>
        </w:rPr>
        <w:t xml:space="preserve">.  </w:t>
      </w:r>
      <w:r>
        <w:t>What</w:t>
      </w:r>
      <w:proofErr w:type="gramEnd"/>
      <w:r>
        <w:t xml:space="preserve"> is the normalized G&amp;A run-rate ex-legal, and what is the projected 2026 tax rate absent OBBBA timing benefit?</w:t>
      </w:r>
    </w:p>
    <w:p w14:paraId="1FC60222" w14:textId="77777777" w:rsidR="00DA28C1" w:rsidRDefault="00000000">
      <w:pPr>
        <w:spacing w:before="40" w:after="40" w:line="320" w:lineRule="auto"/>
      </w:pPr>
      <w:r>
        <w:rPr>
          <w:rFonts w:ascii="Arial" w:eastAsia="Arial" w:hAnsi="Arial" w:cs="Arial"/>
          <w:b/>
          <w:bCs/>
          <w:color w:val="8C1C1C"/>
        </w:rPr>
        <w:t xml:space="preserve">11.  </w:t>
      </w:r>
      <w:r>
        <w:t>What does the France and China foreign-asset base generate in 2026, and is additional valuation-allowance or impairment testing required?</w:t>
      </w:r>
    </w:p>
    <w:p w14:paraId="0A4C97BD" w14:textId="77777777" w:rsidR="00DA28C1" w:rsidRDefault="00000000">
      <w:pPr>
        <w:spacing w:before="40" w:after="40" w:line="320" w:lineRule="auto"/>
      </w:pPr>
      <w:r>
        <w:rPr>
          <w:rFonts w:ascii="Arial" w:eastAsia="Arial" w:hAnsi="Arial" w:cs="Arial"/>
          <w:b/>
          <w:bCs/>
          <w:color w:val="8C1C1C"/>
        </w:rPr>
        <w:t>12</w:t>
      </w:r>
      <w:proofErr w:type="gramStart"/>
      <w:r>
        <w:rPr>
          <w:rFonts w:ascii="Arial" w:eastAsia="Arial" w:hAnsi="Arial" w:cs="Arial"/>
          <w:b/>
          <w:bCs/>
          <w:color w:val="8C1C1C"/>
        </w:rPr>
        <w:t xml:space="preserve">.  </w:t>
      </w:r>
      <w:r>
        <w:t>What</w:t>
      </w:r>
      <w:proofErr w:type="gramEnd"/>
      <w:r>
        <w:t xml:space="preserve"> percentage of the $79.2 million chargebacks/rebates reserve turns over within 90 days, and what is the historical settlement vs. estimate variance?</w:t>
      </w:r>
    </w:p>
    <w:p w14:paraId="3765E8C8" w14:textId="77777777" w:rsidR="00DA28C1" w:rsidRDefault="00000000">
      <w:pPr>
        <w:pStyle w:val="Heading1"/>
      </w:pPr>
      <w:r>
        <w:t>Close</w:t>
      </w:r>
    </w:p>
    <w:p w14:paraId="5BA00032" w14:textId="77777777" w:rsidR="00DA28C1" w:rsidRDefault="00000000">
      <w:pPr>
        <w:spacing w:before="80" w:after="120" w:line="330" w:lineRule="auto"/>
      </w:pPr>
      <w:r>
        <w:t>Stripped of mix narrative and non-recurring tax lift, the 2025 filing describes a company whose core US franchise is eroding, whose acquired growth engine is cannibalizing that franchise, whose capital structure must be refinanced inside 36 months, and whose expanding commercial geography is being routed through the CEO's family. The thesis question is not whether any one of these is individually fatal. It is whether the stock's April 2026 price already incorporates all four at once.</w:t>
      </w:r>
    </w:p>
    <w:p w14:paraId="24345934" w14:textId="77777777" w:rsidR="00DA28C1" w:rsidRDefault="00000000">
      <w:pPr>
        <w:spacing w:before="320" w:after="80"/>
      </w:pPr>
      <w:r>
        <w:rPr>
          <w:i/>
          <w:iCs/>
          <w:color w:val="6A6A6A"/>
          <w:sz w:val="18"/>
          <w:szCs w:val="18"/>
        </w:rPr>
        <w:t xml:space="preserve">Analytical framework, not investment advice. Source-locked to </w:t>
      </w:r>
      <w:proofErr w:type="spellStart"/>
      <w:r>
        <w:rPr>
          <w:i/>
          <w:iCs/>
          <w:color w:val="6A6A6A"/>
          <w:sz w:val="18"/>
          <w:szCs w:val="18"/>
        </w:rPr>
        <w:t>Amphastar</w:t>
      </w:r>
      <w:proofErr w:type="spellEnd"/>
      <w:r>
        <w:rPr>
          <w:i/>
          <w:iCs/>
          <w:color w:val="6A6A6A"/>
          <w:sz w:val="18"/>
          <w:szCs w:val="18"/>
        </w:rPr>
        <w:t xml:space="preserve"> Pharmaceuticals 10-K for fiscal year ended December 31, 2025, as provided. Prepared April 21, 2026.</w:t>
      </w:r>
    </w:p>
    <w:p w14:paraId="074EEDF8" w14:textId="77777777" w:rsidR="00DA28C1" w:rsidRDefault="00000000">
      <w:pPr>
        <w:pStyle w:val="Heading1"/>
      </w:pPr>
      <w:r>
        <w:lastRenderedPageBreak/>
        <w:t>Verification protocol addendum</w:t>
      </w:r>
    </w:p>
    <w:p w14:paraId="7A0C00E8" w14:textId="77777777" w:rsidR="00DA28C1" w:rsidRDefault="00000000">
      <w:pPr>
        <w:spacing w:before="80" w:after="160"/>
      </w:pPr>
      <w:r>
        <w:rPr>
          <w:i/>
          <w:iCs/>
          <w:color w:val="6A6A6A"/>
        </w:rPr>
        <w:t>Per user standing instruction: independent fact-check on time-sensitive claims using web search beyond the filing itself.</w:t>
      </w:r>
    </w:p>
    <w:p w14:paraId="398BBEDD" w14:textId="77777777" w:rsidR="00DA28C1" w:rsidRDefault="00000000">
      <w:pPr>
        <w:pStyle w:val="Heading2"/>
      </w:pPr>
      <w:r>
        <w:t>Section 1 — Critical issues (verified)</w:t>
      </w:r>
    </w:p>
    <w:p w14:paraId="4126046B" w14:textId="77777777" w:rsidR="00DA28C1" w:rsidRDefault="00000000">
      <w:pPr>
        <w:spacing w:before="160" w:after="60"/>
      </w:pPr>
      <w:r>
        <w:rPr>
          <w:rFonts w:ascii="Arial" w:eastAsia="Arial" w:hAnsi="Arial" w:cs="Arial"/>
          <w:b/>
          <w:bCs/>
          <w:color w:val="8C1C1C"/>
          <w:sz w:val="20"/>
          <w:szCs w:val="20"/>
        </w:rPr>
        <w:t>No material inaccuracies identified in the filing's verifiable time-sensitive claims.</w:t>
      </w:r>
    </w:p>
    <w:p w14:paraId="6A84586E" w14:textId="77777777" w:rsidR="00DA28C1" w:rsidRDefault="00000000">
      <w:pPr>
        <w:spacing w:before="80" w:after="120" w:line="330" w:lineRule="auto"/>
      </w:pPr>
      <w:r>
        <w:t xml:space="preserve">The filing's FDA approval dates (iron sucrose August 11, 2025; teriparatide December 15, 2025; ipratropium HFA February 24, 2026) reconcile to the independent press releases. The OBBBA enactment date (July 4, 2025) and Section 174A retroactive domestic R&amp;D </w:t>
      </w:r>
      <w:proofErr w:type="gramStart"/>
      <w:r>
        <w:t>expensing</w:t>
      </w:r>
      <w:proofErr w:type="gramEnd"/>
      <w:r>
        <w:t xml:space="preserve"> reinstatement are correctly characterized. The BAQSIMI acquisition structure ($500M closing + $125M one-year + up to $450M contingent) matches the 2023 Lilly/</w:t>
      </w:r>
      <w:proofErr w:type="spellStart"/>
      <w:r>
        <w:t>Amphastar</w:t>
      </w:r>
      <w:proofErr w:type="spellEnd"/>
      <w:r>
        <w:t xml:space="preserve"> deal announcements. The memo's own claims above are source-locked to the 10-K.</w:t>
      </w:r>
    </w:p>
    <w:p w14:paraId="724172D0" w14:textId="77777777" w:rsidR="00DA28C1" w:rsidRDefault="00000000">
      <w:pPr>
        <w:pStyle w:val="Heading2"/>
      </w:pPr>
      <w:r>
        <w:t>Section 2 — Unverifiable from external sources (medium risk)</w:t>
      </w:r>
    </w:p>
    <w:p w14:paraId="53DE8342" w14:textId="77777777" w:rsidR="00DA28C1" w:rsidRDefault="00000000">
      <w:pPr>
        <w:pStyle w:val="ListParagraph"/>
        <w:numPr>
          <w:ilvl w:val="0"/>
          <w:numId w:val="1"/>
        </w:numPr>
        <w:spacing w:before="40" w:after="40" w:line="320" w:lineRule="auto"/>
      </w:pPr>
      <w:r>
        <w:t>Precise BAQSIMI milestone trigger thresholds — only the aggregate $450M cap is disclosed; individual triggers require a direct investor-relations inquiry.</w:t>
      </w:r>
    </w:p>
    <w:p w14:paraId="1A5E51D2" w14:textId="77777777" w:rsidR="00DA28C1" w:rsidRDefault="00000000">
      <w:pPr>
        <w:pStyle w:val="ListParagraph"/>
        <w:numPr>
          <w:ilvl w:val="0"/>
          <w:numId w:val="1"/>
        </w:numPr>
        <w:spacing w:before="40" w:after="40" w:line="320" w:lineRule="auto"/>
      </w:pPr>
      <w:proofErr w:type="spellStart"/>
      <w:r>
        <w:t>Hanxin</w:t>
      </w:r>
      <w:proofErr w:type="spellEnd"/>
      <w:r>
        <w:t>-affiliate arm's-length pricing mechanism — disclosed only as "cost-plus," with no plus-margin disclosed.</w:t>
      </w:r>
    </w:p>
    <w:p w14:paraId="2F75ACC6" w14:textId="77777777" w:rsidR="00DA28C1" w:rsidRDefault="00000000">
      <w:pPr>
        <w:pStyle w:val="ListParagraph"/>
        <w:numPr>
          <w:ilvl w:val="0"/>
          <w:numId w:val="1"/>
        </w:numPr>
        <w:spacing w:before="40" w:after="40" w:line="320" w:lineRule="auto"/>
      </w:pPr>
      <w:r>
        <w:t>BAQSIMI intangible impairment testing discount rate and sensitivity — standard GAAP disclosure is silent on these specifics; impairment review timing within 2026 is not externally verifiable.</w:t>
      </w:r>
    </w:p>
    <w:p w14:paraId="5071E658" w14:textId="77777777" w:rsidR="00DA28C1" w:rsidRDefault="00000000">
      <w:pPr>
        <w:pStyle w:val="ListParagraph"/>
        <w:numPr>
          <w:ilvl w:val="0"/>
          <w:numId w:val="1"/>
        </w:numPr>
        <w:spacing w:before="40" w:after="40" w:line="320" w:lineRule="auto"/>
      </w:pPr>
      <w:r>
        <w:t>Ongoing Q1/Q2 2026 trading status of customer-concentration reserve assumptions — not disclosed in any public document as of this writing.</w:t>
      </w:r>
    </w:p>
    <w:p w14:paraId="3C9EA392" w14:textId="77777777" w:rsidR="00DA28C1" w:rsidRDefault="00000000">
      <w:pPr>
        <w:pStyle w:val="Heading2"/>
      </w:pPr>
      <w:r>
        <w:t>Section 3 — Verified accurate (spot-check)</w:t>
      </w:r>
    </w:p>
    <w:p w14:paraId="2CF5FD92" w14:textId="77777777" w:rsidR="00DA28C1" w:rsidRDefault="00000000">
      <w:pPr>
        <w:pStyle w:val="ListParagraph"/>
        <w:numPr>
          <w:ilvl w:val="0"/>
          <w:numId w:val="1"/>
        </w:numPr>
        <w:spacing w:before="40" w:after="40" w:line="320" w:lineRule="auto"/>
      </w:pPr>
      <w:r>
        <w:t xml:space="preserve">FDA approval of </w:t>
      </w:r>
      <w:proofErr w:type="spellStart"/>
      <w:r>
        <w:t>Amphastar</w:t>
      </w:r>
      <w:proofErr w:type="spellEnd"/>
      <w:r>
        <w:t xml:space="preserve"> iron sucrose ANDA on August 11, 2025, bioequivalent to </w:t>
      </w:r>
      <w:proofErr w:type="spellStart"/>
      <w:r>
        <w:t>Venofer</w:t>
      </w:r>
      <w:proofErr w:type="spellEnd"/>
      <w:r>
        <w:t xml:space="preserve"> — confirmed via </w:t>
      </w:r>
      <w:proofErr w:type="spellStart"/>
      <w:r>
        <w:t>Amphastar</w:t>
      </w:r>
      <w:proofErr w:type="spellEnd"/>
      <w:r>
        <w:t>/</w:t>
      </w:r>
      <w:proofErr w:type="spellStart"/>
      <w:r>
        <w:t>BioSpace</w:t>
      </w:r>
      <w:proofErr w:type="spellEnd"/>
      <w:r>
        <w:t xml:space="preserve"> press release (August 11, 2025).</w:t>
      </w:r>
    </w:p>
    <w:p w14:paraId="740D823C" w14:textId="77777777" w:rsidR="00DA28C1" w:rsidRDefault="00000000">
      <w:pPr>
        <w:pStyle w:val="ListParagraph"/>
        <w:numPr>
          <w:ilvl w:val="0"/>
          <w:numId w:val="1"/>
        </w:numPr>
        <w:spacing w:before="40" w:after="40" w:line="320" w:lineRule="auto"/>
      </w:pPr>
      <w:r>
        <w:t xml:space="preserve">FDA approval of </w:t>
      </w:r>
      <w:proofErr w:type="spellStart"/>
      <w:r>
        <w:t>Amphastar</w:t>
      </w:r>
      <w:proofErr w:type="spellEnd"/>
      <w:r>
        <w:t xml:space="preserve"> teriparatide ANDA on December 15, 2025, therapeutically equivalent to Lilly FORTEO — confirmed via </w:t>
      </w:r>
      <w:proofErr w:type="spellStart"/>
      <w:r>
        <w:t>Amphastar</w:t>
      </w:r>
      <w:proofErr w:type="spellEnd"/>
      <w:r>
        <w:t>/</w:t>
      </w:r>
      <w:proofErr w:type="spellStart"/>
      <w:r>
        <w:t>BioSpace</w:t>
      </w:r>
      <w:proofErr w:type="spellEnd"/>
      <w:r>
        <w:t xml:space="preserve"> press release (December 15, 2025).</w:t>
      </w:r>
    </w:p>
    <w:p w14:paraId="454A1A7A" w14:textId="77777777" w:rsidR="00DA28C1" w:rsidRDefault="00000000">
      <w:pPr>
        <w:pStyle w:val="ListParagraph"/>
        <w:numPr>
          <w:ilvl w:val="0"/>
          <w:numId w:val="1"/>
        </w:numPr>
        <w:spacing w:before="40" w:after="40" w:line="320" w:lineRule="auto"/>
      </w:pPr>
      <w:r>
        <w:t xml:space="preserve">FDA approval of </w:t>
      </w:r>
      <w:proofErr w:type="spellStart"/>
      <w:r>
        <w:t>Amphastar</w:t>
      </w:r>
      <w:proofErr w:type="spellEnd"/>
      <w:r>
        <w:t xml:space="preserve"> ipratropium bromide HFA on February 24, </w:t>
      </w:r>
      <w:proofErr w:type="gramStart"/>
      <w:r>
        <w:t>2026</w:t>
      </w:r>
      <w:proofErr w:type="gramEnd"/>
      <w:r>
        <w:t xml:space="preserve"> with 180-day first-to-file exclusivity — confirmed via </w:t>
      </w:r>
      <w:proofErr w:type="spellStart"/>
      <w:r>
        <w:t>Amphastar</w:t>
      </w:r>
      <w:proofErr w:type="spellEnd"/>
      <w:r>
        <w:t>/</w:t>
      </w:r>
      <w:proofErr w:type="spellStart"/>
      <w:r>
        <w:t>BioSpace</w:t>
      </w:r>
      <w:proofErr w:type="spellEnd"/>
      <w:r>
        <w:t xml:space="preserve"> press release (February 24, 2026).</w:t>
      </w:r>
    </w:p>
    <w:p w14:paraId="46E69CB3" w14:textId="77777777" w:rsidR="00DA28C1" w:rsidRDefault="00000000">
      <w:pPr>
        <w:pStyle w:val="ListParagraph"/>
        <w:numPr>
          <w:ilvl w:val="0"/>
          <w:numId w:val="1"/>
        </w:numPr>
        <w:spacing w:before="40" w:after="40" w:line="320" w:lineRule="auto"/>
      </w:pPr>
      <w:r>
        <w:t xml:space="preserve">One Big Beautiful Bill Act enactment date (July 4, 2025) and Section 174A retroactive domestic R&amp;D </w:t>
      </w:r>
      <w:proofErr w:type="gramStart"/>
      <w:r>
        <w:t>expensing —</w:t>
      </w:r>
      <w:proofErr w:type="gramEnd"/>
      <w:r>
        <w:t xml:space="preserve"> confirmed via multiple independent accounting-firm publications (RSM, Grant Thornton, Plante Moran).</w:t>
      </w:r>
    </w:p>
    <w:p w14:paraId="18166BD3" w14:textId="77777777" w:rsidR="00DA28C1" w:rsidRDefault="00000000">
      <w:pPr>
        <w:pStyle w:val="ListParagraph"/>
        <w:numPr>
          <w:ilvl w:val="0"/>
          <w:numId w:val="1"/>
        </w:numPr>
        <w:spacing w:before="40" w:after="40" w:line="320" w:lineRule="auto"/>
      </w:pPr>
      <w:r>
        <w:lastRenderedPageBreak/>
        <w:t>BAQSIMI acquisition structure: $500M closing + $125M at 1-year anniversary + up to $450M contingent — confirmed via Eli Lilly press release of April 2023 and closing announcement of June 30, 2023.</w:t>
      </w:r>
    </w:p>
    <w:p w14:paraId="2F334D9A" w14:textId="77777777" w:rsidR="00DA28C1" w:rsidRDefault="00000000">
      <w:pPr>
        <w:pStyle w:val="ListParagraph"/>
        <w:numPr>
          <w:ilvl w:val="0"/>
          <w:numId w:val="1"/>
        </w:numPr>
        <w:spacing w:before="40" w:after="40" w:line="320" w:lineRule="auto"/>
      </w:pPr>
      <w:r>
        <w:t xml:space="preserve">CEO Jack Zhang and COO/Chairwoman Mary Luo remain in their positions through early 2026 — confirmed via </w:t>
      </w:r>
      <w:proofErr w:type="spellStart"/>
      <w:r>
        <w:t>Amphastar</w:t>
      </w:r>
      <w:proofErr w:type="spellEnd"/>
      <w:r>
        <w:t xml:space="preserve"> corporate website and March 2026 Stony Brook gift press release referencing their current titles.</w:t>
      </w:r>
    </w:p>
    <w:p w14:paraId="5E34DF84" w14:textId="77777777" w:rsidR="00DA28C1" w:rsidRDefault="00000000">
      <w:pPr>
        <w:pStyle w:val="ListParagraph"/>
        <w:numPr>
          <w:ilvl w:val="0"/>
          <w:numId w:val="1"/>
        </w:numPr>
        <w:spacing w:before="40" w:after="40" w:line="320" w:lineRule="auto"/>
      </w:pPr>
      <w:r>
        <w:t>AMPH trading at $21.65 on April 21, 2026, ~65% below $62.96 convertible strike and ~30% below $30.81 52-week high — confirmed via current market data; Jefferies same-day downgrade to Hold with $22 price target.</w:t>
      </w:r>
    </w:p>
    <w:p w14:paraId="2D6FAB3D" w14:textId="77777777" w:rsidR="00DA28C1" w:rsidRDefault="00000000">
      <w:pPr>
        <w:pStyle w:val="ListParagraph"/>
        <w:numPr>
          <w:ilvl w:val="0"/>
          <w:numId w:val="1"/>
        </w:numPr>
        <w:spacing w:before="40" w:after="40" w:line="320" w:lineRule="auto"/>
      </w:pPr>
      <w:proofErr w:type="gramStart"/>
      <w:r>
        <w:t>Glucagon</w:t>
      </w:r>
      <w:proofErr w:type="gramEnd"/>
      <w:r>
        <w:t xml:space="preserve"> competitive landscape includes Xeris </w:t>
      </w:r>
      <w:proofErr w:type="spellStart"/>
      <w:r>
        <w:t>Gvoke</w:t>
      </w:r>
      <w:proofErr w:type="spellEnd"/>
      <w:r>
        <w:t xml:space="preserve"> </w:t>
      </w:r>
      <w:proofErr w:type="spellStart"/>
      <w:r>
        <w:t>HypoPen</w:t>
      </w:r>
      <w:proofErr w:type="spellEnd"/>
      <w:r>
        <w:t xml:space="preserve"> as direct injectable competitor to BAQSIMI nasal — confirmed via multiple industry sources.</w:t>
      </w:r>
    </w:p>
    <w:p w14:paraId="3009064C" w14:textId="77777777" w:rsidR="00DA28C1" w:rsidRDefault="00000000">
      <w:pPr>
        <w:pStyle w:val="Heading2"/>
      </w:pPr>
      <w:r>
        <w:t>Section 4 — Overall assessment</w:t>
      </w:r>
    </w:p>
    <w:p w14:paraId="654361DB" w14:textId="77777777" w:rsidR="00DA28C1" w:rsidRDefault="00000000">
      <w:pPr>
        <w:spacing w:before="80" w:after="120" w:line="330" w:lineRule="auto"/>
      </w:pPr>
      <w:r>
        <w:t>Critical errors found in the 10-K's time-sensitive disclosures: 0.</w:t>
      </w:r>
    </w:p>
    <w:p w14:paraId="650DFD00" w14:textId="77777777" w:rsidR="00DA28C1" w:rsidRDefault="00000000">
      <w:pPr>
        <w:spacing w:before="80" w:after="120" w:line="330" w:lineRule="auto"/>
      </w:pPr>
      <w:r>
        <w:t>Most material gap: the filing does not disclose a sensitivity analysis on BAQSIMI intangible useful-life assumptions, and this is the single largest carrying-value item exposed to the very product-mix dynamic the memo identifies.</w:t>
      </w:r>
    </w:p>
    <w:p w14:paraId="64AFDF29" w14:textId="77777777" w:rsidR="00DA28C1" w:rsidRDefault="00000000">
      <w:pPr>
        <w:spacing w:before="80" w:after="120" w:line="330" w:lineRule="auto"/>
      </w:pPr>
      <w:r>
        <w:t>Confidence in original analysis: High. The investment-decision risk in this name is not about whether the 10-K's stated facts are accurate — they appear to be — but about the forward implications of buried dynamics (cannibalization, related-party escalation, refinancing wall) that the filing discloses accurately but does not foreground.</w:t>
      </w:r>
    </w:p>
    <w:sectPr w:rsidR="00DA28C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316BF"/>
    <w:multiLevelType w:val="hybridMultilevel"/>
    <w:tmpl w:val="A16E79CE"/>
    <w:lvl w:ilvl="0" w:tplc="4322DD60">
      <w:start w:val="1"/>
      <w:numFmt w:val="bullet"/>
      <w:lvlText w:val="●"/>
      <w:lvlJc w:val="left"/>
      <w:pPr>
        <w:ind w:left="720" w:hanging="360"/>
      </w:pPr>
    </w:lvl>
    <w:lvl w:ilvl="1" w:tplc="2C3ECAB2">
      <w:start w:val="1"/>
      <w:numFmt w:val="bullet"/>
      <w:lvlText w:val="○"/>
      <w:lvlJc w:val="left"/>
      <w:pPr>
        <w:ind w:left="1440" w:hanging="360"/>
      </w:pPr>
    </w:lvl>
    <w:lvl w:ilvl="2" w:tplc="8B5A63F2">
      <w:start w:val="1"/>
      <w:numFmt w:val="bullet"/>
      <w:lvlText w:val="■"/>
      <w:lvlJc w:val="left"/>
      <w:pPr>
        <w:ind w:left="2160" w:hanging="360"/>
      </w:pPr>
    </w:lvl>
    <w:lvl w:ilvl="3" w:tplc="D04A5452">
      <w:start w:val="1"/>
      <w:numFmt w:val="bullet"/>
      <w:lvlText w:val="●"/>
      <w:lvlJc w:val="left"/>
      <w:pPr>
        <w:ind w:left="2880" w:hanging="360"/>
      </w:pPr>
    </w:lvl>
    <w:lvl w:ilvl="4" w:tplc="66E26026">
      <w:start w:val="1"/>
      <w:numFmt w:val="bullet"/>
      <w:lvlText w:val="○"/>
      <w:lvlJc w:val="left"/>
      <w:pPr>
        <w:ind w:left="3600" w:hanging="360"/>
      </w:pPr>
    </w:lvl>
    <w:lvl w:ilvl="5" w:tplc="020853FC">
      <w:start w:val="1"/>
      <w:numFmt w:val="bullet"/>
      <w:lvlText w:val="■"/>
      <w:lvlJc w:val="left"/>
      <w:pPr>
        <w:ind w:left="4320" w:hanging="360"/>
      </w:pPr>
    </w:lvl>
    <w:lvl w:ilvl="6" w:tplc="458A435A">
      <w:start w:val="1"/>
      <w:numFmt w:val="bullet"/>
      <w:lvlText w:val="●"/>
      <w:lvlJc w:val="left"/>
      <w:pPr>
        <w:ind w:left="5040" w:hanging="360"/>
      </w:pPr>
    </w:lvl>
    <w:lvl w:ilvl="7" w:tplc="4CF81DBA">
      <w:start w:val="1"/>
      <w:numFmt w:val="bullet"/>
      <w:lvlText w:val="●"/>
      <w:lvlJc w:val="left"/>
      <w:pPr>
        <w:ind w:left="5760" w:hanging="360"/>
      </w:pPr>
    </w:lvl>
    <w:lvl w:ilvl="8" w:tplc="D37839CC">
      <w:start w:val="1"/>
      <w:numFmt w:val="bullet"/>
      <w:lvlText w:val="●"/>
      <w:lvlJc w:val="left"/>
      <w:pPr>
        <w:ind w:left="6480" w:hanging="360"/>
      </w:pPr>
    </w:lvl>
  </w:abstractNum>
  <w:num w:numId="1" w16cid:durableId="150606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8C1"/>
    <w:rsid w:val="000F2629"/>
    <w:rsid w:val="00B854A5"/>
    <w:rsid w:val="00CA1698"/>
    <w:rsid w:val="00DA2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4E2B5"/>
  <w15:docId w15:val="{19EF0595-5AB6-4A97-9B9E-F7FC12919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11111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Arial" w:eastAsia="Arial" w:hAnsi="Arial" w:cs="Arial"/>
      <w:b/>
      <w:bCs/>
      <w:sz w:val="36"/>
      <w:szCs w:val="36"/>
    </w:rPr>
  </w:style>
  <w:style w:type="paragraph" w:styleId="Heading2">
    <w:name w:val="heading 2"/>
    <w:uiPriority w:val="9"/>
    <w:unhideWhenUsed/>
    <w:qFormat/>
    <w:pPr>
      <w:spacing w:before="300" w:after="160"/>
      <w:outlineLvl w:val="1"/>
    </w:pPr>
    <w:rPr>
      <w:rFonts w:ascii="Arial" w:eastAsia="Arial" w:hAnsi="Arial" w:cs="Arial"/>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3945</Words>
  <Characters>22342</Characters>
  <Application>Microsoft Office Word</Application>
  <DocSecurity>0</DocSecurity>
  <Lines>345</Lines>
  <Paragraphs>160</Paragraphs>
  <ScaleCrop>false</ScaleCrop>
  <HeadingPairs>
    <vt:vector size="2" baseType="variant">
      <vt:variant>
        <vt:lpstr>Title</vt:lpstr>
      </vt:variant>
      <vt:variant>
        <vt:i4>1</vt:i4>
      </vt:variant>
    </vt:vector>
  </HeadingPairs>
  <TitlesOfParts>
    <vt:vector size="1" baseType="lpstr">
      <vt:lpstr>Amphastar 10-K Reality Check</vt:lpstr>
    </vt:vector>
  </TitlesOfParts>
  <Company/>
  <LinksUpToDate>false</LinksUpToDate>
  <CharactersWithSpaces>26224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Amphastar 10-K Reality Check</dc:title>
  <dc:creator>Filing Reality Check</dc:creator>
  <cp:lastModifiedBy>ampsson ampsson</cp:lastModifiedBy>
  <cp:revision>2</cp:revision>
  <dcterms:created xsi:type="dcterms:W3CDTF">2026-04-21T21:21:00Z</dcterms:created>
  <dcterms:modified xsi:type="dcterms:W3CDTF">2026-04-21T22:01:00Z</dcterms:modified>
</cp:coreProperties>
</file>