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0"/>
        <w:jc w:val="center"/>
      </w:pPr>
      <w:r>
        <w:rPr>
          <w:rFonts w:ascii="Arial" w:cs="Arial" w:eastAsia="Arial" w:hAnsi="Arial"/>
          <w:b/>
          <w:bCs/>
          <w:i w:val="false"/>
          <w:iCs w:val="false"/>
          <w:color w:val="1B3A5C"/>
          <w:sz w:val="52"/>
          <w:szCs w:val="52"/>
        </w:rPr>
        <w:t xml:space="preserve">DEFENSE TECHNOLOGY</w:t>
      </w:r>
    </w:p>
    <w:p>
      <w:pPr>
        <w:spacing w:after="0"/>
        <w:jc w:val="center"/>
      </w:pPr>
      <w:r>
        <w:rPr>
          <w:rFonts w:ascii="Arial" w:cs="Arial" w:eastAsia="Arial" w:hAnsi="Arial"/>
          <w:b/>
          <w:bCs/>
          <w:i w:val="false"/>
          <w:iCs w:val="false"/>
          <w:color w:val="1B3A5C"/>
          <w:sz w:val="52"/>
          <w:szCs w:val="52"/>
        </w:rPr>
        <w:t xml:space="preserve">PRE-REVENUE COMPOUNDER</w:t>
      </w:r>
    </w:p>
    <w:p>
      <w:pPr>
        <w:spacing w:after="80"/>
        <w:jc w:val="center"/>
      </w:pPr>
      <w:r>
        <w:rPr>
          <w:rFonts w:ascii="Arial" w:cs="Arial" w:eastAsia="Arial" w:hAnsi="Arial"/>
          <w:b/>
          <w:bCs/>
          <w:i w:val="false"/>
          <w:iCs w:val="false"/>
          <w:color w:val="1B3A5C"/>
          <w:sz w:val="52"/>
          <w:szCs w:val="52"/>
        </w:rPr>
        <w:t xml:space="preserve">FRAMEWORK</w:t>
      </w:r>
    </w:p>
    <w:p>
      <w:pPr>
        <w:spacing w:after="400"/>
        <w:jc w:val="center"/>
      </w:pPr>
      <w:r>
        <w:rPr>
          <w:rFonts w:ascii="Arial" w:cs="Arial" w:eastAsia="Arial" w:hAnsi="Arial"/>
          <w:b w:val="false"/>
          <w:bCs w:val="false"/>
          <w:i w:val="false"/>
          <w:iCs w:val="false"/>
          <w:color w:val="2E75B6"/>
          <w:sz w:val="32"/>
          <w:szCs w:val="32"/>
        </w:rPr>
        <w:t xml:space="preserve">v1.0</w:t>
      </w:r>
    </w:p>
    <w:p>
      <w:pPr>
        <w:pBdr>
          <w:bottom w:val="single" w:color="2E75B6" w:sz="4" w:space="1"/>
        </w:pBdr>
        <w:spacing w:after="200"/>
      </w:pPr>
    </w:p>
    <w:p>
      <w:pPr>
        <w:spacing w:after="100"/>
        <w:jc w:val="center"/>
      </w:pPr>
      <w:r>
        <w:rPr>
          <w:rFonts w:ascii="Arial" w:cs="Arial" w:eastAsia="Arial" w:hAnsi="Arial"/>
          <w:b w:val="false"/>
          <w:bCs w:val="false"/>
          <w:i/>
          <w:iCs/>
          <w:color w:val="666666"/>
          <w:sz w:val="24"/>
          <w:szCs w:val="24"/>
        </w:rPr>
        <w:t xml:space="preserve">TMI × Pipeline × Unit Economics Value Creation Framework</w:t>
      </w:r>
    </w:p>
    <w:p>
      <w:pPr>
        <w:spacing w:after="100"/>
        <w:jc w:val="center"/>
      </w:pPr>
      <w:r>
        <w:rPr>
          <w:rFonts w:ascii="Arial" w:cs="Arial" w:eastAsia="Arial" w:hAnsi="Arial"/>
          <w:b w:val="false"/>
          <w:bCs w:val="false"/>
          <w:i w:val="false"/>
          <w:iCs w:val="false"/>
          <w:color w:val="666666"/>
          <w:sz w:val="22"/>
          <w:szCs w:val="22"/>
        </w:rPr>
        <w:t xml:space="preserve">A systematic framework for identifying antifragile defense technology compounders</w:t>
      </w:r>
    </w:p>
    <w:p>
      <w:pPr>
        <w:spacing w:after="600"/>
        <w:jc w:val="center"/>
      </w:pPr>
      <w:r>
        <w:rPr>
          <w:rFonts w:ascii="Arial" w:cs="Arial" w:eastAsia="Arial" w:hAnsi="Arial"/>
          <w:b w:val="false"/>
          <w:bCs w:val="false"/>
          <w:i w:val="false"/>
          <w:iCs w:val="false"/>
          <w:color w:val="666666"/>
          <w:sz w:val="22"/>
          <w:szCs w:val="22"/>
        </w:rPr>
        <w:t xml:space="preserve">at the pre-revenue and early-revenue stage</w:t>
      </w:r>
    </w:p>
    <w:p>
      <w:pPr>
        <w:spacing w:after="200"/>
        <w:jc w:val="center"/>
      </w:pPr>
      <w:r>
        <w:rPr>
          <w:rFonts w:ascii="Arial" w:cs="Arial" w:eastAsia="Arial" w:hAnsi="Arial"/>
          <w:b w:val="false"/>
          <w:bCs w:val="false"/>
          <w:i w:val="false"/>
          <w:iCs w:val="false"/>
          <w:color w:val="888888"/>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CONTENTS</w:t>
      </w:r>
    </w:p>
    <w:p>
      <w:pPr>
        <w:spacing w:after="100"/>
      </w:pPr>
      <w:r>
        <w:rPr>
          <w:rFonts w:ascii="Arial" w:cs="Arial" w:eastAsia="Arial" w:hAnsi="Arial"/>
          <w:b w:val="false"/>
          <w:bCs w:val="false"/>
          <w:i w:val="false"/>
          <w:iCs w:val="false"/>
          <w:color w:val="333333"/>
          <w:sz w:val="22"/>
          <w:szCs w:val="22"/>
        </w:rPr>
        <w:t xml:space="preserve"/>
      </w:r>
    </w:p>
    <w:p>
      <w:pPr>
        <w:spacing w:after="200"/>
      </w:pPr>
      <w:r>
        <w:rPr>
          <w:rFonts w:ascii="Arial" w:cs="Arial" w:eastAsia="Arial" w:hAnsi="Arial"/>
          <w:b/>
          <w:bCs/>
          <w:i w:val="false"/>
          <w:iCs w:val="false"/>
          <w:color w:val="333333"/>
          <w:sz w:val="22"/>
          <w:szCs w:val="22"/>
        </w:rPr>
        <w:t xml:space="preserve">I.</w:t>
      </w:r>
      <w:r>
        <w:rPr>
          <w:rFonts w:ascii="Arial" w:cs="Arial" w:eastAsia="Arial" w:hAnsi="Arial"/>
          <w:b w:val="false"/>
          <w:bCs w:val="false"/>
          <w:i w:val="false"/>
          <w:iCs w:val="false"/>
          <w:color w:val="333333"/>
          <w:sz w:val="22"/>
          <w:szCs w:val="22"/>
        </w:rPr>
        <w:t xml:space="preserve">   Framework Overview &amp; Philosophy</w:t>
      </w:r>
    </w:p>
    <w:p>
      <w:pPr>
        <w:spacing w:after="200"/>
      </w:pPr>
      <w:r>
        <w:rPr>
          <w:rFonts w:ascii="Arial" w:cs="Arial" w:eastAsia="Arial" w:hAnsi="Arial"/>
          <w:b/>
          <w:bCs/>
          <w:i w:val="false"/>
          <w:iCs w:val="false"/>
          <w:color w:val="333333"/>
          <w:sz w:val="22"/>
          <w:szCs w:val="22"/>
        </w:rPr>
        <w:t xml:space="preserve">II.</w:t>
      </w:r>
      <w:r>
        <w:rPr>
          <w:rFonts w:ascii="Arial" w:cs="Arial" w:eastAsia="Arial" w:hAnsi="Arial"/>
          <w:b w:val="false"/>
          <w:bCs w:val="false"/>
          <w:i w:val="false"/>
          <w:iCs w:val="false"/>
          <w:color w:val="333333"/>
          <w:sz w:val="22"/>
          <w:szCs w:val="22"/>
        </w:rPr>
        <w:t xml:space="preserve">   Applicable Company Profile</w:t>
      </w:r>
    </w:p>
    <w:p>
      <w:pPr>
        <w:spacing w:after="200"/>
      </w:pPr>
      <w:r>
        <w:rPr>
          <w:rFonts w:ascii="Arial" w:cs="Arial" w:eastAsia="Arial" w:hAnsi="Arial"/>
          <w:b/>
          <w:bCs/>
          <w:i w:val="false"/>
          <w:iCs w:val="false"/>
          <w:color w:val="333333"/>
          <w:sz w:val="22"/>
          <w:szCs w:val="22"/>
        </w:rPr>
        <w:t xml:space="preserve">III.</w:t>
      </w:r>
      <w:r>
        <w:rPr>
          <w:rFonts w:ascii="Arial" w:cs="Arial" w:eastAsia="Arial" w:hAnsi="Arial"/>
          <w:b w:val="false"/>
          <w:bCs w:val="false"/>
          <w:i w:val="false"/>
          <w:iCs w:val="false"/>
          <w:color w:val="333333"/>
          <w:sz w:val="22"/>
          <w:szCs w:val="22"/>
        </w:rPr>
        <w:t xml:space="preserve">   Classification Thresholds</w:t>
      </w:r>
    </w:p>
    <w:p>
      <w:pPr>
        <w:spacing w:after="200"/>
      </w:pPr>
      <w:r>
        <w:rPr>
          <w:rFonts w:ascii="Arial" w:cs="Arial" w:eastAsia="Arial" w:hAnsi="Arial"/>
          <w:b/>
          <w:bCs/>
          <w:i w:val="false"/>
          <w:iCs w:val="false"/>
          <w:color w:val="333333"/>
          <w:sz w:val="22"/>
          <w:szCs w:val="22"/>
        </w:rPr>
        <w:t xml:space="preserve">IV.</w:t>
      </w:r>
      <w:r>
        <w:rPr>
          <w:rFonts w:ascii="Arial" w:cs="Arial" w:eastAsia="Arial" w:hAnsi="Arial"/>
          <w:b w:val="false"/>
          <w:bCs w:val="false"/>
          <w:i w:val="false"/>
          <w:iCs w:val="false"/>
          <w:color w:val="333333"/>
          <w:sz w:val="22"/>
          <w:szCs w:val="22"/>
        </w:rPr>
        <w:t xml:space="preserve">   Stage 1: Technology Moat Index (TMI) Pre-Screen</w:t>
      </w:r>
    </w:p>
    <w:p>
      <w:pPr>
        <w:spacing w:after="200"/>
      </w:pPr>
      <w:r>
        <w:rPr>
          <w:rFonts w:ascii="Arial" w:cs="Arial" w:eastAsia="Arial" w:hAnsi="Arial"/>
          <w:b/>
          <w:bCs/>
          <w:i w:val="false"/>
          <w:iCs w:val="false"/>
          <w:color w:val="333333"/>
          <w:sz w:val="22"/>
          <w:szCs w:val="22"/>
        </w:rPr>
        <w:t xml:space="preserve">V.</w:t>
      </w:r>
      <w:r>
        <w:rPr>
          <w:rFonts w:ascii="Arial" w:cs="Arial" w:eastAsia="Arial" w:hAnsi="Arial"/>
          <w:b w:val="false"/>
          <w:bCs w:val="false"/>
          <w:i w:val="false"/>
          <w:iCs w:val="false"/>
          <w:color w:val="333333"/>
          <w:sz w:val="22"/>
          <w:szCs w:val="22"/>
        </w:rPr>
        <w:t xml:space="preserve">   Stage 2: Value Creation Engine (VCE) — Four-Dimension Scoring</w:t>
      </w:r>
    </w:p>
    <w:p>
      <w:pPr>
        <w:spacing w:after="60"/>
      </w:pPr>
      <w:r>
        <w:rPr>
          <w:rFonts w:ascii="Arial" w:cs="Arial" w:eastAsia="Arial" w:hAnsi="Arial"/>
          <w:b w:val="false"/>
          <w:bCs w:val="false"/>
          <w:i w:val="false"/>
          <w:iCs w:val="false"/>
          <w:color w:val="333333"/>
          <w:sz w:val="22"/>
          <w:szCs w:val="22"/>
        </w:rPr>
        <w:t xml:space="preserve"/>
      </w:r>
      <w:r>
        <w:rPr>
          <w:rFonts w:ascii="Arial" w:cs="Arial" w:eastAsia="Arial" w:hAnsi="Arial"/>
          <w:b w:val="false"/>
          <w:bCs w:val="false"/>
          <w:i w:val="false"/>
          <w:iCs w:val="false"/>
          <w:color w:val="333333"/>
          <w:sz w:val="22"/>
          <w:szCs w:val="22"/>
        </w:rPr>
        <w:t xml:space="preserve">      D1: Pipeline Credibility (25% weight)</w:t>
      </w:r>
    </w:p>
    <w:p>
      <w:pPr>
        <w:spacing w:after="60"/>
      </w:pPr>
      <w:r>
        <w:rPr>
          <w:rFonts w:ascii="Arial" w:cs="Arial" w:eastAsia="Arial" w:hAnsi="Arial"/>
          <w:b w:val="false"/>
          <w:bCs w:val="false"/>
          <w:i w:val="false"/>
          <w:iCs w:val="false"/>
          <w:color w:val="333333"/>
          <w:sz w:val="22"/>
          <w:szCs w:val="22"/>
        </w:rPr>
        <w:t xml:space="preserve"/>
      </w:r>
      <w:r>
        <w:rPr>
          <w:rFonts w:ascii="Arial" w:cs="Arial" w:eastAsia="Arial" w:hAnsi="Arial"/>
          <w:b w:val="false"/>
          <w:bCs w:val="false"/>
          <w:i w:val="false"/>
          <w:iCs w:val="false"/>
          <w:color w:val="333333"/>
          <w:sz w:val="22"/>
          <w:szCs w:val="22"/>
        </w:rPr>
        <w:t xml:space="preserve">      D2: Unit Economics Trajectory (25% weight)</w:t>
      </w:r>
    </w:p>
    <w:p>
      <w:pPr>
        <w:spacing w:after="60"/>
      </w:pPr>
      <w:r>
        <w:rPr>
          <w:rFonts w:ascii="Arial" w:cs="Arial" w:eastAsia="Arial" w:hAnsi="Arial"/>
          <w:b w:val="false"/>
          <w:bCs w:val="false"/>
          <w:i w:val="false"/>
          <w:iCs w:val="false"/>
          <w:color w:val="333333"/>
          <w:sz w:val="22"/>
          <w:szCs w:val="22"/>
        </w:rPr>
        <w:t xml:space="preserve"/>
      </w:r>
      <w:r>
        <w:rPr>
          <w:rFonts w:ascii="Arial" w:cs="Arial" w:eastAsia="Arial" w:hAnsi="Arial"/>
          <w:b w:val="false"/>
          <w:bCs w:val="false"/>
          <w:i w:val="false"/>
          <w:iCs w:val="false"/>
          <w:color w:val="333333"/>
          <w:sz w:val="22"/>
          <w:szCs w:val="22"/>
        </w:rPr>
        <w:t xml:space="preserve">      D3: TAM &amp; Penetration Path (25% weight)</w:t>
      </w:r>
    </w:p>
    <w:p>
      <w:pPr>
        <w:spacing w:after="200"/>
      </w:pPr>
      <w:r>
        <w:rPr>
          <w:rFonts w:ascii="Arial" w:cs="Arial" w:eastAsia="Arial" w:hAnsi="Arial"/>
          <w:b w:val="false"/>
          <w:bCs w:val="false"/>
          <w:i w:val="false"/>
          <w:iCs w:val="false"/>
          <w:color w:val="333333"/>
          <w:sz w:val="22"/>
          <w:szCs w:val="22"/>
        </w:rPr>
        <w:t xml:space="preserve"/>
      </w:r>
      <w:r>
        <w:rPr>
          <w:rFonts w:ascii="Arial" w:cs="Arial" w:eastAsia="Arial" w:hAnsi="Arial"/>
          <w:b w:val="false"/>
          <w:bCs w:val="false"/>
          <w:i w:val="false"/>
          <w:iCs w:val="false"/>
          <w:color w:val="333333"/>
          <w:sz w:val="22"/>
          <w:szCs w:val="22"/>
        </w:rPr>
        <w:t xml:space="preserve">      D4: Capital Discipline &amp; Runway (25% weight)</w:t>
      </w:r>
    </w:p>
    <w:p>
      <w:pPr>
        <w:spacing w:after="200"/>
      </w:pPr>
      <w:r>
        <w:rPr>
          <w:rFonts w:ascii="Arial" w:cs="Arial" w:eastAsia="Arial" w:hAnsi="Arial"/>
          <w:b/>
          <w:bCs/>
          <w:i w:val="false"/>
          <w:iCs w:val="false"/>
          <w:color w:val="333333"/>
          <w:sz w:val="22"/>
          <w:szCs w:val="22"/>
        </w:rPr>
        <w:t xml:space="preserve">VI.</w:t>
      </w:r>
      <w:r>
        <w:rPr>
          <w:rFonts w:ascii="Arial" w:cs="Arial" w:eastAsia="Arial" w:hAnsi="Arial"/>
          <w:b w:val="false"/>
          <w:bCs w:val="false"/>
          <w:i w:val="false"/>
          <w:iCs w:val="false"/>
          <w:color w:val="333333"/>
          <w:sz w:val="22"/>
          <w:szCs w:val="22"/>
        </w:rPr>
        <w:t xml:space="preserve">   Step 3: Raw Composite Calculation</w:t>
      </w:r>
    </w:p>
    <w:p>
      <w:pPr>
        <w:spacing w:after="200"/>
      </w:pPr>
      <w:r>
        <w:rPr>
          <w:rFonts w:ascii="Arial" w:cs="Arial" w:eastAsia="Arial" w:hAnsi="Arial"/>
          <w:b/>
          <w:bCs/>
          <w:i w:val="false"/>
          <w:iCs w:val="false"/>
          <w:color w:val="333333"/>
          <w:sz w:val="22"/>
          <w:szCs w:val="22"/>
        </w:rPr>
        <w:t xml:space="preserve">VII.</w:t>
      </w:r>
      <w:r>
        <w:rPr>
          <w:rFonts w:ascii="Arial" w:cs="Arial" w:eastAsia="Arial" w:hAnsi="Arial"/>
          <w:b w:val="false"/>
          <w:bCs w:val="false"/>
          <w:i w:val="false"/>
          <w:iCs w:val="false"/>
          <w:color w:val="333333"/>
          <w:sz w:val="22"/>
          <w:szCs w:val="22"/>
        </w:rPr>
        <w:t xml:space="preserve">   Step 4: Antifragility Modifier (AFM)</w:t>
      </w:r>
    </w:p>
    <w:p>
      <w:pPr>
        <w:spacing w:after="200"/>
      </w:pPr>
      <w:r>
        <w:rPr>
          <w:rFonts w:ascii="Arial" w:cs="Arial" w:eastAsia="Arial" w:hAnsi="Arial"/>
          <w:b/>
          <w:bCs/>
          <w:i w:val="false"/>
          <w:iCs w:val="false"/>
          <w:color w:val="333333"/>
          <w:sz w:val="22"/>
          <w:szCs w:val="22"/>
        </w:rPr>
        <w:t xml:space="preserve">VIII.</w:t>
      </w:r>
      <w:r>
        <w:rPr>
          <w:rFonts w:ascii="Arial" w:cs="Arial" w:eastAsia="Arial" w:hAnsi="Arial"/>
          <w:b w:val="false"/>
          <w:bCs w:val="false"/>
          <w:i w:val="false"/>
          <w:iCs w:val="false"/>
          <w:color w:val="333333"/>
          <w:sz w:val="22"/>
          <w:szCs w:val="22"/>
        </w:rPr>
        <w:t xml:space="preserve">   Step 5: Final Composite &amp; Classification</w:t>
      </w:r>
    </w:p>
    <w:p>
      <w:pPr>
        <w:spacing w:after="200"/>
      </w:pPr>
      <w:r>
        <w:rPr>
          <w:rFonts w:ascii="Arial" w:cs="Arial" w:eastAsia="Arial" w:hAnsi="Arial"/>
          <w:b/>
          <w:bCs/>
          <w:i w:val="false"/>
          <w:iCs w:val="false"/>
          <w:color w:val="333333"/>
          <w:sz w:val="22"/>
          <w:szCs w:val="22"/>
        </w:rPr>
        <w:t xml:space="preserve">IX.</w:t>
      </w:r>
      <w:r>
        <w:rPr>
          <w:rFonts w:ascii="Arial" w:cs="Arial" w:eastAsia="Arial" w:hAnsi="Arial"/>
          <w:b w:val="false"/>
          <w:bCs w:val="false"/>
          <w:i w:val="false"/>
          <w:iCs w:val="false"/>
          <w:color w:val="333333"/>
          <w:sz w:val="22"/>
          <w:szCs w:val="22"/>
        </w:rPr>
        <w:t xml:space="preserve">   Step 6: Scenario Modeling</w:t>
      </w:r>
    </w:p>
    <w:p>
      <w:pPr>
        <w:spacing w:after="200"/>
      </w:pPr>
      <w:r>
        <w:rPr>
          <w:rFonts w:ascii="Arial" w:cs="Arial" w:eastAsia="Arial" w:hAnsi="Arial"/>
          <w:b/>
          <w:bCs/>
          <w:i w:val="false"/>
          <w:iCs w:val="false"/>
          <w:color w:val="333333"/>
          <w:sz w:val="22"/>
          <w:szCs w:val="22"/>
        </w:rPr>
        <w:t xml:space="preserve">X.</w:t>
      </w:r>
      <w:r>
        <w:rPr>
          <w:rFonts w:ascii="Arial" w:cs="Arial" w:eastAsia="Arial" w:hAnsi="Arial"/>
          <w:b w:val="false"/>
          <w:bCs w:val="false"/>
          <w:i w:val="false"/>
          <w:iCs w:val="false"/>
          <w:color w:val="333333"/>
          <w:sz w:val="22"/>
          <w:szCs w:val="22"/>
        </w:rPr>
        <w:t xml:space="preserve">   Step 7: Valuation Gate</w:t>
      </w:r>
    </w:p>
    <w:p>
      <w:pPr>
        <w:spacing w:after="200"/>
      </w:pPr>
      <w:r>
        <w:rPr>
          <w:rFonts w:ascii="Arial" w:cs="Arial" w:eastAsia="Arial" w:hAnsi="Arial"/>
          <w:b/>
          <w:bCs/>
          <w:i w:val="false"/>
          <w:iCs w:val="false"/>
          <w:color w:val="333333"/>
          <w:sz w:val="22"/>
          <w:szCs w:val="22"/>
        </w:rPr>
        <w:t xml:space="preserve">XI.</w:t>
      </w:r>
      <w:r>
        <w:rPr>
          <w:rFonts w:ascii="Arial" w:cs="Arial" w:eastAsia="Arial" w:hAnsi="Arial"/>
          <w:b w:val="false"/>
          <w:bCs w:val="false"/>
          <w:i w:val="false"/>
          <w:iCs w:val="false"/>
          <w:color w:val="333333"/>
          <w:sz w:val="22"/>
          <w:szCs w:val="22"/>
        </w:rPr>
        <w:t xml:space="preserve">   Step 8: Final Verdict Template</w:t>
      </w:r>
    </w:p>
    <w:p>
      <w:pPr>
        <w:spacing w:after="200"/>
      </w:pPr>
      <w:r>
        <w:rPr>
          <w:rFonts w:ascii="Arial" w:cs="Arial" w:eastAsia="Arial" w:hAnsi="Arial"/>
          <w:b/>
          <w:bCs/>
          <w:i w:val="false"/>
          <w:iCs w:val="false"/>
          <w:color w:val="333333"/>
          <w:sz w:val="22"/>
          <w:szCs w:val="22"/>
        </w:rPr>
        <w:t xml:space="preserve">XII.</w:t>
      </w:r>
      <w:r>
        <w:rPr>
          <w:rFonts w:ascii="Arial" w:cs="Arial" w:eastAsia="Arial" w:hAnsi="Arial"/>
          <w:b w:val="false"/>
          <w:bCs w:val="false"/>
          <w:i w:val="false"/>
          <w:iCs w:val="false"/>
          <w:color w:val="333333"/>
          <w:sz w:val="22"/>
          <w:szCs w:val="22"/>
        </w:rPr>
        <w:t xml:space="preserve">   Scoring Guardrails &amp; Rules</w:t>
      </w:r>
    </w:p>
    <w:p>
      <w:pPr>
        <w:spacing w:after="200"/>
      </w:pPr>
      <w:r>
        <w:rPr>
          <w:rFonts w:ascii="Arial" w:cs="Arial" w:eastAsia="Arial" w:hAnsi="Arial"/>
          <w:b/>
          <w:bCs/>
          <w:i w:val="false"/>
          <w:iCs w:val="false"/>
          <w:color w:val="333333"/>
          <w:sz w:val="22"/>
          <w:szCs w:val="22"/>
        </w:rPr>
        <w:t xml:space="preserve">XIII.</w:t>
      </w:r>
      <w:r>
        <w:rPr>
          <w:rFonts w:ascii="Arial" w:cs="Arial" w:eastAsia="Arial" w:hAnsi="Arial"/>
          <w:b w:val="false"/>
          <w:bCs w:val="false"/>
          <w:i w:val="false"/>
          <w:iCs w:val="false"/>
          <w:color w:val="333333"/>
          <w:sz w:val="22"/>
          <w:szCs w:val="22"/>
        </w:rPr>
        <w:t xml:space="preserve">   Comparable Companies for This Framework</w:t>
      </w:r>
    </w:p>
    <w:p>
      <w:r>
        <w:br w:type="page"/>
      </w:r>
    </w:p>
    <w:p>
      <w:pPr>
        <w:pStyle w:val="Heading1"/>
      </w:pPr>
      <w:r>
        <w:t xml:space="preserve">I. FRAMEWORK OVERVIEW &amp; PHILOSOPHY</w:t>
      </w:r>
    </w:p>
    <w:p>
      <w:pPr>
        <w:pStyle w:val="Heading2"/>
      </w:pPr>
      <w:r>
        <w:t xml:space="preserve">Purpose</w:t>
      </w:r>
    </w:p>
    <w:p>
      <w:pPr>
        <w:spacing w:after="200"/>
      </w:pPr>
      <w:r>
        <w:rPr>
          <w:rFonts w:ascii="Arial" w:cs="Arial" w:eastAsia="Arial" w:hAnsi="Arial"/>
          <w:b w:val="false"/>
          <w:bCs w:val="false"/>
          <w:i w:val="false"/>
          <w:iCs w:val="false"/>
          <w:color w:val="333333"/>
          <w:sz w:val="22"/>
          <w:szCs w:val="22"/>
        </w:rPr>
        <w:t xml:space="preserve">This framework is purpose-built for </w:t>
      </w:r>
      <w:r>
        <w:rPr>
          <w:rFonts w:ascii="Arial" w:cs="Arial" w:eastAsia="Arial" w:hAnsi="Arial"/>
          <w:b/>
          <w:bCs/>
          <w:i w:val="false"/>
          <w:iCs w:val="false"/>
          <w:color w:val="333333"/>
          <w:sz w:val="22"/>
          <w:szCs w:val="22"/>
        </w:rPr>
        <w:t xml:space="preserve">pre-revenue and early-revenue defense technology companies</w:t>
      </w:r>
      <w:r>
        <w:rPr>
          <w:rFonts w:ascii="Arial" w:cs="Arial" w:eastAsia="Arial" w:hAnsi="Arial"/>
          <w:b w:val="false"/>
          <w:bCs w:val="false"/>
          <w:i w:val="false"/>
          <w:iCs w:val="false"/>
          <w:color w:val="333333"/>
          <w:sz w:val="22"/>
          <w:szCs w:val="22"/>
        </w:rPr>
        <w:t xml:space="preserve"> — businesses where the core asset is proprietary software, algorithms, and combat/field-proven intellectual property. Traditional infrastructure services frameworks fail these companies because their moats are built on </w:t>
      </w:r>
      <w:r>
        <w:rPr>
          <w:rFonts w:ascii="Arial" w:cs="Arial" w:eastAsia="Arial" w:hAnsi="Arial"/>
          <w:b w:val="false"/>
          <w:bCs w:val="false"/>
          <w:i/>
          <w:iCs/>
          <w:color w:val="333333"/>
          <w:sz w:val="22"/>
          <w:szCs w:val="22"/>
        </w:rPr>
        <w:t xml:space="preserve">technology differentiation, regulatory barriers, data flywheels, and speed of iteration</w:t>
      </w:r>
      <w:r>
        <w:rPr>
          <w:rFonts w:ascii="Arial" w:cs="Arial" w:eastAsia="Arial" w:hAnsi="Arial"/>
          <w:b w:val="false"/>
          <w:bCs w:val="false"/>
          <w:i w:val="false"/>
          <w:iCs w:val="false"/>
          <w:color w:val="333333"/>
          <w:sz w:val="22"/>
          <w:szCs w:val="22"/>
        </w:rPr>
        <w:t xml:space="preserve"> — not on licensed labor scarcity, physical execution capability, or project complexity.</w:t>
      </w:r>
    </w:p>
    <w:p>
      <w:pPr>
        <w:spacing w:after="200"/>
      </w:pPr>
      <w:r>
        <w:rPr>
          <w:rFonts w:ascii="Arial" w:cs="Arial" w:eastAsia="Arial" w:hAnsi="Arial"/>
          <w:b w:val="false"/>
          <w:bCs w:val="false"/>
          <w:i w:val="false"/>
          <w:iCs w:val="false"/>
          <w:color w:val="333333"/>
          <w:sz w:val="22"/>
          <w:szCs w:val="22"/>
        </w:rPr>
        <w:t xml:space="preserve">Existing SaaS frameworks also fail because defense-tech companies have fundamentally different go-to-market dynamics: long procurement cycles, classified program access requirements, foreign military sales complexity, and revenue that arrives in large, lumpy government contracts rather than smooth monthly subscriptions.</w:t>
      </w:r>
    </w:p>
    <w:p>
      <w:pPr>
        <w:spacing w:after="200"/>
      </w:pPr>
      <w:r>
        <w:rPr>
          <w:rFonts w:ascii="Arial" w:cs="Arial" w:eastAsia="Arial" w:hAnsi="Arial"/>
          <w:b w:val="false"/>
          <w:bCs w:val="false"/>
          <w:i w:val="false"/>
          <w:iCs w:val="false"/>
          <w:color w:val="333333"/>
          <w:sz w:val="22"/>
          <w:szCs w:val="22"/>
        </w:rPr>
        <w:t xml:space="preserve">This framework is designed as a </w:t>
      </w:r>
      <w:r>
        <w:rPr>
          <w:rFonts w:ascii="Arial" w:cs="Arial" w:eastAsia="Arial" w:hAnsi="Arial"/>
          <w:b/>
          <w:bCs/>
          <w:i w:val="false"/>
          <w:iCs w:val="false"/>
          <w:color w:val="333333"/>
          <w:sz w:val="22"/>
          <w:szCs w:val="22"/>
        </w:rPr>
        <w:t xml:space="preserve">companion</w:t>
      </w:r>
      <w:r>
        <w:rPr>
          <w:rFonts w:ascii="Arial" w:cs="Arial" w:eastAsia="Arial" w:hAnsi="Arial"/>
          <w:b w:val="false"/>
          <w:bCs w:val="false"/>
          <w:i w:val="false"/>
          <w:iCs w:val="false"/>
          <w:color w:val="333333"/>
          <w:sz w:val="22"/>
          <w:szCs w:val="22"/>
        </w:rPr>
        <w:t xml:space="preserve"> to the Infrastructure Services Compounder Framework v1.0. Together they cover the two major categories of companies exposed to defense and infrastructure mega-trends: those that </w:t>
      </w:r>
      <w:r>
        <w:rPr>
          <w:rFonts w:ascii="Arial" w:cs="Arial" w:eastAsia="Arial" w:hAnsi="Arial"/>
          <w:b w:val="false"/>
          <w:bCs w:val="false"/>
          <w:i/>
          <w:iCs/>
          <w:color w:val="333333"/>
          <w:sz w:val="22"/>
          <w:szCs w:val="22"/>
        </w:rPr>
        <w:t xml:space="preserve">build and maintain the physical world</w:t>
      </w:r>
      <w:r>
        <w:rPr>
          <w:rFonts w:ascii="Arial" w:cs="Arial" w:eastAsia="Arial" w:hAnsi="Arial"/>
          <w:b w:val="false"/>
          <w:bCs w:val="false"/>
          <w:i w:val="false"/>
          <w:iCs w:val="false"/>
          <w:color w:val="333333"/>
          <w:sz w:val="22"/>
          <w:szCs w:val="22"/>
        </w:rPr>
        <w:t xml:space="preserve"> (Infrastructure Services) and those that </w:t>
      </w:r>
      <w:r>
        <w:rPr>
          <w:rFonts w:ascii="Arial" w:cs="Arial" w:eastAsia="Arial" w:hAnsi="Arial"/>
          <w:b w:val="false"/>
          <w:bCs w:val="false"/>
          <w:i/>
          <w:iCs/>
          <w:color w:val="333333"/>
          <w:sz w:val="22"/>
          <w:szCs w:val="22"/>
        </w:rPr>
        <w:t xml:space="preserve">provide the software intelligence layer</w:t>
      </w:r>
      <w:r>
        <w:rPr>
          <w:rFonts w:ascii="Arial" w:cs="Arial" w:eastAsia="Arial" w:hAnsi="Arial"/>
          <w:b w:val="false"/>
          <w:bCs w:val="false"/>
          <w:i w:val="false"/>
          <w:iCs w:val="false"/>
          <w:color w:val="333333"/>
          <w:sz w:val="22"/>
          <w:szCs w:val="22"/>
        </w:rPr>
        <w:t xml:space="preserve"> (Defense Technology).</w:t>
      </w:r>
    </w:p>
    <w:p>
      <w:pPr>
        <w:pStyle w:val="Heading2"/>
      </w:pPr>
      <w:r>
        <w:t xml:space="preserve">Intellectual Foundation</w:t>
      </w:r>
    </w:p>
    <w:p>
      <w:pPr>
        <w:spacing w:after="200"/>
      </w:pPr>
      <w:r>
        <w:rPr>
          <w:rFonts w:ascii="Arial" w:cs="Arial" w:eastAsia="Arial" w:hAnsi="Arial"/>
          <w:b w:val="false"/>
          <w:bCs w:val="false"/>
          <w:i w:val="false"/>
          <w:iCs w:val="false"/>
          <w:color w:val="333333"/>
          <w:sz w:val="22"/>
          <w:szCs w:val="22"/>
        </w:rPr>
        <w:t xml:space="preserve">The framework rests on a modified value creation identity adapted for pre-revenue companies:</w:t>
      </w:r>
    </w:p>
    <w:p>
      <w:pPr>
        <w:spacing w:after="200"/>
      </w:pPr>
      <w:r>
        <w:rPr>
          <w:rFonts w:ascii="Arial" w:cs="Arial" w:eastAsia="Arial" w:hAnsi="Arial"/>
          <w:b w:val="false"/>
          <w:bCs w:val="false"/>
          <w:i/>
          <w:iCs/>
          <w:color w:val="333333"/>
          <w:sz w:val="22"/>
          <w:szCs w:val="22"/>
        </w:rPr>
        <w:t xml:space="preserve">Future Intrinsic Value = f(Technology Moat Durability × Pipeline Conversion Rate × Unit Economics at Scale × Capital Efficiency)</w:t>
      </w:r>
    </w:p>
    <w:p>
      <w:pPr>
        <w:spacing w:after="200"/>
      </w:pPr>
      <w:r>
        <w:rPr>
          <w:rFonts w:ascii="Arial" w:cs="Arial" w:eastAsia="Arial" w:hAnsi="Arial"/>
          <w:b w:val="false"/>
          <w:bCs w:val="false"/>
          <w:i w:val="false"/>
          <w:iCs w:val="false"/>
          <w:color w:val="333333"/>
          <w:sz w:val="22"/>
          <w:szCs w:val="22"/>
        </w:rPr>
        <w:t xml:space="preserve">Where:</w:t>
      </w:r>
    </w:p>
    <w:p>
      <w:pPr>
        <w:pStyle w:val="ListParagraph"/>
        <w:numPr>
          <w:ilvl w:val="0"/>
          <w:numId w:val="2"/>
        </w:numPr>
      </w:pPr>
      <w:r>
        <w:rPr>
          <w:rFonts w:ascii="Arial" w:cs="Arial" w:eastAsia="Arial" w:hAnsi="Arial"/>
          <w:b/>
          <w:bCs/>
          <w:i w:val="false"/>
          <w:iCs w:val="false"/>
          <w:color w:val="333333"/>
          <w:sz w:val="22"/>
          <w:szCs w:val="22"/>
        </w:rPr>
        <w:t xml:space="preserve">Technology Moat Durability (TMD)</w:t>
      </w:r>
      <w:r>
        <w:rPr>
          <w:rFonts w:ascii="Arial" w:cs="Arial" w:eastAsia="Arial" w:hAnsi="Arial"/>
          <w:b w:val="false"/>
          <w:bCs w:val="false"/>
          <w:i w:val="false"/>
          <w:iCs w:val="false"/>
          <w:color w:val="333333"/>
          <w:sz w:val="22"/>
          <w:szCs w:val="22"/>
        </w:rPr>
        <w:t xml:space="preserve"> = the structural defensibility of the company’s IP, measured through combat proof, data flywheel strength, regulatory barriers, and platform lock-in. This replaces EVA/ROIC from the Infrastructure framework — at the pre-revenue stage, moat quality is assessed qualitatively and through leading indicators rather than trailing financial returns.</w:t>
      </w:r>
    </w:p>
    <w:p>
      <w:pPr>
        <w:pStyle w:val="ListParagraph"/>
        <w:numPr>
          <w:ilvl w:val="0"/>
          <w:numId w:val="2"/>
        </w:numPr>
      </w:pPr>
      <w:r>
        <w:rPr>
          <w:rFonts w:ascii="Arial" w:cs="Arial" w:eastAsia="Arial" w:hAnsi="Arial"/>
          <w:b/>
          <w:bCs/>
          <w:i w:val="false"/>
          <w:iCs w:val="false"/>
          <w:color w:val="333333"/>
          <w:sz w:val="22"/>
          <w:szCs w:val="22"/>
        </w:rPr>
        <w:t xml:space="preserve">Pipeline Conversion Rate</w:t>
      </w:r>
      <w:r>
        <w:rPr>
          <w:rFonts w:ascii="Arial" w:cs="Arial" w:eastAsia="Arial" w:hAnsi="Arial"/>
          <w:b w:val="false"/>
          <w:bCs w:val="false"/>
          <w:i w:val="false"/>
          <w:iCs w:val="false"/>
          <w:color w:val="333333"/>
          <w:sz w:val="22"/>
          <w:szCs w:val="22"/>
        </w:rPr>
        <w:t xml:space="preserve"> = the probability and velocity of converting contracted backlog and MOUs into recognized revenue. This replaces Revenue Durability — for pre-revenue companies, the question is not “how predictable is existing revenue” but “how likely is the pipeline to become revenue.”</w:t>
      </w:r>
    </w:p>
    <w:p>
      <w:pPr>
        <w:pStyle w:val="ListParagraph"/>
        <w:numPr>
          <w:ilvl w:val="0"/>
          <w:numId w:val="2"/>
        </w:numPr>
      </w:pPr>
      <w:r>
        <w:rPr>
          <w:rFonts w:ascii="Arial" w:cs="Arial" w:eastAsia="Arial" w:hAnsi="Arial"/>
          <w:b/>
          <w:bCs/>
          <w:i w:val="false"/>
          <w:iCs w:val="false"/>
          <w:color w:val="333333"/>
          <w:sz w:val="22"/>
          <w:szCs w:val="22"/>
        </w:rPr>
        <w:t xml:space="preserve">Unit Economics at Scale</w:t>
      </w:r>
      <w:r>
        <w:rPr>
          <w:rFonts w:ascii="Arial" w:cs="Arial" w:eastAsia="Arial" w:hAnsi="Arial"/>
          <w:b w:val="false"/>
          <w:bCs w:val="false"/>
          <w:i w:val="false"/>
          <w:iCs w:val="false"/>
          <w:color w:val="333333"/>
          <w:sz w:val="22"/>
          <w:szCs w:val="22"/>
        </w:rPr>
        <w:t xml:space="preserve"> = the projected gross margin structure once the company reaches meaningful revenue scale. Software-first defense companies should achieve 60–80%+ gross margins at maturity, fundamentally different from the 5–15% operating margins of infrastructure services. This replaces Capital Efficiency as measured by current ROIC.</w:t>
      </w:r>
    </w:p>
    <w:p>
      <w:pPr>
        <w:pStyle w:val="ListParagraph"/>
        <w:numPr>
          <w:ilvl w:val="0"/>
          <w:numId w:val="2"/>
        </w:numPr>
      </w:pPr>
      <w:r>
        <w:rPr>
          <w:rFonts w:ascii="Arial" w:cs="Arial" w:eastAsia="Arial" w:hAnsi="Arial"/>
          <w:b/>
          <w:bCs/>
          <w:i w:val="false"/>
          <w:iCs w:val="false"/>
          <w:color w:val="333333"/>
          <w:sz w:val="22"/>
          <w:szCs w:val="22"/>
        </w:rPr>
        <w:t xml:space="preserve">Capital Efficiency</w:t>
      </w:r>
      <w:r>
        <w:rPr>
          <w:rFonts w:ascii="Arial" w:cs="Arial" w:eastAsia="Arial" w:hAnsi="Arial"/>
          <w:b w:val="false"/>
          <w:bCs w:val="false"/>
          <w:i w:val="false"/>
          <w:iCs w:val="false"/>
          <w:color w:val="333333"/>
          <w:sz w:val="22"/>
          <w:szCs w:val="22"/>
        </w:rPr>
        <w:t xml:space="preserve"> = burn rate discipline, dilution trajectory, and whether management treats equity as a precious resource. This replaces Reinvestment Quality — for pre-revenue companies, the question is not “are incremental investments earning high returns” but “is the company burning cash responsibly while building toward a capital-efficient model.”</w:t>
      </w:r>
    </w:p>
    <w:p>
      <w:pPr>
        <w:pStyle w:val="Heading2"/>
      </w:pPr>
      <w:r>
        <w:t xml:space="preserve">Core Thesis</w:t>
      </w:r>
    </w:p>
    <w:p>
      <w:pPr>
        <w:spacing w:after="200"/>
      </w:pPr>
      <w:r>
        <w:rPr>
          <w:rFonts w:ascii="Arial" w:cs="Arial" w:eastAsia="Arial" w:hAnsi="Arial"/>
          <w:b w:val="false"/>
          <w:bCs w:val="false"/>
          <w:i w:val="false"/>
          <w:iCs w:val="false"/>
          <w:color w:val="333333"/>
          <w:sz w:val="22"/>
          <w:szCs w:val="22"/>
        </w:rPr>
        <w:t xml:space="preserve">A defense technology company is antifragile when demand for its products </w:t>
      </w:r>
      <w:r>
        <w:rPr>
          <w:rFonts w:ascii="Arial" w:cs="Arial" w:eastAsia="Arial" w:hAnsi="Arial"/>
          <w:b/>
          <w:bCs/>
          <w:i w:val="false"/>
          <w:iCs w:val="false"/>
          <w:color w:val="333333"/>
          <w:sz w:val="22"/>
          <w:szCs w:val="22"/>
        </w:rPr>
        <w:t xml:space="preserve">INCREASES</w:t>
      </w:r>
      <w:r>
        <w:rPr>
          <w:rFonts w:ascii="Arial" w:cs="Arial" w:eastAsia="Arial" w:hAnsi="Arial"/>
          <w:b w:val="false"/>
          <w:bCs w:val="false"/>
          <w:i w:val="false"/>
          <w:iCs w:val="false"/>
          <w:color w:val="333333"/>
          <w:sz w:val="22"/>
          <w:szCs w:val="22"/>
        </w:rPr>
        <w:t xml:space="preserve"> as the world becomes more dangerous, contested, and complex (peer-state competition, drone warfare proliferation, autonomous systems adoption) </w:t>
      </w:r>
      <w:r>
        <w:rPr>
          <w:rFonts w:ascii="Arial" w:cs="Arial" w:eastAsia="Arial" w:hAnsi="Arial"/>
          <w:b/>
          <w:bCs/>
          <w:i w:val="false"/>
          <w:iCs w:val="false"/>
          <w:color w:val="333333"/>
          <w:sz w:val="22"/>
          <w:szCs w:val="22"/>
        </w:rPr>
        <w:t xml:space="preserve">AND</w:t>
      </w:r>
      <w:r>
        <w:rPr>
          <w:rFonts w:ascii="Arial" w:cs="Arial" w:eastAsia="Arial" w:hAnsi="Arial"/>
          <w:b w:val="false"/>
          <w:bCs w:val="false"/>
          <w:i w:val="false"/>
          <w:iCs w:val="false"/>
          <w:color w:val="333333"/>
          <w:sz w:val="22"/>
          <w:szCs w:val="22"/>
        </w:rPr>
        <w:t xml:space="preserve"> the barriers to entry </w:t>
      </w:r>
      <w:r>
        <w:rPr>
          <w:rFonts w:ascii="Arial" w:cs="Arial" w:eastAsia="Arial" w:hAnsi="Arial"/>
          <w:b/>
          <w:bCs/>
          <w:i w:val="false"/>
          <w:iCs w:val="false"/>
          <w:color w:val="333333"/>
          <w:sz w:val="22"/>
          <w:szCs w:val="22"/>
        </w:rPr>
        <w:t xml:space="preserve">RISE</w:t>
      </w:r>
      <w:r>
        <w:rPr>
          <w:rFonts w:ascii="Arial" w:cs="Arial" w:eastAsia="Arial" w:hAnsi="Arial"/>
          <w:b w:val="false"/>
          <w:bCs w:val="false"/>
          <w:i w:val="false"/>
          <w:iCs w:val="false"/>
          <w:color w:val="333333"/>
          <w:sz w:val="22"/>
          <w:szCs w:val="22"/>
        </w:rPr>
        <w:t xml:space="preserve"> as regulatory requirements tighten, classification requirements deepen, and combat-proven track records become more valuable.</w:t>
      </w:r>
    </w:p>
    <w:p>
      <w:pPr>
        <w:spacing w:after="200"/>
      </w:pPr>
      <w:r>
        <w:rPr>
          <w:rFonts w:ascii="Arial" w:cs="Arial" w:eastAsia="Arial" w:hAnsi="Arial"/>
          <w:b w:val="false"/>
          <w:bCs w:val="false"/>
          <w:i w:val="false"/>
          <w:iCs w:val="false"/>
          <w:color w:val="333333"/>
          <w:sz w:val="22"/>
          <w:szCs w:val="22"/>
        </w:rPr>
        <w:t xml:space="preserve">The moat in this framework is NOT labor scarcity, NOT physical execution scale, NOT project complexity. The moat is: </w:t>
      </w:r>
      <w:r>
        <w:rPr>
          <w:rFonts w:ascii="Arial" w:cs="Arial" w:eastAsia="Arial" w:hAnsi="Arial"/>
          <w:b/>
          <w:bCs/>
          <w:i w:val="false"/>
          <w:iCs w:val="false"/>
          <w:color w:val="333333"/>
          <w:sz w:val="22"/>
          <w:szCs w:val="22"/>
        </w:rPr>
        <w:t xml:space="preserve">combat-proven algorithms refined through real-world deployment, embedded in platforms with switching costs, protected by security clearances and export controls, and improved by a data flywheel that competitors cannot replicate without equivalent field time.</w:t>
      </w:r>
      <w:r>
        <w:rPr>
          <w:rFonts w:ascii="Arial" w:cs="Arial" w:eastAsia="Arial" w:hAnsi="Arial"/>
          <w:b w:val="false"/>
          <w:bCs w:val="false"/>
          <w:i w:val="false"/>
          <w:iCs w:val="false"/>
          <w:color w:val="333333"/>
          <w:sz w:val="22"/>
          <w:szCs w:val="22"/>
        </w:rPr>
        <w:t xml:space="preserve"> This is a digital-world moat built on physical-world validation.</w:t>
      </w:r>
    </w:p>
    <w:p>
      <w:r>
        <w:br w:type="page"/>
      </w:r>
    </w:p>
    <w:p>
      <w:pPr>
        <w:pStyle w:val="Heading1"/>
      </w:pPr>
      <w:r>
        <w:t xml:space="preserve">II. APPLICABLE COMPANY PROFILE</w:t>
      </w:r>
    </w:p>
    <w:p>
      <w:pPr>
        <w:spacing w:after="200"/>
      </w:pPr>
      <w:r>
        <w:rPr>
          <w:rFonts w:ascii="Arial" w:cs="Arial" w:eastAsia="Arial" w:hAnsi="Arial"/>
          <w:b w:val="false"/>
          <w:bCs w:val="false"/>
          <w:i w:val="false"/>
          <w:iCs w:val="false"/>
          <w:color w:val="333333"/>
          <w:sz w:val="22"/>
          <w:szCs w:val="22"/>
        </w:rPr>
        <w:t xml:space="preserve">This framework is designed for companies that meet ALL of the following criteria:</w:t>
      </w:r>
    </w:p>
    <w:p>
      <w:pPr>
        <w:pStyle w:val="ListParagraph"/>
        <w:numPr>
          <w:ilvl w:val="0"/>
          <w:numId w:val="3"/>
        </w:numPr>
        <w:spacing w:after="140"/>
      </w:pPr>
      <w:r>
        <w:rPr>
          <w:rFonts w:ascii="Arial" w:cs="Arial" w:eastAsia="Arial" w:hAnsi="Arial"/>
          <w:b/>
          <w:bCs/>
          <w:i w:val="false"/>
          <w:iCs w:val="false"/>
          <w:color w:val="333333"/>
          <w:sz w:val="22"/>
          <w:szCs w:val="22"/>
        </w:rPr>
        <w:t xml:space="preserve">Revenue Model: </w:t>
      </w:r>
      <w:r>
        <w:rPr>
          <w:rFonts w:ascii="Arial" w:cs="Arial" w:eastAsia="Arial" w:hAnsi="Arial"/>
          <w:b w:val="false"/>
          <w:bCs w:val="false"/>
          <w:i w:val="false"/>
          <w:iCs w:val="false"/>
          <w:color w:val="333333"/>
          <w:sz w:val="22"/>
          <w:szCs w:val="22"/>
        </w:rPr>
        <w:t xml:space="preserve">Software licensing, SaaS, platform fees, or software-hardware bundles sold to defense/government customers. Revenue comes from IP licensing, software subscriptions, or platform access fees — not from labor + materials, physical construction, or equipment manufacturing. The software is the primary value driver even when bundled with hardware.</w:t>
      </w:r>
    </w:p>
    <w:p>
      <w:pPr>
        <w:pStyle w:val="ListParagraph"/>
        <w:numPr>
          <w:ilvl w:val="0"/>
          <w:numId w:val="3"/>
        </w:numPr>
        <w:spacing w:after="140"/>
      </w:pPr>
      <w:r>
        <w:rPr>
          <w:rFonts w:ascii="Arial" w:cs="Arial" w:eastAsia="Arial" w:hAnsi="Arial"/>
          <w:b/>
          <w:bCs/>
          <w:i w:val="false"/>
          <w:iCs w:val="false"/>
          <w:color w:val="333333"/>
          <w:sz w:val="22"/>
          <w:szCs w:val="22"/>
        </w:rPr>
        <w:t xml:space="preserve">Key Asset: </w:t>
      </w:r>
      <w:r>
        <w:rPr>
          <w:rFonts w:ascii="Arial" w:cs="Arial" w:eastAsia="Arial" w:hAnsi="Arial"/>
          <w:b w:val="false"/>
          <w:bCs w:val="false"/>
          <w:i w:val="false"/>
          <w:iCs w:val="false"/>
          <w:color w:val="333333"/>
          <w:sz w:val="22"/>
          <w:szCs w:val="22"/>
        </w:rPr>
        <w:t xml:space="preserve">Proprietary IP, algorithms, and combat/field-proven technology. The company’s most valuable asset is the software and the data generated by its deployment. The workforce matters (AI/ML engineers are scarce) but the moat resides in the technology, not the headcount.</w:t>
      </w:r>
    </w:p>
    <w:p>
      <w:pPr>
        <w:pStyle w:val="ListParagraph"/>
        <w:numPr>
          <w:ilvl w:val="0"/>
          <w:numId w:val="3"/>
        </w:numPr>
        <w:spacing w:after="140"/>
      </w:pPr>
      <w:r>
        <w:rPr>
          <w:rFonts w:ascii="Arial" w:cs="Arial" w:eastAsia="Arial" w:hAnsi="Arial"/>
          <w:b/>
          <w:bCs/>
          <w:i w:val="false"/>
          <w:iCs w:val="false"/>
          <w:color w:val="333333"/>
          <w:sz w:val="22"/>
          <w:szCs w:val="22"/>
        </w:rPr>
        <w:t xml:space="preserve">Stage: </w:t>
      </w:r>
      <w:r>
        <w:rPr>
          <w:rFonts w:ascii="Arial" w:cs="Arial" w:eastAsia="Arial" w:hAnsi="Arial"/>
          <w:b w:val="false"/>
          <w:bCs w:val="false"/>
          <w:i w:val="false"/>
          <w:iCs w:val="false"/>
          <w:color w:val="333333"/>
          <w:sz w:val="22"/>
          <w:szCs w:val="22"/>
        </w:rPr>
        <w:t xml:space="preserve">Pre-revenue to early-revenue ($0–$100M ARR). Traditional profitability metrics (ROIC, EVA, ROIIC) are not yet meaningful. The framework evaluates trajectory, pipeline credibility, and unit economics potential rather than current financial returns.</w:t>
      </w:r>
    </w:p>
    <w:p>
      <w:pPr>
        <w:pStyle w:val="ListParagraph"/>
        <w:numPr>
          <w:ilvl w:val="0"/>
          <w:numId w:val="3"/>
        </w:numPr>
        <w:spacing w:after="140"/>
      </w:pPr>
      <w:r>
        <w:rPr>
          <w:rFonts w:ascii="Arial" w:cs="Arial" w:eastAsia="Arial" w:hAnsi="Arial"/>
          <w:b/>
          <w:bCs/>
          <w:i w:val="false"/>
          <w:iCs w:val="false"/>
          <w:color w:val="333333"/>
          <w:sz w:val="22"/>
          <w:szCs w:val="22"/>
        </w:rPr>
        <w:t xml:space="preserve">Barrier Type: </w:t>
      </w:r>
      <w:r>
        <w:rPr>
          <w:rFonts w:ascii="Arial" w:cs="Arial" w:eastAsia="Arial" w:hAnsi="Arial"/>
          <w:b w:val="false"/>
          <w:bCs w:val="false"/>
          <w:i w:val="false"/>
          <w:iCs w:val="false"/>
          <w:color w:val="333333"/>
          <w:sz w:val="22"/>
          <w:szCs w:val="22"/>
        </w:rPr>
        <w:t xml:space="preserve">Security clearances, ITAR/export controls, combat-proven track record, classified program access, and/or FedRAMP authorization. These barriers take years to build and cannot be purchased or fast-tracked. They create a structural moat distinct from licensing barriers in infrastructure services.</w:t>
      </w:r>
    </w:p>
    <w:p>
      <w:pPr>
        <w:pStyle w:val="ListParagraph"/>
        <w:numPr>
          <w:ilvl w:val="0"/>
          <w:numId w:val="3"/>
        </w:numPr>
        <w:spacing w:after="200"/>
      </w:pPr>
      <w:r>
        <w:rPr>
          <w:rFonts w:ascii="Arial" w:cs="Arial" w:eastAsia="Arial" w:hAnsi="Arial"/>
          <w:b/>
          <w:bCs/>
          <w:i w:val="false"/>
          <w:iCs w:val="false"/>
          <w:color w:val="333333"/>
          <w:sz w:val="22"/>
          <w:szCs w:val="22"/>
        </w:rPr>
        <w:t xml:space="preserve">End Market: </w:t>
      </w:r>
      <w:r>
        <w:rPr>
          <w:rFonts w:ascii="Arial" w:cs="Arial" w:eastAsia="Arial" w:hAnsi="Arial"/>
          <w:b w:val="false"/>
          <w:bCs w:val="false"/>
          <w:i w:val="false"/>
          <w:iCs w:val="false"/>
          <w:color w:val="333333"/>
          <w:sz w:val="22"/>
          <w:szCs w:val="22"/>
        </w:rPr>
        <w:t xml:space="preserve">Department of Defense, Five Eyes allies, NATO partners, allied defense ministries, and/or intelligence community. TAM is driven by defense budget allocation shifts toward autonomous systems, AI, and software-defined warfare.</w:t>
      </w:r>
    </w:p>
    <w:p>
      <w:pPr>
        <w:spacing w:after="200"/>
      </w:pPr>
      <w:r>
        <w:rPr>
          <w:rFonts w:ascii="Arial" w:cs="Arial" w:eastAsia="Arial" w:hAnsi="Arial"/>
          <w:b/>
          <w:bCs/>
          <w:i w:val="false"/>
          <w:iCs w:val="false"/>
          <w:color w:val="333333"/>
          <w:sz w:val="22"/>
          <w:szCs w:val="22"/>
        </w:rPr>
        <w:t xml:space="preserve">Examples of companies this framework is designed for: </w:t>
      </w:r>
      <w:r>
        <w:rPr>
          <w:rFonts w:ascii="Arial" w:cs="Arial" w:eastAsia="Arial" w:hAnsi="Arial"/>
          <w:b w:val="false"/>
          <w:bCs w:val="false"/>
          <w:i w:val="false"/>
          <w:iCs w:val="false"/>
          <w:color w:val="333333"/>
          <w:sz w:val="22"/>
          <w:szCs w:val="22"/>
        </w:rPr>
        <w:t xml:space="preserve">Swarmer (SWMR), early-stage Palantir (PLTR at IPO), Anduril (pre-IPO), Shield AI (pre-IPO), Kratos Defense (KTOS at &lt;$500M revenue), AeroVironment (AVAV in early growth phase), Joby Aviation (JOBY for defense applications), Saronic Technologies (pre-IPO), Skydio (pre-IPO for defense segment).</w:t>
      </w:r>
    </w:p>
    <w:p>
      <w:pPr>
        <w:spacing w:after="200"/>
      </w:pPr>
      <w:r>
        <w:rPr>
          <w:rFonts w:ascii="Arial" w:cs="Arial" w:eastAsia="Arial" w:hAnsi="Arial"/>
          <w:b/>
          <w:bCs/>
          <w:i w:val="false"/>
          <w:iCs w:val="false"/>
          <w:color w:val="333333"/>
          <w:sz w:val="22"/>
          <w:szCs w:val="22"/>
        </w:rPr>
        <w:t xml:space="preserve">Companies this framework is NOT designed for: </w:t>
      </w:r>
      <w:r>
        <w:rPr>
          <w:rFonts w:ascii="Arial" w:cs="Arial" w:eastAsia="Arial" w:hAnsi="Arial"/>
          <w:b w:val="false"/>
          <w:bCs w:val="false"/>
          <w:i w:val="false"/>
          <w:iCs w:val="false"/>
          <w:color w:val="333333"/>
          <w:sz w:val="22"/>
          <w:szCs w:val="22"/>
        </w:rPr>
        <w:t xml:space="preserve">Large prime contractors (LMT, RTX, NOC, GD) — these are mature, profitable, dividend-paying businesses requiring a different framework. Infrastructure services companies (EME, FIX, PWR, PRIM) — use the Infrastructure Services Compounder Framework. Pure hardware/equipment manufacturers (AXON body cameras, drone airframe-only companies) without meaningful software moats. Commercial SaaS companies without defense-specific barriers.</w:t>
      </w:r>
    </w:p>
    <w:p>
      <w:r>
        <w:br w:type="page"/>
      </w:r>
    </w:p>
    <w:p>
      <w:pPr>
        <w:pStyle w:val="Heading1"/>
      </w:pPr>
      <w:r>
        <w:t xml:space="preserve">III. CLASSIFICATION THRESHOLDS</w:t>
      </w:r>
    </w:p>
    <w:p>
      <w:pPr>
        <w:spacing w:after="200"/>
      </w:pPr>
      <w:r>
        <w:rPr>
          <w:rFonts w:ascii="Arial" w:cs="Arial" w:eastAsia="Arial" w:hAnsi="Arial"/>
          <w:b w:val="false"/>
          <w:bCs w:val="false"/>
          <w:i w:val="false"/>
          <w:iCs w:val="false"/>
          <w:color w:val="333333"/>
          <w:sz w:val="22"/>
          <w:szCs w:val="22"/>
        </w:rPr>
        <w:t xml:space="preserve">Companies are classified into four tiers based on the Raw Composite Score AND a Pipeline Credibility gate. BOTH conditions must be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Composite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Pipeline Gate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E7D32"/>
                <w:sz w:val="20"/>
                <w:szCs w:val="20"/>
              </w:rPr>
              <w:t xml:space="preserve">Defense Tech Compounder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 7.5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Firm contracts ≥ 3x trailing revenue AND ≥ 2 distinct customers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Highest conviction. Position size 3–5% of portfolio.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E75B6"/>
                <w:sz w:val="20"/>
                <w:szCs w:val="20"/>
              </w:rPr>
              <w:t xml:space="preserve">Growth-Stage Contender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5.5 – 7.4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Firm contracts ≥ 1.5x trailing revenue OR credible pipeline ≥ 5x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Speculative growth position. 1–2% of portfolio.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FF8C00"/>
                <w:sz w:val="20"/>
                <w:szCs w:val="20"/>
              </w:rPr>
              <w:t xml:space="preserve">Narrative-Stage Venture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3.0 – 5.4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Pipeline exists but unproven conversion; single-customer dependency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Venture-scale risk. 0.5–1% max. Requires catalyst.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C00000"/>
                <w:sz w:val="20"/>
                <w:szCs w:val="20"/>
              </w:rPr>
              <w:t xml:space="preserve">Hype Trap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&lt; 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 firm contracts; technology unproven in field; or management credibility issues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Avoid. No position regardless of narrative momentum.</w:t>
            </w:r>
          </w:p>
        </w:tc>
      </w:tr>
    </w:tbl>
    <w:p>
      <w:pPr>
        <w:spacing w:after="100"/>
      </w:pPr>
      <w:r>
        <w:rPr>
          <w:rFonts w:ascii="Arial" w:cs="Arial" w:eastAsia="Arial" w:hAnsi="Arial"/>
          <w:b w:val="false"/>
          <w:bCs w:val="false"/>
          <w:i w:val="false"/>
          <w:iCs w:val="false"/>
          <w:color w:val="333333"/>
          <w:sz w:val="22"/>
          <w:szCs w:val="22"/>
        </w:rPr>
        <w:t xml:space="preserve"/>
      </w:r>
    </w:p>
    <w:p>
      <w:pPr>
        <w:spacing w:after="200"/>
      </w:pPr>
      <w:r>
        <w:rPr>
          <w:rFonts w:ascii="Arial" w:cs="Arial" w:eastAsia="Arial" w:hAnsi="Arial"/>
          <w:b/>
          <w:bCs/>
          <w:i w:val="false"/>
          <w:iCs w:val="false"/>
          <w:color w:val="333333"/>
          <w:sz w:val="22"/>
          <w:szCs w:val="22"/>
        </w:rPr>
        <w:t xml:space="preserve">Override Rule: </w:t>
      </w:r>
      <w:r>
        <w:rPr>
          <w:rFonts w:ascii="Arial" w:cs="Arial" w:eastAsia="Arial" w:hAnsi="Arial"/>
          <w:b w:val="false"/>
          <w:bCs w:val="false"/>
          <w:i w:val="false"/>
          <w:iCs w:val="false"/>
          <w:color w:val="333333"/>
          <w:sz w:val="22"/>
          <w:szCs w:val="22"/>
        </w:rPr>
        <w:t xml:space="preserve">If Raw Composite is ≥ 7.5 but the company has only ONE customer generating &gt;80% of pipeline, classify as Growth-Stage Contender (not Defense Tech Compounder). Pipeline diversity must confirm the moat breadth. A high score with single-customer dependency suggests the technology advantage may be narrower or more geographically specific than it appears.</w:t>
      </w:r>
    </w:p>
    <w:p>
      <w:pPr>
        <w:spacing w:after="200"/>
      </w:pPr>
      <w:r>
        <w:rPr>
          <w:rFonts w:ascii="Arial" w:cs="Arial" w:eastAsia="Arial" w:hAnsi="Arial"/>
          <w:b/>
          <w:bCs/>
          <w:i w:val="false"/>
          <w:iCs w:val="false"/>
          <w:color w:val="333333"/>
          <w:sz w:val="22"/>
          <w:szCs w:val="22"/>
        </w:rPr>
        <w:t xml:space="preserve">Promotion Rule: </w:t>
      </w:r>
      <w:r>
        <w:rPr>
          <w:rFonts w:ascii="Arial" w:cs="Arial" w:eastAsia="Arial" w:hAnsi="Arial"/>
          <w:b w:val="false"/>
          <w:bCs w:val="false"/>
          <w:i w:val="false"/>
          <w:iCs w:val="false"/>
          <w:color w:val="333333"/>
          <w:sz w:val="22"/>
          <w:szCs w:val="22"/>
        </w:rPr>
        <w:t xml:space="preserve">If a company classified as Growth-Stage Contender wins a second major customer (&gt;20% of pipeline) AND achieves &gt;100% revenue growth for 2 consecutive quarters AND Raw Composite remains ≥ 7.5, it should be re-assessed for promotion to Defense Tech Compounder. This captures companies whose moats are WIDENING through commercialization.</w:t>
      </w:r>
    </w:p>
    <w:p>
      <w:r>
        <w:br w:type="page"/>
      </w:r>
    </w:p>
    <w:p>
      <w:pPr>
        <w:pStyle w:val="Heading1"/>
      </w:pPr>
      <w:r>
        <w:t xml:space="preserve">IV. STAGE 1: TECHNOLOGY MOAT INDEX (TMI) PRE-SCREEN</w:t>
      </w:r>
    </w:p>
    <w:p>
      <w:pPr>
        <w:spacing w:after="200"/>
      </w:pPr>
      <w:r>
        <w:rPr>
          <w:rFonts w:ascii="Arial" w:cs="Arial" w:eastAsia="Arial" w:hAnsi="Arial"/>
          <w:b w:val="false"/>
          <w:bCs w:val="false"/>
          <w:i w:val="false"/>
          <w:iCs w:val="false"/>
          <w:color w:val="333333"/>
          <w:sz w:val="22"/>
          <w:szCs w:val="22"/>
        </w:rPr>
        <w:t xml:space="preserve">The Technology Moat Index assesses the durability and depth of the company’s competitive advantage rooted in its intellectual property, field validation, and regulatory barriers. In defense technology, the moat IS the technology and the barriers protecting it. The TMI tests whether the company has structural advantages that competitors cannot replicate within a normal investment horizon (3–5 years).</w:t>
      </w:r>
    </w:p>
    <w:p>
      <w:pPr>
        <w:pStyle w:val="Heading2"/>
      </w:pPr>
      <w:r>
        <w:t xml:space="preserve">Purpose</w:t>
      </w:r>
    </w:p>
    <w:p>
      <w:pPr>
        <w:spacing w:after="200"/>
      </w:pPr>
      <w:r>
        <w:rPr>
          <w:rFonts w:ascii="Arial" w:cs="Arial" w:eastAsia="Arial" w:hAnsi="Arial"/>
          <w:b w:val="false"/>
          <w:bCs w:val="false"/>
          <w:i w:val="false"/>
          <w:iCs w:val="false"/>
          <w:color w:val="333333"/>
          <w:sz w:val="22"/>
          <w:szCs w:val="22"/>
        </w:rPr>
        <w:t xml:space="preserve">The TMI is a qualitative pre-screen that establishes confidence BEFORE scoring the quantitative Value Creation Engine. A company with a weak technology moat cannot sustain a competitive position regardless of current pipeline metrics. The TMI catches companies that may have exciting narratives but lack defensible technology advantages.</w:t>
      </w:r>
    </w:p>
    <w:p>
      <w:pPr>
        <w:pStyle w:val="Heading2"/>
      </w:pPr>
      <w:r>
        <w:t xml:space="preserve">7-Moat Assessment</w:t>
      </w:r>
    </w:p>
    <w:p>
      <w:pPr>
        <w:spacing w:after="200"/>
      </w:pPr>
      <w:r>
        <w:rPr>
          <w:rFonts w:ascii="Arial" w:cs="Arial" w:eastAsia="Arial" w:hAnsi="Arial"/>
          <w:b w:val="false"/>
          <w:bCs w:val="false"/>
          <w:i w:val="false"/>
          <w:iCs w:val="false"/>
          <w:color w:val="333333"/>
          <w:sz w:val="22"/>
          <w:szCs w:val="22"/>
        </w:rPr>
        <w:t xml:space="preserve">Score each moat as Strong, Moderate, or Weak based on evidence. Require specific, sourced evidence for each rating — no aspirational or generic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Moat Dimension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Strong (2 pts)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Moderate (1 pt)</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Weak (0 pts)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1. Combat/Field Proof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Technology deployed in active combat or operational theater with measurable results (kill chains, missions completed, reliability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Successful testing in realistic exercises or allied partner trials; limited operational deployment.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Lab/simulation only; no real-world deployment data; or demo-stage technology.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2. Data Flywheel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Each deployment generates proprietary data that measurably improves algorithms. Competitors cannot replicate without equivalent field time (&gt;1 year advantage).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Some data accumulation but unclear whether it creates a durable advantage. Data moat may be replicable with sufficient funding.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 meaningful data accumulation from deployment; algorithms trained on public/synthetic data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3. Platform Lock-in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Software embedded in 3+ OEM platforms with documented integration effort &gt;6 months. Switching cost is prohibitive mid-program.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1–2 OEM integrations; switching cost exists but is manageable (3–6 months).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 platform integration; standalone tool with low switching cost; easily replaceable by competitor.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4. Regulatory Moat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Holds Top Secret/SCI clearances, ITAR registration, FedRAMP authorization, or classified program access. Replication time &gt;3 years.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Basic security clearances held; ITAR-registered but no classified access; regulatory compliance in progress.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 meaningful regulatory barriers; commercial-only technology; or clearances easily obtainable.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5. Alliance Network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Active relationships with 2+ prime contractors AND at least 1 direct DoD program office. Participates in OTAs or DIU programs.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 prime relationship or 1 DoD touchpoint; early-stage engagement with defense ecosystem.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 defense industry relationships; cold-calling stage; no ecosystem presence.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6. Technical Talent Depth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Key technical team has 3+ AI/ML PhDs or equivalent; low key-person risk (no single point of failure); strong recruiting pipeline from top programs.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Competent technical team but 1–2 key-person dependencies; adequate but not exceptional talent pipeline.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Thin technical team; critical key-person risk; difficulty recruiting; founder-dependent for core 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7. Iteration Speed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Demonstrated ability to deploy software updates to field units in days/weeks. Agile development process with CI/CD for defense. OODA loop advantage documented.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Moderate iteration speed (monthly updates); some bureaucratic friction but faster than traditional primes.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Slow iteration (quarterly or slower); waterfall development; updates require lengthy re-certification.</w:t>
            </w:r>
          </w:p>
        </w:tc>
      </w:tr>
    </w:tbl>
    <w:p>
      <w:pPr>
        <w:pStyle w:val="Heading2"/>
      </w:pPr>
      <w:r>
        <w:t xml:space="preserve">TMI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12–14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E7D32"/>
                <w:sz w:val="20"/>
                <w:szCs w:val="20"/>
              </w:rPr>
              <w:t xml:space="preserve">FORTRESS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Proceed to VCE scoring with high confidence. This technology moat is exceptionally durable.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9–11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E75B6"/>
                <w:sz w:val="20"/>
                <w:szCs w:val="20"/>
              </w:rPr>
              <w:t xml:space="preserve">SOLID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Proceed to VCE scoring with moderate confidence. Monitor weak dimensions for deterioration.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5–8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FF8C00"/>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Proceed with caution. Must achieve VCE ≥ 6.0 to remain investable. Flag weak dimensions as kill-switch triggers.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0–4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C00000"/>
                <w:sz w:val="20"/>
                <w:szCs w:val="20"/>
              </w:rPr>
              <w:t xml:space="preserve">WEAK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STOP. Do not proceed to VCE scoring. The technology moat is insufficient to justify the risk of a pre-revenue defense investment. Classify as Hype Trap.</w:t>
            </w:r>
          </w:p>
        </w:tc>
      </w:tr>
    </w:tbl>
    <w:p>
      <w:pPr>
        <w:spacing w:after="100"/>
      </w:pPr>
      <w:r>
        <w:rPr>
          <w:rFonts w:ascii="Arial" w:cs="Arial" w:eastAsia="Arial" w:hAnsi="Arial"/>
          <w:b w:val="false"/>
          <w:bCs w:val="false"/>
          <w:i w:val="false"/>
          <w:iCs w:val="false"/>
          <w:color w:val="333333"/>
          <w:sz w:val="22"/>
          <w:szCs w:val="22"/>
        </w:rPr>
        <w:t xml:space="preserve"/>
      </w:r>
    </w:p>
    <w:p>
      <w:pPr>
        <w:spacing w:after="200"/>
      </w:pPr>
      <w:r>
        <w:rPr>
          <w:rFonts w:ascii="Arial" w:cs="Arial" w:eastAsia="Arial" w:hAnsi="Arial"/>
          <w:b/>
          <w:bCs/>
          <w:i/>
          <w:iCs/>
          <w:color w:val="333333"/>
          <w:sz w:val="22"/>
          <w:szCs w:val="22"/>
        </w:rPr>
        <w:t xml:space="preserve">TMI Summary Table (fill in per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Moat Dimension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 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 Combat/Field Proof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[Strong / Moderate / Weak]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[0 / 1 /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 Data Flywheel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[Strong / Moderate / Weak]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[0 / 1 /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 Platform Lock-in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[Strong / Moderate / Weak]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[0 / 1 /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 Regulatory Moat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[Strong / Moderate / Weak]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[0 / 1 /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 Alliance Network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[Strong / Moderate / Weak]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[0 / 1 /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 Technical Talent Depth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[Strong / Moderate / Weak]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[0 / 1 /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7. Iteration Speed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[Strong / Moderate / Weak]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[0 / 1 /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TOTAL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   ] / 14</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TMI CLASSIFICATION</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iCs/>
                <w:color w:val="666666"/>
                <w:sz w:val="22"/>
                <w:szCs w:val="22"/>
              </w:rPr>
              <w:t xml:space="preserve">[FORTRESS / SOLID / PARTIAL / WEAK]</w:t>
            </w:r>
          </w:p>
        </w:tc>
      </w:tr>
    </w:tbl>
    <w:p>
      <w:r>
        <w:br w:type="page"/>
      </w:r>
    </w:p>
    <w:p>
      <w:pPr>
        <w:pStyle w:val="Heading1"/>
      </w:pPr>
      <w:r>
        <w:t xml:space="preserve">V. STAGE 2: VALUE CREATION ENGINE (VCE) — FOUR-DIMENSION SCORING</w:t>
      </w:r>
    </w:p>
    <w:p>
      <w:pPr>
        <w:spacing w:after="200"/>
      </w:pPr>
      <w:r>
        <w:rPr>
          <w:rFonts w:ascii="Arial" w:cs="Arial" w:eastAsia="Arial" w:hAnsi="Arial"/>
          <w:b w:val="false"/>
          <w:bCs w:val="false"/>
          <w:i w:val="false"/>
          <w:iCs w:val="false"/>
          <w:color w:val="333333"/>
          <w:sz w:val="22"/>
          <w:szCs w:val="22"/>
        </w:rPr>
        <w:t xml:space="preserve">Stage 2 scores the company across four dimensions that together measure whether the technology moat translates into a credible path to durable economic value creation. Each dimension is scored 1–10 with specific evidence required. The weights are equal (25% each) reflecting the balanced importance of pipeline proof, economics, market opportunity, and capital discipline for pre-revenue defense companies.</w:t>
      </w:r>
    </w:p>
    <w:p>
      <w:pPr>
        <w:pStyle w:val="Heading2"/>
      </w:pPr>
      <w:r>
        <w:t xml:space="preserve">DIMENSION 1: PIPELINE CREDIBILITY (25% Weight)</w:t>
      </w:r>
    </w:p>
    <w:p>
      <w:pPr>
        <w:spacing w:after="200"/>
      </w:pPr>
      <w:r>
        <w:rPr>
          <w:rFonts w:ascii="Arial" w:cs="Arial" w:eastAsia="Arial" w:hAnsi="Arial"/>
          <w:b w:val="false"/>
          <w:bCs w:val="false"/>
          <w:i w:val="false"/>
          <w:iCs w:val="false"/>
          <w:color w:val="333333"/>
          <w:sz w:val="22"/>
          <w:szCs w:val="22"/>
        </w:rPr>
        <w:t xml:space="preserve">Measures the quality, diversity, and conversion probability of the company’s revenue pipeline. For pre-revenue defense companies, pipeline credibility is the closest proxy for Revenue Durability in the Infrastructure framework. The question is not “how predictable is existing revenue” but “how likely is the pipeline to become real, recurring revenue.”</w:t>
      </w:r>
    </w:p>
    <w:p>
      <w:pPr>
        <w:pStyle w:val="Heading3"/>
      </w:pPr>
      <w:r>
        <w:t xml:space="preserve">Key Metrics to Assess</w:t>
      </w:r>
    </w:p>
    <w:p>
      <w:pPr>
        <w:pStyle w:val="ListParagraph"/>
        <w:numPr>
          <w:ilvl w:val="0"/>
          <w:numId w:val="2"/>
        </w:numPr>
      </w:pPr>
      <w:r>
        <w:rPr>
          <w:rFonts w:ascii="Arial" w:cs="Arial" w:eastAsia="Arial" w:hAnsi="Arial"/>
          <w:b/>
          <w:bCs/>
          <w:i w:val="false"/>
          <w:iCs w:val="false"/>
          <w:color w:val="333333"/>
          <w:sz w:val="22"/>
          <w:szCs w:val="22"/>
        </w:rPr>
        <w:t xml:space="preserve">Firm Contracts vs. MOUs: </w:t>
      </w:r>
      <w:r>
        <w:rPr>
          <w:rFonts w:ascii="Arial" w:cs="Arial" w:eastAsia="Arial" w:hAnsi="Arial"/>
          <w:b w:val="false"/>
          <w:bCs w:val="false"/>
          <w:i w:val="false"/>
          <w:iCs w:val="false"/>
          <w:color w:val="333333"/>
          <w:sz w:val="22"/>
          <w:szCs w:val="22"/>
        </w:rPr>
        <w:t xml:space="preserve">Legally binding committed revenue vs. non-binding memoranda of understanding. Ratio of firm:MOU is critical — a pipeline that is 80% MOUs is fundamentally different from one that is 80% firm contracts.</w:t>
      </w:r>
    </w:p>
    <w:p>
      <w:pPr>
        <w:pStyle w:val="ListParagraph"/>
        <w:numPr>
          <w:ilvl w:val="0"/>
          <w:numId w:val="2"/>
        </w:numPr>
      </w:pPr>
      <w:r>
        <w:rPr>
          <w:rFonts w:ascii="Arial" w:cs="Arial" w:eastAsia="Arial" w:hAnsi="Arial"/>
          <w:b/>
          <w:bCs/>
          <w:i w:val="false"/>
          <w:iCs w:val="false"/>
          <w:color w:val="333333"/>
          <w:sz w:val="22"/>
          <w:szCs w:val="22"/>
        </w:rPr>
        <w:t xml:space="preserve">Contract Backlog / Trailing Revenue: </w:t>
      </w:r>
      <w:r>
        <w:rPr>
          <w:rFonts w:ascii="Arial" w:cs="Arial" w:eastAsia="Arial" w:hAnsi="Arial"/>
          <w:b w:val="false"/>
          <w:bCs w:val="false"/>
          <w:i w:val="false"/>
          <w:iCs w:val="false"/>
          <w:color w:val="333333"/>
          <w:sz w:val="22"/>
          <w:szCs w:val="22"/>
        </w:rPr>
        <w:t xml:space="preserve">For pre-revenue companies, use signed firm contracts / last 12 months revenue. Above 10x = strong forward visibility. 3–10x = moderate. Below 3x = weak (the pipeline doesn’t materially change the current trajectory).</w:t>
      </w:r>
    </w:p>
    <w:p>
      <w:pPr>
        <w:pStyle w:val="ListParagraph"/>
        <w:numPr>
          <w:ilvl w:val="0"/>
          <w:numId w:val="2"/>
        </w:numPr>
      </w:pPr>
      <w:r>
        <w:rPr>
          <w:rFonts w:ascii="Arial" w:cs="Arial" w:eastAsia="Arial" w:hAnsi="Arial"/>
          <w:b/>
          <w:bCs/>
          <w:i w:val="false"/>
          <w:iCs w:val="false"/>
          <w:color w:val="333333"/>
          <w:sz w:val="22"/>
          <w:szCs w:val="22"/>
        </w:rPr>
        <w:t xml:space="preserve">Customer Concentration: </w:t>
      </w:r>
      <w:r>
        <w:rPr>
          <w:rFonts w:ascii="Arial" w:cs="Arial" w:eastAsia="Arial" w:hAnsi="Arial"/>
          <w:b w:val="false"/>
          <w:bCs w:val="false"/>
          <w:i w:val="false"/>
          <w:iCs w:val="false"/>
          <w:color w:val="333333"/>
          <w:sz w:val="22"/>
          <w:szCs w:val="22"/>
        </w:rPr>
        <w:t xml:space="preserve">Number of distinct customers (not contracts) in the pipeline. 1 customer = extreme concentration risk regardless of pipeline size. 2–3 = moderate. 4+ = well-diversified for this stage.</w:t>
      </w:r>
    </w:p>
    <w:p>
      <w:pPr>
        <w:pStyle w:val="ListParagraph"/>
        <w:numPr>
          <w:ilvl w:val="0"/>
          <w:numId w:val="2"/>
        </w:numPr>
      </w:pPr>
      <w:r>
        <w:rPr>
          <w:rFonts w:ascii="Arial" w:cs="Arial" w:eastAsia="Arial" w:hAnsi="Arial"/>
          <w:b/>
          <w:bCs/>
          <w:i w:val="false"/>
          <w:iCs w:val="false"/>
          <w:color w:val="333333"/>
          <w:sz w:val="22"/>
          <w:szCs w:val="22"/>
        </w:rPr>
        <w:t xml:space="preserve">Geographic Diversification: </w:t>
      </w:r>
      <w:r>
        <w:rPr>
          <w:rFonts w:ascii="Arial" w:cs="Arial" w:eastAsia="Arial" w:hAnsi="Arial"/>
          <w:b w:val="false"/>
          <w:bCs w:val="false"/>
          <w:i w:val="false"/>
          <w:iCs w:val="false"/>
          <w:color w:val="333333"/>
          <w:sz w:val="22"/>
          <w:szCs w:val="22"/>
        </w:rPr>
        <w:t xml:space="preserve">Revenue/pipeline across multiple countries or theaters of operation. Single-country dependency (e.g., 100% Ukraine) = existential geopolitical risk.</w:t>
      </w:r>
    </w:p>
    <w:p>
      <w:pPr>
        <w:pStyle w:val="ListParagraph"/>
        <w:numPr>
          <w:ilvl w:val="0"/>
          <w:numId w:val="2"/>
        </w:numPr>
      </w:pPr>
      <w:r>
        <w:rPr>
          <w:rFonts w:ascii="Arial" w:cs="Arial" w:eastAsia="Arial" w:hAnsi="Arial"/>
          <w:b/>
          <w:bCs/>
          <w:i w:val="false"/>
          <w:iCs w:val="false"/>
          <w:color w:val="333333"/>
          <w:sz w:val="22"/>
          <w:szCs w:val="22"/>
        </w:rPr>
        <w:t xml:space="preserve">Contract Type: </w:t>
      </w:r>
      <w:r>
        <w:rPr>
          <w:rFonts w:ascii="Arial" w:cs="Arial" w:eastAsia="Arial" w:hAnsi="Arial"/>
          <w:b w:val="false"/>
          <w:bCs w:val="false"/>
          <w:i w:val="false"/>
          <w:iCs w:val="false"/>
          <w:color w:val="333333"/>
          <w:sz w:val="22"/>
          <w:szCs w:val="22"/>
        </w:rPr>
        <w:t xml:space="preserve">Software licensing (recurring) vs. one-time integration fees vs. per-mission pricing. Recurring software licensing is the gold standard for compounding.</w:t>
      </w:r>
    </w:p>
    <w:p>
      <w:pPr>
        <w:pStyle w:val="Heading3"/>
      </w:pPr>
      <w:r>
        <w:t xml:space="preserve">D1 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7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9–10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Firm contracts ≥ 5x trailing revenue from 3+ customers across 2+ geographies. Recurring software licensing model. Contract terms &gt;24 months. Revenue recognition timeline is clear and near-term.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7–8</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Firm contracts ≥ 3x trailing revenue from 2+ customers. Primarily recurring licensing. Some geographic diversification. Revenue recognition within 12 months.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5–6</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Mix of firm contracts and MOUs totaling ≥ 3x trailing revenue. 1–2 customers. Single geography but expansion plans articulated. Revenue timing uncertain.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3–4</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Pipeline primarily MOUs or LOIs. Single customer dependency. Revenue recognition timeline unclear or &gt;18 months out. Geographic concentration risk.</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1–2</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 firm contracts. Pipeline consists of conversations, demos, or aspirational partnerships. No committed revenue beyond current run rate.</w:t>
            </w:r>
          </w:p>
        </w:tc>
      </w:tr>
    </w:tbl>
    <w:p>
      <w:r>
        <w:br w:type="page"/>
      </w:r>
    </w:p>
    <w:p>
      <w:pPr>
        <w:pStyle w:val="Heading2"/>
      </w:pPr>
      <w:r>
        <w:t xml:space="preserve">DIMENSION 2: UNIT ECONOMICS TRAJECTORY (25% Weight)</w:t>
      </w:r>
    </w:p>
    <w:p>
      <w:pPr>
        <w:spacing w:after="200"/>
      </w:pPr>
      <w:r>
        <w:rPr>
          <w:rFonts w:ascii="Arial" w:cs="Arial" w:eastAsia="Arial" w:hAnsi="Arial"/>
          <w:b w:val="false"/>
          <w:bCs w:val="false"/>
          <w:i w:val="false"/>
          <w:iCs w:val="false"/>
          <w:color w:val="333333"/>
          <w:sz w:val="22"/>
          <w:szCs w:val="22"/>
        </w:rPr>
        <w:t xml:space="preserve">Measures the projected profitability structure of the business once it reaches meaningful scale. For pre-revenue companies, current margins are meaningless — the question is whether the business model can achieve attractive unit economics as revenue scales. This dimension requires both analysis of the theoretical margin structure AND evidence from early contracts that supports the projection.</w:t>
      </w:r>
    </w:p>
    <w:p>
      <w:pPr>
        <w:pStyle w:val="Heading3"/>
      </w:pPr>
      <w:r>
        <w:t xml:space="preserve">Key Metrics to Assess</w:t>
      </w:r>
    </w:p>
    <w:p>
      <w:pPr>
        <w:pStyle w:val="ListParagraph"/>
        <w:numPr>
          <w:ilvl w:val="0"/>
          <w:numId w:val="2"/>
        </w:numPr>
      </w:pPr>
      <w:r>
        <w:rPr>
          <w:rFonts w:ascii="Arial" w:cs="Arial" w:eastAsia="Arial" w:hAnsi="Arial"/>
          <w:b/>
          <w:bCs/>
          <w:i w:val="false"/>
          <w:iCs w:val="false"/>
          <w:color w:val="333333"/>
          <w:sz w:val="22"/>
          <w:szCs w:val="22"/>
        </w:rPr>
        <w:t xml:space="preserve">Gross Margin at Scale (Projected): </w:t>
      </w:r>
      <w:r>
        <w:rPr>
          <w:rFonts w:ascii="Arial" w:cs="Arial" w:eastAsia="Arial" w:hAnsi="Arial"/>
          <w:b w:val="false"/>
          <w:bCs w:val="false"/>
          <w:i w:val="false"/>
          <w:iCs w:val="false"/>
          <w:color w:val="333333"/>
          <w:sz w:val="22"/>
          <w:szCs w:val="22"/>
        </w:rPr>
        <w:t xml:space="preserve">Software-first defense companies should target 60–80%+ gross margins. If the model requires significant hardware integration, professional services, or field support, margins will be lower (40–60%). Below 40% suggests the company is not truly software-first.</w:t>
      </w:r>
    </w:p>
    <w:p>
      <w:pPr>
        <w:pStyle w:val="ListParagraph"/>
        <w:numPr>
          <w:ilvl w:val="0"/>
          <w:numId w:val="2"/>
        </w:numPr>
      </w:pPr>
      <w:r>
        <w:rPr>
          <w:rFonts w:ascii="Arial" w:cs="Arial" w:eastAsia="Arial" w:hAnsi="Arial"/>
          <w:b/>
          <w:bCs/>
          <w:i w:val="false"/>
          <w:iCs w:val="false"/>
          <w:color w:val="333333"/>
          <w:sz w:val="22"/>
          <w:szCs w:val="22"/>
        </w:rPr>
        <w:t xml:space="preserve">Marginal Cost of Deployment: </w:t>
      </w:r>
      <w:r>
        <w:rPr>
          <w:rFonts w:ascii="Arial" w:cs="Arial" w:eastAsia="Arial" w:hAnsi="Arial"/>
          <w:b w:val="false"/>
          <w:bCs w:val="false"/>
          <w:i w:val="false"/>
          <w:iCs w:val="false"/>
          <w:color w:val="333333"/>
          <w:sz w:val="22"/>
          <w:szCs w:val="22"/>
        </w:rPr>
        <w:t xml:space="preserve">Does deploying to an additional customer/platform require substantial custom engineering? Or is the software modular and deployable with minimal incremental cost? Near-zero marginal cost = true software economics.</w:t>
      </w:r>
    </w:p>
    <w:p>
      <w:pPr>
        <w:pStyle w:val="ListParagraph"/>
        <w:numPr>
          <w:ilvl w:val="0"/>
          <w:numId w:val="2"/>
        </w:numPr>
      </w:pPr>
      <w:r>
        <w:rPr>
          <w:rFonts w:ascii="Arial" w:cs="Arial" w:eastAsia="Arial" w:hAnsi="Arial"/>
          <w:b/>
          <w:bCs/>
          <w:i w:val="false"/>
          <w:iCs w:val="false"/>
          <w:color w:val="333333"/>
          <w:sz w:val="22"/>
          <w:szCs w:val="22"/>
        </w:rPr>
        <w:t xml:space="preserve">Pricing Model Scalability: </w:t>
      </w:r>
      <w:r>
        <w:rPr>
          <w:rFonts w:ascii="Arial" w:cs="Arial" w:eastAsia="Arial" w:hAnsi="Arial"/>
          <w:b w:val="false"/>
          <w:bCs w:val="false"/>
          <w:i w:val="false"/>
          <w:iCs w:val="false"/>
          <w:color w:val="333333"/>
          <w:sz w:val="22"/>
          <w:szCs w:val="22"/>
        </w:rPr>
        <w:t xml:space="preserve">Per-unit licensing, per-mission fees, platform access fees, or enterprise licensing. Which pricing model maximizes revenue per customer as usage scales?</w:t>
      </w:r>
    </w:p>
    <w:p>
      <w:pPr>
        <w:pStyle w:val="ListParagraph"/>
        <w:numPr>
          <w:ilvl w:val="0"/>
          <w:numId w:val="2"/>
        </w:numPr>
      </w:pPr>
      <w:r>
        <w:rPr>
          <w:rFonts w:ascii="Arial" w:cs="Arial" w:eastAsia="Arial" w:hAnsi="Arial"/>
          <w:b/>
          <w:bCs/>
          <w:i w:val="false"/>
          <w:iCs w:val="false"/>
          <w:color w:val="333333"/>
          <w:sz w:val="22"/>
          <w:szCs w:val="22"/>
        </w:rPr>
        <w:t xml:space="preserve">Customer Acquisition Cost (CAC): </w:t>
      </w:r>
      <w:r>
        <w:rPr>
          <w:rFonts w:ascii="Arial" w:cs="Arial" w:eastAsia="Arial" w:hAnsi="Arial"/>
          <w:b w:val="false"/>
          <w:bCs w:val="false"/>
          <w:i w:val="false"/>
          <w:iCs w:val="false"/>
          <w:color w:val="333333"/>
          <w:sz w:val="22"/>
          <w:szCs w:val="22"/>
        </w:rPr>
        <w:t xml:space="preserve">For defense, CAC includes BD headcount, proposal costs, trade show/demo expenses, and compliance costs. Defense CAC is structurally high but offset by large contract values and long customer lifetimes.</w:t>
      </w:r>
    </w:p>
    <w:p>
      <w:pPr>
        <w:pStyle w:val="ListParagraph"/>
        <w:numPr>
          <w:ilvl w:val="0"/>
          <w:numId w:val="2"/>
        </w:numPr>
      </w:pPr>
      <w:r>
        <w:rPr>
          <w:rFonts w:ascii="Arial" w:cs="Arial" w:eastAsia="Arial" w:hAnsi="Arial"/>
          <w:b/>
          <w:bCs/>
          <w:i w:val="false"/>
          <w:iCs w:val="false"/>
          <w:color w:val="333333"/>
          <w:sz w:val="22"/>
          <w:szCs w:val="22"/>
        </w:rPr>
        <w:t xml:space="preserve">Evidence from Existing Contracts: </w:t>
      </w:r>
      <w:r>
        <w:rPr>
          <w:rFonts w:ascii="Arial" w:cs="Arial" w:eastAsia="Arial" w:hAnsi="Arial"/>
          <w:b w:val="false"/>
          <w:bCs w:val="false"/>
          <w:i w:val="false"/>
          <w:iCs w:val="false"/>
          <w:color w:val="333333"/>
          <w:sz w:val="22"/>
          <w:szCs w:val="22"/>
        </w:rPr>
        <w:t xml:space="preserve">Do the terms of signed contracts (price per unit, license fees, support costs) support the projected margin structure?</w:t>
      </w:r>
    </w:p>
    <w:p>
      <w:pPr>
        <w:pStyle w:val="Heading3"/>
      </w:pPr>
      <w:r>
        <w:t xml:space="preserve">D2 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7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9–10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Clear evidence of 70%+ gross margin potential from existing contract terms. Near-zero marginal deployment cost. Pricing scales with customer usage. Multiple revenue streams (licensing + support + data).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7–8</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Projected 55–70% gross margins with supporting evidence from early contracts. Moderate marginal deployment cost. Pricing model is clear and scalable.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5–6</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Projected 40–55% gross margins. Significant professional services or custom integration required. Pricing model exists but untested at scale.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3–4</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Margin structure unclear. Heavy custom engineering per deployment. Pricing model not yet defined or dependent on hardware bundling.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1–2</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 visibility into unit economics. Business model requires selling below cost to win contracts. No evidence that software margins are achievable.</w:t>
            </w:r>
          </w:p>
        </w:tc>
      </w:tr>
    </w:tbl>
    <w:p>
      <w:r>
        <w:br w:type="page"/>
      </w:r>
    </w:p>
    <w:p>
      <w:pPr>
        <w:pStyle w:val="Heading2"/>
      </w:pPr>
      <w:r>
        <w:t xml:space="preserve">DIMENSION 3: TAM &amp; PENETRATION PATH (25% Weight)</w:t>
      </w:r>
    </w:p>
    <w:p>
      <w:pPr>
        <w:spacing w:after="200"/>
      </w:pPr>
      <w:r>
        <w:rPr>
          <w:rFonts w:ascii="Arial" w:cs="Arial" w:eastAsia="Arial" w:hAnsi="Arial"/>
          <w:b w:val="false"/>
          <w:bCs w:val="false"/>
          <w:i w:val="false"/>
          <w:iCs w:val="false"/>
          <w:color w:val="333333"/>
          <w:sz w:val="22"/>
          <w:szCs w:val="22"/>
        </w:rPr>
        <w:t xml:space="preserve">Measures whether the company addresses a large, structurally growing market with a credible path to meaningful penetration. This is the defense-tech equivalent of Secular Demand Tailwinds in the Infrastructure framework. The question is: does the macro environment create a sustained demand wave that this company can ride for 10–20+ years?</w:t>
      </w:r>
    </w:p>
    <w:p>
      <w:pPr>
        <w:pStyle w:val="Heading3"/>
      </w:pPr>
      <w:r>
        <w:t xml:space="preserve">Key Demand Drivers to Assess</w:t>
      </w:r>
    </w:p>
    <w:p>
      <w:pPr>
        <w:pStyle w:val="ListParagraph"/>
        <w:numPr>
          <w:ilvl w:val="0"/>
          <w:numId w:val="2"/>
        </w:numPr>
      </w:pPr>
      <w:r>
        <w:rPr>
          <w:rFonts w:ascii="Arial" w:cs="Arial" w:eastAsia="Arial" w:hAnsi="Arial"/>
          <w:b/>
          <w:bCs/>
          <w:i w:val="false"/>
          <w:iCs w:val="false"/>
          <w:color w:val="333333"/>
          <w:sz w:val="22"/>
          <w:szCs w:val="22"/>
        </w:rPr>
        <w:t xml:space="preserve">Autonomous Systems Adoption: </w:t>
      </w:r>
      <w:r>
        <w:rPr>
          <w:rFonts w:ascii="Arial" w:cs="Arial" w:eastAsia="Arial" w:hAnsi="Arial"/>
          <w:b w:val="false"/>
          <w:bCs w:val="false"/>
          <w:i w:val="false"/>
          <w:iCs w:val="false"/>
          <w:color w:val="333333"/>
          <w:sz w:val="22"/>
          <w:szCs w:val="22"/>
        </w:rPr>
        <w:t xml:space="preserve">DoD Replicator initiative, autonomous drone requirements, counter-UAS spending, ground robotics programs. Duration: 15–25 years. The shift from manned to unmanned systems is structural and irreversible.</w:t>
      </w:r>
    </w:p>
    <w:p>
      <w:pPr>
        <w:pStyle w:val="ListParagraph"/>
        <w:numPr>
          <w:ilvl w:val="0"/>
          <w:numId w:val="2"/>
        </w:numPr>
      </w:pPr>
      <w:r>
        <w:rPr>
          <w:rFonts w:ascii="Arial" w:cs="Arial" w:eastAsia="Arial" w:hAnsi="Arial"/>
          <w:b/>
          <w:bCs/>
          <w:i w:val="false"/>
          <w:iCs w:val="false"/>
          <w:color w:val="333333"/>
          <w:sz w:val="22"/>
          <w:szCs w:val="22"/>
        </w:rPr>
        <w:t xml:space="preserve">AI/ML in Defense: </w:t>
      </w:r>
      <w:r>
        <w:rPr>
          <w:rFonts w:ascii="Arial" w:cs="Arial" w:eastAsia="Arial" w:hAnsi="Arial"/>
          <w:b w:val="false"/>
          <w:bCs w:val="false"/>
          <w:i w:val="false"/>
          <w:iCs w:val="false"/>
          <w:color w:val="333333"/>
          <w:sz w:val="22"/>
          <w:szCs w:val="22"/>
        </w:rPr>
        <w:t xml:space="preserve">CDAO budget growth, AI-enabled command and control, predictive maintenance, ISR automation. Duration: 20+ years. AI integration into every defense function is the defining transformation of modern militaries.</w:t>
      </w:r>
    </w:p>
    <w:p>
      <w:pPr>
        <w:pStyle w:val="ListParagraph"/>
        <w:numPr>
          <w:ilvl w:val="0"/>
          <w:numId w:val="2"/>
        </w:numPr>
      </w:pPr>
      <w:r>
        <w:rPr>
          <w:rFonts w:ascii="Arial" w:cs="Arial" w:eastAsia="Arial" w:hAnsi="Arial"/>
          <w:b/>
          <w:bCs/>
          <w:i w:val="false"/>
          <w:iCs w:val="false"/>
          <w:color w:val="333333"/>
          <w:sz w:val="22"/>
          <w:szCs w:val="22"/>
        </w:rPr>
        <w:t xml:space="preserve">Drone Warfare Proliferation: </w:t>
      </w:r>
      <w:r>
        <w:rPr>
          <w:rFonts w:ascii="Arial" w:cs="Arial" w:eastAsia="Arial" w:hAnsi="Arial"/>
          <w:b w:val="false"/>
          <w:bCs w:val="false"/>
          <w:i w:val="false"/>
          <w:iCs w:val="false"/>
          <w:color w:val="333333"/>
          <w:sz w:val="22"/>
          <w:szCs w:val="22"/>
        </w:rPr>
        <w:t xml:space="preserve">Ukraine has demonstrated that low-cost drone swarms can defeat expensive legacy systems. Every military in the world is now investing in drone capabilities AND counter-drone capabilities. Duration: 10–20 years.</w:t>
      </w:r>
    </w:p>
    <w:p>
      <w:pPr>
        <w:pStyle w:val="ListParagraph"/>
        <w:numPr>
          <w:ilvl w:val="0"/>
          <w:numId w:val="2"/>
        </w:numPr>
      </w:pPr>
      <w:r>
        <w:rPr>
          <w:rFonts w:ascii="Arial" w:cs="Arial" w:eastAsia="Arial" w:hAnsi="Arial"/>
          <w:b/>
          <w:bCs/>
          <w:i w:val="false"/>
          <w:iCs w:val="false"/>
          <w:color w:val="333333"/>
          <w:sz w:val="22"/>
          <w:szCs w:val="22"/>
        </w:rPr>
        <w:t xml:space="preserve">Allied / NATO Modernization: </w:t>
      </w:r>
      <w:r>
        <w:rPr>
          <w:rFonts w:ascii="Arial" w:cs="Arial" w:eastAsia="Arial" w:hAnsi="Arial"/>
          <w:b w:val="false"/>
          <w:bCs w:val="false"/>
          <w:i w:val="false"/>
          <w:iCs w:val="false"/>
          <w:color w:val="333333"/>
          <w:sz w:val="22"/>
          <w:szCs w:val="22"/>
        </w:rPr>
        <w:t xml:space="preserve">European rearmament (2% GDP targets, many moving to 3–4%), Pacific deterrence buildup, AUKUS technology sharing. Duration: 10–15 years.</w:t>
      </w:r>
    </w:p>
    <w:p>
      <w:pPr>
        <w:pStyle w:val="ListParagraph"/>
        <w:numPr>
          <w:ilvl w:val="0"/>
          <w:numId w:val="2"/>
        </w:numPr>
      </w:pPr>
      <w:r>
        <w:rPr>
          <w:rFonts w:ascii="Arial" w:cs="Arial" w:eastAsia="Arial" w:hAnsi="Arial"/>
          <w:b/>
          <w:bCs/>
          <w:i w:val="false"/>
          <w:iCs w:val="false"/>
          <w:color w:val="333333"/>
          <w:sz w:val="22"/>
          <w:szCs w:val="22"/>
        </w:rPr>
        <w:t xml:space="preserve">Software-Defined Warfare: </w:t>
      </w:r>
      <w:r>
        <w:rPr>
          <w:rFonts w:ascii="Arial" w:cs="Arial" w:eastAsia="Arial" w:hAnsi="Arial"/>
          <w:b w:val="false"/>
          <w:bCs w:val="false"/>
          <w:i w:val="false"/>
          <w:iCs w:val="false"/>
          <w:color w:val="333333"/>
          <w:sz w:val="22"/>
          <w:szCs w:val="22"/>
        </w:rPr>
        <w:t xml:space="preserve">Shift from hardware-centric to software-centric acquisition. DoD’s stated preference for commercial software solutions over bespoke development. Duration: 15–20 years.</w:t>
      </w:r>
    </w:p>
    <w:p>
      <w:pPr>
        <w:pStyle w:val="ListParagraph"/>
        <w:numPr>
          <w:ilvl w:val="0"/>
          <w:numId w:val="2"/>
        </w:numPr>
      </w:pPr>
      <w:r>
        <w:rPr>
          <w:rFonts w:ascii="Arial" w:cs="Arial" w:eastAsia="Arial" w:hAnsi="Arial"/>
          <w:b/>
          <w:bCs/>
          <w:i w:val="false"/>
          <w:iCs w:val="false"/>
          <w:color w:val="333333"/>
          <w:sz w:val="22"/>
          <w:szCs w:val="22"/>
        </w:rPr>
        <w:t xml:space="preserve">Pentagon Procurement Reform: </w:t>
      </w:r>
      <w:r>
        <w:rPr>
          <w:rFonts w:ascii="Arial" w:cs="Arial" w:eastAsia="Arial" w:hAnsi="Arial"/>
          <w:b w:val="false"/>
          <w:bCs w:val="false"/>
          <w:i w:val="false"/>
          <w:iCs w:val="false"/>
          <w:color w:val="333333"/>
          <w:sz w:val="22"/>
          <w:szCs w:val="22"/>
        </w:rPr>
        <w:t xml:space="preserve">OTAs, DIU, AFWERX, and other rapid acquisition pathways that favor small, agile companies over traditional primes. Duration: 10–15 years.</w:t>
      </w:r>
    </w:p>
    <w:p>
      <w:pPr>
        <w:pStyle w:val="Heading3"/>
      </w:pPr>
      <w:r>
        <w:t xml:space="preserve">D3 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7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9–10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Addresses $5B+ TAM with 20%+ CAGR. Company’s technology is directly aligned with ≥ 3 major demand drivers. Clear land-and-expand strategy from current beachhead to broader TAM. Evidence of pull from multiple government buyers.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7–8</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Addresses $2–5B TAM with 15–20% CAGR. Aligned with 2 major demand drivers. Expansion path is credible but not yet demonstrated. Some evidence of broader government interest.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5–6</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Addresses $1–2B TAM with 10–15% CAGR. Aligned with 1 primary demand driver. Expansion path requires significant product development or market development.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3–4</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TAM is niche (&lt;$1B) or growth rate is uncertain. Demand driver is dependent on continuation of a specific conflict or political decision. Limited expansion path.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1–2</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TAM is undefined or speculative. Technology may not align with actual procurement priorities. No evidence of government demand for this specific capability.</w:t>
            </w:r>
          </w:p>
        </w:tc>
      </w:tr>
    </w:tbl>
    <w:p>
      <w:r>
        <w:br w:type="page"/>
      </w:r>
    </w:p>
    <w:p>
      <w:pPr>
        <w:pStyle w:val="Heading2"/>
      </w:pPr>
      <w:r>
        <w:t xml:space="preserve">DIMENSION 4: CAPITAL DISCIPLINE &amp; RUNWAY (25% Weight)</w:t>
      </w:r>
    </w:p>
    <w:p>
      <w:pPr>
        <w:spacing w:after="200"/>
      </w:pPr>
      <w:r>
        <w:rPr>
          <w:rFonts w:ascii="Arial" w:cs="Arial" w:eastAsia="Arial" w:hAnsi="Arial"/>
          <w:b w:val="false"/>
          <w:bCs w:val="false"/>
          <w:i w:val="false"/>
          <w:iCs w:val="false"/>
          <w:color w:val="333333"/>
          <w:sz w:val="22"/>
          <w:szCs w:val="22"/>
        </w:rPr>
        <w:t xml:space="preserve">Measures whether the company manages cash burn responsibly, maintains adequate runway, and treats equity as a precious resource. For pre-revenue companies, this dimension is existential: running out of cash before achieving commercial traction is the primary cause of death, regardless of how good the technology is.</w:t>
      </w:r>
    </w:p>
    <w:p>
      <w:pPr>
        <w:pStyle w:val="Heading3"/>
      </w:pPr>
      <w:r>
        <w:t xml:space="preserve">Key Metrics to Assess</w:t>
      </w:r>
    </w:p>
    <w:p>
      <w:pPr>
        <w:pStyle w:val="ListParagraph"/>
        <w:numPr>
          <w:ilvl w:val="0"/>
          <w:numId w:val="2"/>
        </w:numPr>
      </w:pPr>
      <w:r>
        <w:rPr>
          <w:rFonts w:ascii="Arial" w:cs="Arial" w:eastAsia="Arial" w:hAnsi="Arial"/>
          <w:b/>
          <w:bCs/>
          <w:i w:val="false"/>
          <w:iCs w:val="false"/>
          <w:color w:val="333333"/>
          <w:sz w:val="22"/>
          <w:szCs w:val="22"/>
        </w:rPr>
        <w:t xml:space="preserve">Monthly Cash Burn: </w:t>
      </w:r>
      <w:r>
        <w:rPr>
          <w:rFonts w:ascii="Arial" w:cs="Arial" w:eastAsia="Arial" w:hAnsi="Arial"/>
          <w:b w:val="false"/>
          <w:bCs w:val="false"/>
          <w:i w:val="false"/>
          <w:iCs w:val="false"/>
          <w:color w:val="333333"/>
          <w:sz w:val="22"/>
          <w:szCs w:val="22"/>
        </w:rPr>
        <w:t xml:space="preserve">Total cash used in operations per month. Context matters — $500K/month burn for a 50-person team with combat-deployed technology is disciplined; $5M/month burn for a 20-person team with no deployments is reckless.</w:t>
      </w:r>
    </w:p>
    <w:p>
      <w:pPr>
        <w:pStyle w:val="ListParagraph"/>
        <w:numPr>
          <w:ilvl w:val="0"/>
          <w:numId w:val="2"/>
        </w:numPr>
      </w:pPr>
      <w:r>
        <w:rPr>
          <w:rFonts w:ascii="Arial" w:cs="Arial" w:eastAsia="Arial" w:hAnsi="Arial"/>
          <w:b/>
          <w:bCs/>
          <w:i w:val="false"/>
          <w:iCs w:val="false"/>
          <w:color w:val="333333"/>
          <w:sz w:val="22"/>
          <w:szCs w:val="22"/>
        </w:rPr>
        <w:t xml:space="preserve">Cash Runway (Months): </w:t>
      </w:r>
      <w:r>
        <w:rPr>
          <w:rFonts w:ascii="Arial" w:cs="Arial" w:eastAsia="Arial" w:hAnsi="Arial"/>
          <w:b w:val="false"/>
          <w:bCs w:val="false"/>
          <w:i w:val="false"/>
          <w:iCs w:val="false"/>
          <w:color w:val="333333"/>
          <w:sz w:val="22"/>
          <w:szCs w:val="22"/>
        </w:rPr>
        <w:t xml:space="preserve">Cash + short-term investments / monthly burn rate. Above 24 months = comfortable. 12–24 months = adequate if pipeline is converting. Below 12 months = urgent — dilution imminent.</w:t>
      </w:r>
    </w:p>
    <w:p>
      <w:pPr>
        <w:pStyle w:val="ListParagraph"/>
        <w:numPr>
          <w:ilvl w:val="0"/>
          <w:numId w:val="2"/>
        </w:numPr>
      </w:pPr>
      <w:r>
        <w:rPr>
          <w:rFonts w:ascii="Arial" w:cs="Arial" w:eastAsia="Arial" w:hAnsi="Arial"/>
          <w:b/>
          <w:bCs/>
          <w:i w:val="false"/>
          <w:iCs w:val="false"/>
          <w:color w:val="333333"/>
          <w:sz w:val="22"/>
          <w:szCs w:val="22"/>
        </w:rPr>
        <w:t xml:space="preserve">Dilution Trajectory: </w:t>
      </w:r>
      <w:r>
        <w:rPr>
          <w:rFonts w:ascii="Arial" w:cs="Arial" w:eastAsia="Arial" w:hAnsi="Arial"/>
          <w:b w:val="false"/>
          <w:bCs w:val="false"/>
          <w:i w:val="false"/>
          <w:iCs w:val="false"/>
          <w:color w:val="333333"/>
          <w:sz w:val="22"/>
          <w:szCs w:val="22"/>
        </w:rPr>
        <w:t xml:space="preserve">Total shares outstanding growth over last 12 months. Cumulative dilution since founding. Implied dilution from next capital raise at current valuation.</w:t>
      </w:r>
    </w:p>
    <w:p>
      <w:pPr>
        <w:pStyle w:val="ListParagraph"/>
        <w:numPr>
          <w:ilvl w:val="0"/>
          <w:numId w:val="2"/>
        </w:numPr>
      </w:pPr>
      <w:r>
        <w:rPr>
          <w:rFonts w:ascii="Arial" w:cs="Arial" w:eastAsia="Arial" w:hAnsi="Arial"/>
          <w:b/>
          <w:bCs/>
          <w:i w:val="false"/>
          <w:iCs w:val="false"/>
          <w:color w:val="333333"/>
          <w:sz w:val="22"/>
          <w:szCs w:val="22"/>
        </w:rPr>
        <w:t xml:space="preserve">Use of IPO/Raise Proceeds: </w:t>
      </w:r>
      <w:r>
        <w:rPr>
          <w:rFonts w:ascii="Arial" w:cs="Arial" w:eastAsia="Arial" w:hAnsi="Arial"/>
          <w:b w:val="false"/>
          <w:bCs w:val="false"/>
          <w:i w:val="false"/>
          <w:iCs w:val="false"/>
          <w:color w:val="333333"/>
          <w:sz w:val="22"/>
          <w:szCs w:val="22"/>
        </w:rPr>
        <w:t xml:space="preserve">What percentage allocated to: R&amp;D, sales/BD, general corporate, debt repayment? A company spending 60%+ on R&amp;D and sales is investing in growth. A company spending 40%+ on G&amp;A and executive compensation is not.</w:t>
      </w:r>
    </w:p>
    <w:p>
      <w:pPr>
        <w:pStyle w:val="ListParagraph"/>
        <w:numPr>
          <w:ilvl w:val="0"/>
          <w:numId w:val="2"/>
        </w:numPr>
      </w:pPr>
      <w:r>
        <w:rPr>
          <w:rFonts w:ascii="Arial" w:cs="Arial" w:eastAsia="Arial" w:hAnsi="Arial"/>
          <w:b/>
          <w:bCs/>
          <w:i w:val="false"/>
          <w:iCs w:val="false"/>
          <w:color w:val="333333"/>
          <w:sz w:val="22"/>
          <w:szCs w:val="22"/>
        </w:rPr>
        <w:t xml:space="preserve">Insider Ownership: </w:t>
      </w:r>
      <w:r>
        <w:rPr>
          <w:rFonts w:ascii="Arial" w:cs="Arial" w:eastAsia="Arial" w:hAnsi="Arial"/>
          <w:b w:val="false"/>
          <w:bCs w:val="false"/>
          <w:i w:val="false"/>
          <w:iCs w:val="false"/>
          <w:color w:val="333333"/>
          <w:sz w:val="22"/>
          <w:szCs w:val="22"/>
        </w:rPr>
        <w:t xml:space="preserve">Founders and key executives retaining significant equity (≥ 20% post-IPO) signals alignment. Significant insider selling at IPO is a red flag.</w:t>
      </w:r>
    </w:p>
    <w:p>
      <w:pPr>
        <w:pStyle w:val="Heading3"/>
      </w:pPr>
      <w:r>
        <w:t xml:space="preserve">D4 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7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9–10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24+ months runway. Burn rate declining as % of pipeline value. &lt;20% annual dilution. 70%+ of proceeds allocated to R&amp;D and sales. Founder ownership &gt;30% post-IPO. Discipline evidenced by lean team relative to output.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7–8</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18–24 months runway. Burn rate stable and justified by deployment activity. 20–30% cumulative dilution. Reasonable allocation of proceeds. Founder ownership 15–30%.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5–6</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12–18 months runway. Burn rate growing but tied to pipeline expansion. Additional raise likely within 12 months. Dilution trajectory manageable if pipeline converts.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3–4</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6–12 months runway. Burn rate growing faster than pipeline. Dilutive raise imminent and may be at unfavorable terms. Concerning G&amp;A allocation.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333333"/>
                <w:sz w:val="20"/>
                <w:szCs w:val="20"/>
              </w:rPr>
              <w:t xml:space="preserve">1–2</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Below 6 months runway. Burn rate unsustainable. Significant insider selling. Proceeds spent primarily on G&amp;A. Existential capital risk.</w:t>
            </w:r>
          </w:p>
        </w:tc>
      </w:tr>
    </w:tbl>
    <w:p>
      <w:r>
        <w:br w:type="page"/>
      </w:r>
    </w:p>
    <w:p>
      <w:pPr>
        <w:pStyle w:val="Heading1"/>
      </w:pPr>
      <w:r>
        <w:t xml:space="preserve">VI. STEP 3: RAW COMPOSITE CALCULATION</w:t>
      </w:r>
    </w:p>
    <w:p>
      <w:pPr>
        <w:spacing w:after="200"/>
      </w:pPr>
      <w:r>
        <w:rPr>
          <w:rFonts w:ascii="Arial" w:cs="Arial" w:eastAsia="Arial" w:hAnsi="Arial"/>
          <w:b w:val="false"/>
          <w:bCs w:val="false"/>
          <w:i w:val="false"/>
          <w:iCs w:val="false"/>
          <w:color w:val="333333"/>
          <w:sz w:val="22"/>
          <w:szCs w:val="22"/>
        </w:rPr>
        <w:t xml:space="preserve">Calculate the equally-weighted average of the four dimension scores:</w:t>
      </w:r>
    </w:p>
    <w:p>
      <w:pPr>
        <w:spacing w:after="200"/>
      </w:pPr>
      <w:r>
        <w:rPr>
          <w:rFonts w:ascii="Arial" w:cs="Arial" w:eastAsia="Arial" w:hAnsi="Arial"/>
          <w:b/>
          <w:bCs/>
          <w:i/>
          <w:iCs/>
          <w:color w:val="333333"/>
          <w:sz w:val="22"/>
          <w:szCs w:val="22"/>
        </w:rPr>
        <w:t xml:space="preserve">Raw Composite = (D1 × 0.25) + (D2 × 0.25) + (D3 × 0.25) + (D4 × 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D1: Pipeline Credibility (25%)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   ] / 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D2: Unit Economics Trajectory (25%)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   ] / 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D3: TAM &amp; Penetration Path (25%)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   ] / 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D4: Capital Discipline &amp; Runway (25%)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   ] / 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   ]</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RAW COMPOSITE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   ] / 10.0</w:t>
            </w:r>
          </w:p>
        </w:tc>
      </w:tr>
    </w:tbl>
    <w:p>
      <w:pPr>
        <w:spacing w:after="100"/>
      </w:pPr>
      <w:r>
        <w:rPr>
          <w:rFonts w:ascii="Arial" w:cs="Arial" w:eastAsia="Arial" w:hAnsi="Arial"/>
          <w:b w:val="false"/>
          <w:bCs w:val="false"/>
          <w:i w:val="false"/>
          <w:iCs w:val="false"/>
          <w:color w:val="333333"/>
          <w:sz w:val="22"/>
          <w:szCs w:val="22"/>
        </w:rPr>
        <w:t xml:space="preserve"/>
      </w:r>
    </w:p>
    <w:p>
      <w:pPr>
        <w:spacing w:after="200"/>
      </w:pPr>
      <w:r>
        <w:rPr>
          <w:rFonts w:ascii="Arial" w:cs="Arial" w:eastAsia="Arial" w:hAnsi="Arial"/>
          <w:b/>
          <w:bCs/>
          <w:i w:val="false"/>
          <w:iCs w:val="false"/>
          <w:color w:val="333333"/>
          <w:sz w:val="22"/>
          <w:szCs w:val="22"/>
        </w:rPr>
        <w:t xml:space="preserve">Pipeline Gate (required): </w:t>
      </w:r>
      <w:r>
        <w:rPr>
          <w:rFonts w:ascii="Arial" w:cs="Arial" w:eastAsia="Arial" w:hAnsi="Arial"/>
          <w:b w:val="false"/>
          <w:bCs w:val="false"/>
          <w:i w:val="false"/>
          <w:iCs w:val="false"/>
          <w:color w:val="333333"/>
          <w:sz w:val="22"/>
          <w:szCs w:val="22"/>
        </w:rPr>
        <w:t xml:space="preserve">Firm contracts [    ]x trailing revenue vs. threshold [    ]x. [PASS / FAIL]. Must PASS the gate for the relevant classification tier. If the Pipeline Gate fails, the company cannot be classified above Narrative-Stage Venture regardless of Raw Composite.</w:t>
      </w:r>
    </w:p>
    <w:p>
      <w:pPr>
        <w:spacing w:after="200"/>
      </w:pPr>
      <w:r>
        <w:rPr>
          <w:rFonts w:ascii="Arial" w:cs="Arial" w:eastAsia="Arial" w:hAnsi="Arial"/>
          <w:b/>
          <w:bCs/>
          <w:i w:val="false"/>
          <w:iCs w:val="false"/>
          <w:color w:val="333333"/>
          <w:sz w:val="22"/>
          <w:szCs w:val="22"/>
        </w:rPr>
        <w:t xml:space="preserve">Pre-Screen Consistency: </w:t>
      </w:r>
      <w:r>
        <w:rPr>
          <w:rFonts w:ascii="Arial" w:cs="Arial" w:eastAsia="Arial" w:hAnsi="Arial"/>
          <w:b w:val="false"/>
          <w:bCs w:val="false"/>
          <w:i w:val="false"/>
          <w:iCs w:val="false"/>
          <w:color w:val="333333"/>
          <w:sz w:val="22"/>
          <w:szCs w:val="22"/>
        </w:rPr>
        <w:t xml:space="preserve">Does the Raw Composite align with the TMI pre-screen? If TMI was FORTRESS but Raw Composite is &lt; 6.0, investigate the disconnect — the technology moat may be impressive but the commercial execution may be lagging. If TMI was PARTIAL but Raw Composite is &gt; 7.0, the commercial traction may be outpacing the technology differentiation — which suggests vulnerability to better-funded competitors.</w:t>
      </w:r>
    </w:p>
    <w:p>
      <w:r>
        <w:br w:type="page"/>
      </w:r>
    </w:p>
    <w:p>
      <w:pPr>
        <w:pStyle w:val="Heading1"/>
      </w:pPr>
      <w:r>
        <w:t xml:space="preserve">VII. STEP 4: ANTIFRAGILITY MODIFIER (AFM)</w:t>
      </w:r>
    </w:p>
    <w:p>
      <w:pPr>
        <w:spacing w:after="200"/>
      </w:pPr>
      <w:r>
        <w:rPr>
          <w:rFonts w:ascii="Arial" w:cs="Arial" w:eastAsia="Arial" w:hAnsi="Arial"/>
          <w:b w:val="false"/>
          <w:bCs w:val="false"/>
          <w:i w:val="false"/>
          <w:iCs w:val="false"/>
          <w:color w:val="333333"/>
          <w:sz w:val="22"/>
          <w:szCs w:val="22"/>
        </w:rPr>
        <w:t xml:space="preserve">The Antifragility Modifier tests whether the company’s competitive position actually STRENGTHENS under stress — the Nassim Taleb criterion. For defense technology, antifragility manifests as: demand increases when the world becomes more dangerous, contested, and volatile.</w:t>
      </w:r>
    </w:p>
    <w:p>
      <w:pPr>
        <w:spacing w:after="200"/>
      </w:pPr>
      <w:r>
        <w:rPr>
          <w:rFonts w:ascii="Arial" w:cs="Arial" w:eastAsia="Arial" w:hAnsi="Arial"/>
          <w:b w:val="false"/>
          <w:bCs w:val="false"/>
          <w:i w:val="false"/>
          <w:iCs w:val="false"/>
          <w:color w:val="333333"/>
          <w:sz w:val="22"/>
          <w:szCs w:val="22"/>
        </w:rPr>
        <w:t xml:space="preserve">Score each test as YES or NO. Require specific evidence — no aspirational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Stress Test</w:t>
            </w:r>
          </w:p>
        </w:tc>
        <w:tc>
          <w:tcPr>
            <w:tcW w:type="dxa" w:w="5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Question &amp; Evidence Required</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1. Conflict Escalation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Does demand for this company’s technology INCREASE as global conflict intensifies? Evidence: Has revenue/pipeline grown during periods of escalation? Would a new theater of conflict (e.g., Taiwan Strait, Baltics) create additional demand?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[YES / 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2. Budget Austerity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 the company survive a flat or declining defense budget by being a COST-SAVER vs. manned alternatives? Evidence: Is the per-mission cost of autonomous systems demonstrably cheaper than manned equivalents? Is the technology seen as a force multiplier that does more with less?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[YES / 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3. Technology Disruption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Is the company’s platform/middleware layer more durable than the hardware layer? Can it ride the NEXT generation of platforms rather than being displaced by it? Evidence: Is the software vendor-agnostic? Has it demonstrated integration with multiple hardware platforms?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[YES / 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4. Regulatory Tightening</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Do stricter autonomous weapons regulations create HIGHER barriers for new entrants while grandfathering existing combat-proven systems? Evidence: Would ITAR expansion, new export controls, or autonomous weapons treaties disproportionately hurt newcomers?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[YES / 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5. Supply Chain Stress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Is the company insulated from hardware supply chain disruptions that affect competitors? As a software-first company, does it avoid chip shortages, materials constraints, and manufacturing bottlenecks that impair hardware-dependent rivals?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[YES / NO]</w:t>
            </w:r>
          </w:p>
        </w:tc>
      </w:tr>
    </w:tbl>
    <w:p>
      <w:pPr>
        <w:spacing w:after="100"/>
      </w:pPr>
      <w:r>
        <w:rPr>
          <w:rFonts w:ascii="Arial" w:cs="Arial" w:eastAsia="Arial" w:hAnsi="Arial"/>
          <w:b w:val="false"/>
          <w:bCs w:val="false"/>
          <w:i w:val="false"/>
          <w:iCs w:val="false"/>
          <w:color w:val="333333"/>
          <w:sz w:val="22"/>
          <w:szCs w:val="22"/>
        </w:rPr>
        <w:t xml:space="preserve"/>
      </w:r>
    </w:p>
    <w:p>
      <w:pPr>
        <w:spacing w:after="200"/>
      </w:pPr>
      <w:r>
        <w:rPr>
          <w:rFonts w:ascii="Arial" w:cs="Arial" w:eastAsia="Arial" w:hAnsi="Arial"/>
          <w:b/>
          <w:bCs/>
          <w:i w:val="false"/>
          <w:iCs w:val="false"/>
          <w:color w:val="333333"/>
          <w:sz w:val="22"/>
          <w:szCs w:val="22"/>
        </w:rPr>
        <w:t xml:space="preserve">AFM Scoring: </w:t>
      </w:r>
      <w:r>
        <w:rPr>
          <w:rFonts w:ascii="Arial" w:cs="Arial" w:eastAsia="Arial" w:hAnsi="Arial"/>
          <w:b w:val="false"/>
          <w:bCs w:val="false"/>
          <w:i w:val="false"/>
          <w:iCs w:val="false"/>
          <w:color w:val="333333"/>
          <w:sz w:val="22"/>
          <w:szCs w:val="22"/>
        </w:rPr>
        <w:t xml:space="preserve">5 YES = +0.25 modifier  |  4 YES = +0.20  |  3 YES = +0.15  |  2 YES = +0.10  |  0–1 YES = +0.00</w:t>
      </w:r>
    </w:p>
    <w:p>
      <w:pPr>
        <w:spacing w:after="200"/>
      </w:pPr>
      <w:r>
        <w:rPr>
          <w:rFonts w:ascii="Arial" w:cs="Arial" w:eastAsia="Arial" w:hAnsi="Arial"/>
          <w:b w:val="false"/>
          <w:bCs w:val="false"/>
          <w:i w:val="false"/>
          <w:iCs w:val="false"/>
          <w:color w:val="333333"/>
          <w:sz w:val="22"/>
          <w:szCs w:val="22"/>
        </w:rPr>
        <w:t xml:space="preserve">The modifier is intentionally modest. The Raw Composite already captures most of the antifragility advantage through D3 (TAM/demand drivers) and D1 (pipeline breadth). The AFM confirms directionality and adds a small premium for companies that are genuinely antifragile across all five stress tests.</w:t>
      </w:r>
    </w:p>
    <w:p>
      <w:r>
        <w:br w:type="page"/>
      </w:r>
    </w:p>
    <w:p>
      <w:pPr>
        <w:pStyle w:val="Heading1"/>
      </w:pPr>
      <w:r>
        <w:t xml:space="preserve">VIII. STEP 5: FINAL COMPOSITE &amp; CLASSIFICATION</w:t>
      </w:r>
    </w:p>
    <w:p>
      <w:pPr>
        <w:spacing w:after="200"/>
      </w:pPr>
      <w:r>
        <w:rPr>
          <w:rFonts w:ascii="Arial" w:cs="Arial" w:eastAsia="Arial" w:hAnsi="Arial"/>
          <w:b/>
          <w:bCs/>
          <w:i w:val="false"/>
          <w:iCs w:val="false"/>
          <w:color w:val="333333"/>
          <w:sz w:val="22"/>
          <w:szCs w:val="22"/>
        </w:rPr>
        <w:t xml:space="preserve">Final Composite = Raw Composite + AFM Modifier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Raw Composite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   ] / 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AFM Modifier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   ]</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FINAL COMPOSITE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   ] / 10.25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Classification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[Defense Tech Compounder / Growth-Stage Contender / Narrative-Stage Venture / Hype Trap]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Pipeline Gate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666666"/>
                <w:sz w:val="20"/>
                <w:szCs w:val="20"/>
              </w:rPr>
              <w:t xml:space="preserve">[PASS / FAIL] — Firm contracts [   ]x trailing revenue</w:t>
            </w:r>
          </w:p>
        </w:tc>
      </w:tr>
    </w:tbl>
    <w:p>
      <w:pPr>
        <w:spacing w:after="100"/>
      </w:pPr>
      <w:r>
        <w:rPr>
          <w:rFonts w:ascii="Arial" w:cs="Arial" w:eastAsia="Arial" w:hAnsi="Arial"/>
          <w:b w:val="false"/>
          <w:bCs w:val="false"/>
          <w:i w:val="false"/>
          <w:iCs w:val="false"/>
          <w:color w:val="333333"/>
          <w:sz w:val="22"/>
          <w:szCs w:val="22"/>
        </w:rPr>
        <w:t xml:space="preserve"/>
      </w:r>
    </w:p>
    <w:p>
      <w:pPr>
        <w:pStyle w:val="Heading2"/>
      </w:pPr>
      <w:r>
        <w:t xml:space="preserve">The Value Creation Path (calculate for each company)</w:t>
      </w:r>
    </w:p>
    <w:p>
      <w:pPr>
        <w:pStyle w:val="ListParagraph"/>
        <w:numPr>
          <w:ilvl w:val="0"/>
          <w:numId w:val="2"/>
        </w:numPr>
      </w:pPr>
      <w:r>
        <w:rPr>
          <w:rFonts w:ascii="Arial" w:cs="Arial" w:eastAsia="Arial" w:hAnsi="Arial"/>
          <w:b/>
          <w:bCs/>
          <w:i w:val="false"/>
          <w:iCs w:val="false"/>
          <w:color w:val="333333"/>
          <w:sz w:val="22"/>
          <w:szCs w:val="22"/>
        </w:rPr>
        <w:t xml:space="preserve">Pipeline-to-Revenue Conversion: </w:t>
      </w:r>
      <w:r>
        <w:rPr>
          <w:rFonts w:ascii="Arial" w:cs="Arial" w:eastAsia="Arial" w:hAnsi="Arial"/>
          <w:b w:val="false"/>
          <w:bCs w:val="false"/>
          <w:i w:val="false"/>
          <w:iCs w:val="false"/>
          <w:color w:val="333333"/>
          <w:sz w:val="22"/>
          <w:szCs w:val="22"/>
        </w:rPr>
        <w:t xml:space="preserve">[X]% of firm contracts expected to convert to recognized revenue in next 12 months</w:t>
      </w:r>
    </w:p>
    <w:p>
      <w:pPr>
        <w:pStyle w:val="ListParagraph"/>
        <w:numPr>
          <w:ilvl w:val="0"/>
          <w:numId w:val="2"/>
        </w:numPr>
      </w:pPr>
      <w:r>
        <w:rPr>
          <w:rFonts w:ascii="Arial" w:cs="Arial" w:eastAsia="Arial" w:hAnsi="Arial"/>
          <w:b/>
          <w:bCs/>
          <w:i w:val="false"/>
          <w:iCs w:val="false"/>
          <w:color w:val="333333"/>
          <w:sz w:val="22"/>
          <w:szCs w:val="22"/>
        </w:rPr>
        <w:t xml:space="preserve">Revenue Growth Trajectory: </w:t>
      </w:r>
      <w:r>
        <w:rPr>
          <w:rFonts w:ascii="Arial" w:cs="Arial" w:eastAsia="Arial" w:hAnsi="Arial"/>
          <w:b w:val="false"/>
          <w:bCs w:val="false"/>
          <w:i w:val="false"/>
          <w:iCs w:val="false"/>
          <w:color w:val="333333"/>
          <w:sz w:val="22"/>
          <w:szCs w:val="22"/>
        </w:rPr>
        <w:t xml:space="preserve">From $[X] current run rate to $[X] implied by pipeline conversion = [X]% growth</w:t>
      </w:r>
    </w:p>
    <w:p>
      <w:pPr>
        <w:pStyle w:val="ListParagraph"/>
        <w:numPr>
          <w:ilvl w:val="0"/>
          <w:numId w:val="2"/>
        </w:numPr>
      </w:pPr>
      <w:r>
        <w:rPr>
          <w:rFonts w:ascii="Arial" w:cs="Arial" w:eastAsia="Arial" w:hAnsi="Arial"/>
          <w:b/>
          <w:bCs/>
          <w:i w:val="false"/>
          <w:iCs w:val="false"/>
          <w:color w:val="333333"/>
          <w:sz w:val="22"/>
          <w:szCs w:val="22"/>
        </w:rPr>
        <w:t xml:space="preserve">Gross Margin at Scale: </w:t>
      </w:r>
      <w:r>
        <w:rPr>
          <w:rFonts w:ascii="Arial" w:cs="Arial" w:eastAsia="Arial" w:hAnsi="Arial"/>
          <w:b w:val="false"/>
          <w:bCs w:val="false"/>
          <w:i w:val="false"/>
          <w:iCs w:val="false"/>
          <w:color w:val="333333"/>
          <w:sz w:val="22"/>
          <w:szCs w:val="22"/>
        </w:rPr>
        <w:t xml:space="preserve">[X]% projected based on contract terms and delivery model</w:t>
      </w:r>
    </w:p>
    <w:p>
      <w:pPr>
        <w:pStyle w:val="ListParagraph"/>
        <w:numPr>
          <w:ilvl w:val="0"/>
          <w:numId w:val="2"/>
        </w:numPr>
      </w:pPr>
      <w:r>
        <w:rPr>
          <w:rFonts w:ascii="Arial" w:cs="Arial" w:eastAsia="Arial" w:hAnsi="Arial"/>
          <w:b/>
          <w:bCs/>
          <w:i w:val="false"/>
          <w:iCs w:val="false"/>
          <w:color w:val="333333"/>
          <w:sz w:val="22"/>
          <w:szCs w:val="22"/>
        </w:rPr>
        <w:t xml:space="preserve">Implied Steady-State FCF Margin: </w:t>
      </w:r>
      <w:r>
        <w:rPr>
          <w:rFonts w:ascii="Arial" w:cs="Arial" w:eastAsia="Arial" w:hAnsi="Arial"/>
          <w:b w:val="false"/>
          <w:bCs w:val="false"/>
          <w:i w:val="false"/>
          <w:iCs w:val="false"/>
          <w:color w:val="333333"/>
          <w:sz w:val="22"/>
          <w:szCs w:val="22"/>
        </w:rPr>
        <w:t xml:space="preserve">[X]% at scale (gross margin minus estimated SG&amp;A and R&amp;D as % of revenue at maturity)</w:t>
      </w:r>
    </w:p>
    <w:p>
      <w:pPr>
        <w:spacing w:after="200"/>
      </w:pPr>
      <w:r>
        <w:rPr>
          <w:rFonts w:ascii="Arial" w:cs="Arial" w:eastAsia="Arial" w:hAnsi="Arial"/>
          <w:b w:val="false"/>
          <w:bCs w:val="false"/>
          <w:i w:val="false"/>
          <w:iCs w:val="false"/>
          <w:color w:val="333333"/>
          <w:sz w:val="22"/>
          <w:szCs w:val="22"/>
        </w:rPr>
        <w:t xml:space="preserve">This is the fundamental value creation path of the business. Unlike the Infrastructure framework’s Reinvestment Rate × ROIIC = Intrinsic Value Growth, pre-revenue companies are valued on the TRAJECTORY toward profitability, not on current returns on capital.</w:t>
      </w:r>
    </w:p>
    <w:p>
      <w:r>
        <w:br w:type="page"/>
      </w:r>
    </w:p>
    <w:p>
      <w:pPr>
        <w:pStyle w:val="Heading1"/>
      </w:pPr>
      <w:r>
        <w:t xml:space="preserve">IX. STEP 6: SCENARIO MODELING</w:t>
      </w:r>
    </w:p>
    <w:p>
      <w:pPr>
        <w:spacing w:after="200"/>
      </w:pPr>
      <w:r>
        <w:rPr>
          <w:rFonts w:ascii="Arial" w:cs="Arial" w:eastAsia="Arial" w:hAnsi="Arial"/>
          <w:b w:val="false"/>
          <w:bCs w:val="false"/>
          <w:i w:val="false"/>
          <w:iCs w:val="false"/>
          <w:color w:val="333333"/>
          <w:sz w:val="22"/>
          <w:szCs w:val="22"/>
        </w:rPr>
        <w:t xml:space="preserve">Model three scenarios with specific mechanisms and probabilities. Probabilities must sum to 100%. Each scenario must describe the specific mechanism that drives the outcome, not just “things go well/badly.”</w:t>
      </w:r>
    </w:p>
    <w:p>
      <w:pPr>
        <w:spacing w:after="200"/>
      </w:pPr>
      <w:r>
        <w:rPr>
          <w:rFonts w:ascii="Arial" w:cs="Arial" w:eastAsia="Arial" w:hAnsi="Arial"/>
          <w:b/>
          <w:bCs/>
          <w:i w:val="false"/>
          <w:iCs w:val="false"/>
          <w:color w:val="333333"/>
          <w:sz w:val="22"/>
          <w:szCs w:val="22"/>
        </w:rPr>
        <w:t xml:space="preserve">CRITICAL FOR PRE-REVENUE COMPANIES: </w:t>
      </w:r>
      <w:r>
        <w:rPr>
          <w:rFonts w:ascii="Arial" w:cs="Arial" w:eastAsia="Arial" w:hAnsi="Arial"/>
          <w:b w:val="false"/>
          <w:bCs w:val="false"/>
          <w:i w:val="false"/>
          <w:iCs w:val="false"/>
          <w:color w:val="333333"/>
          <w:sz w:val="22"/>
          <w:szCs w:val="22"/>
        </w:rPr>
        <w:t xml:space="preserve">Include explicit dilution assumptions in every scenario. Pre-revenue companies will almost certainly raise additional capital. Model the per-share impact, not just the enterprise value.</w:t>
      </w:r>
    </w:p>
    <w:p>
      <w:pPr>
        <w:pStyle w:val="Heading2"/>
      </w:pPr>
      <w:r>
        <w:t xml:space="preserve">Bull Case ([X]% probability)</w:t>
      </w:r>
    </w:p>
    <w:p>
      <w:pPr>
        <w:pStyle w:val="ListParagraph"/>
        <w:numPr>
          <w:ilvl w:val="0"/>
          <w:numId w:val="2"/>
        </w:numPr>
      </w:pPr>
      <w:r>
        <w:rPr>
          <w:rFonts w:ascii="Arial" w:cs="Arial" w:eastAsia="Arial" w:hAnsi="Arial"/>
          <w:b/>
          <w:bCs/>
          <w:i w:val="false"/>
          <w:iCs w:val="false"/>
          <w:color w:val="333333"/>
          <w:sz w:val="22"/>
          <w:szCs w:val="22"/>
        </w:rPr>
        <w:t xml:space="preserve">Mechanism: </w:t>
      </w:r>
      <w:r>
        <w:rPr>
          <w:rFonts w:ascii="Arial" w:cs="Arial" w:eastAsia="Arial" w:hAnsi="Arial"/>
          <w:b w:val="false"/>
          <w:bCs w:val="false"/>
          <w:i w:val="false"/>
          <w:iCs w:val="false"/>
          <w:color w:val="333333"/>
          <w:sz w:val="22"/>
          <w:szCs w:val="22"/>
        </w:rPr>
        <w:t xml:space="preserve">[Describe the specific catalyst — major DoD contract win, allied nation adoption, technology breakthrough, strategic acquisition by prime]</w:t>
      </w:r>
    </w:p>
    <w:p>
      <w:pPr>
        <w:pStyle w:val="ListParagraph"/>
        <w:numPr>
          <w:ilvl w:val="0"/>
          <w:numId w:val="2"/>
        </w:numPr>
      </w:pPr>
      <w:r>
        <w:rPr>
          <w:rFonts w:ascii="Arial" w:cs="Arial" w:eastAsia="Arial" w:hAnsi="Arial"/>
          <w:b/>
          <w:bCs/>
          <w:i w:val="false"/>
          <w:iCs w:val="false"/>
          <w:color w:val="333333"/>
          <w:sz w:val="22"/>
          <w:szCs w:val="22"/>
        </w:rPr>
        <w:t xml:space="preserve">Revenue path: </w:t>
      </w:r>
      <w:r>
        <w:rPr>
          <w:rFonts w:ascii="Arial" w:cs="Arial" w:eastAsia="Arial" w:hAnsi="Arial"/>
          <w:b w:val="false"/>
          <w:bCs w:val="false"/>
          <w:i w:val="false"/>
          <w:iCs w:val="false"/>
          <w:color w:val="333333"/>
          <w:sz w:val="22"/>
          <w:szCs w:val="22"/>
        </w:rPr>
        <w:t xml:space="preserve">$[X]M by FY[YYYY], $[X]M by FY[YYYY+2]</w:t>
      </w:r>
    </w:p>
    <w:p>
      <w:pPr>
        <w:pStyle w:val="ListParagraph"/>
        <w:numPr>
          <w:ilvl w:val="0"/>
          <w:numId w:val="2"/>
        </w:numPr>
      </w:pPr>
      <w:r>
        <w:rPr>
          <w:rFonts w:ascii="Arial" w:cs="Arial" w:eastAsia="Arial" w:hAnsi="Arial"/>
          <w:b/>
          <w:bCs/>
          <w:i w:val="false"/>
          <w:iCs w:val="false"/>
          <w:color w:val="333333"/>
          <w:sz w:val="22"/>
          <w:szCs w:val="22"/>
        </w:rPr>
        <w:t xml:space="preserve">Dilution assumption: </w:t>
      </w:r>
      <w:r>
        <w:rPr>
          <w:rFonts w:ascii="Arial" w:cs="Arial" w:eastAsia="Arial" w:hAnsi="Arial"/>
          <w:b w:val="false"/>
          <w:bCs w:val="false"/>
          <w:i w:val="false"/>
          <w:iCs w:val="false"/>
          <w:color w:val="333333"/>
          <w:sz w:val="22"/>
          <w:szCs w:val="22"/>
        </w:rPr>
        <w:t xml:space="preserve">[X]M additional shares issued at $[X] per share</w:t>
      </w:r>
    </w:p>
    <w:p>
      <w:pPr>
        <w:pStyle w:val="ListParagraph"/>
        <w:numPr>
          <w:ilvl w:val="0"/>
          <w:numId w:val="2"/>
        </w:numPr>
      </w:pPr>
      <w:r>
        <w:rPr>
          <w:rFonts w:ascii="Arial" w:cs="Arial" w:eastAsia="Arial" w:hAnsi="Arial"/>
          <w:b/>
          <w:bCs/>
          <w:i w:val="false"/>
          <w:iCs w:val="false"/>
          <w:color w:val="333333"/>
          <w:sz w:val="22"/>
          <w:szCs w:val="22"/>
        </w:rPr>
        <w:t xml:space="preserve">Margin path: </w:t>
      </w:r>
      <w:r>
        <w:rPr>
          <w:rFonts w:ascii="Arial" w:cs="Arial" w:eastAsia="Arial" w:hAnsi="Arial"/>
          <w:b w:val="false"/>
          <w:bCs w:val="false"/>
          <w:i w:val="false"/>
          <w:iCs w:val="false"/>
          <w:color w:val="333333"/>
          <w:sz w:val="22"/>
          <w:szCs w:val="22"/>
        </w:rPr>
        <w:t xml:space="preserve">Gross margin [X]% by FY[YYYY]</w:t>
      </w:r>
    </w:p>
    <w:p>
      <w:pPr>
        <w:pStyle w:val="ListParagraph"/>
        <w:numPr>
          <w:ilvl w:val="0"/>
          <w:numId w:val="2"/>
        </w:numPr>
      </w:pPr>
      <w:r>
        <w:rPr>
          <w:rFonts w:ascii="Arial" w:cs="Arial" w:eastAsia="Arial" w:hAnsi="Arial"/>
          <w:b/>
          <w:bCs/>
          <w:i w:val="false"/>
          <w:iCs w:val="false"/>
          <w:color w:val="333333"/>
          <w:sz w:val="22"/>
          <w:szCs w:val="22"/>
        </w:rPr>
        <w:t xml:space="preserve">Per-share value: </w:t>
      </w:r>
      <w:r>
        <w:rPr>
          <w:rFonts w:ascii="Arial" w:cs="Arial" w:eastAsia="Arial" w:hAnsi="Arial"/>
          <w:b w:val="false"/>
          <w:bCs w:val="false"/>
          <w:i w:val="false"/>
          <w:iCs w:val="false"/>
          <w:color w:val="333333"/>
          <w:sz w:val="22"/>
          <w:szCs w:val="22"/>
        </w:rPr>
        <w:t xml:space="preserve">$[X] based on [X]x EV/Revenue at [X] shares outstanding</w:t>
      </w:r>
    </w:p>
    <w:p>
      <w:pPr>
        <w:pStyle w:val="ListParagraph"/>
        <w:numPr>
          <w:ilvl w:val="0"/>
          <w:numId w:val="2"/>
        </w:numPr>
      </w:pPr>
      <w:r>
        <w:rPr>
          <w:rFonts w:ascii="Arial" w:cs="Arial" w:eastAsia="Arial" w:hAnsi="Arial"/>
          <w:b/>
          <w:bCs/>
          <w:i w:val="false"/>
          <w:iCs w:val="false"/>
          <w:color w:val="333333"/>
          <w:sz w:val="22"/>
          <w:szCs w:val="22"/>
        </w:rPr>
        <w:t xml:space="preserve">What has to be true: </w:t>
      </w:r>
      <w:r>
        <w:rPr>
          <w:rFonts w:ascii="Arial" w:cs="Arial" w:eastAsia="Arial" w:hAnsi="Arial"/>
          <w:b w:val="false"/>
          <w:bCs w:val="false"/>
          <w:i w:val="false"/>
          <w:iCs w:val="false"/>
          <w:color w:val="333333"/>
          <w:sz w:val="22"/>
          <w:szCs w:val="22"/>
        </w:rPr>
        <w:t xml:space="preserve">[List 3–4 specific conditions]</w:t>
      </w:r>
    </w:p>
    <w:p>
      <w:pPr>
        <w:pStyle w:val="Heading2"/>
      </w:pPr>
      <w:r>
        <w:t xml:space="preserve">Base Case ([X]% probability)</w:t>
      </w:r>
    </w:p>
    <w:p>
      <w:pPr>
        <w:pStyle w:val="ListParagraph"/>
        <w:numPr>
          <w:ilvl w:val="0"/>
          <w:numId w:val="2"/>
        </w:numPr>
      </w:pPr>
      <w:r>
        <w:rPr>
          <w:rFonts w:ascii="Arial" w:cs="Arial" w:eastAsia="Arial" w:hAnsi="Arial"/>
          <w:b/>
          <w:bCs/>
          <w:i w:val="false"/>
          <w:iCs w:val="false"/>
          <w:color w:val="333333"/>
          <w:sz w:val="22"/>
          <w:szCs w:val="22"/>
        </w:rPr>
        <w:t xml:space="preserve">Mechanism: </w:t>
      </w:r>
      <w:r>
        <w:rPr>
          <w:rFonts w:ascii="Arial" w:cs="Arial" w:eastAsia="Arial" w:hAnsi="Arial"/>
          <w:b w:val="false"/>
          <w:bCs w:val="false"/>
          <w:i w:val="false"/>
          <w:iCs w:val="false"/>
          <w:color w:val="333333"/>
          <w:sz w:val="22"/>
          <w:szCs w:val="22"/>
        </w:rPr>
        <w:t xml:space="preserve">[Describe the most likely outcome path]</w:t>
      </w:r>
    </w:p>
    <w:p>
      <w:pPr>
        <w:pStyle w:val="ListParagraph"/>
        <w:numPr>
          <w:ilvl w:val="0"/>
          <w:numId w:val="2"/>
        </w:numPr>
      </w:pPr>
      <w:r>
        <w:rPr>
          <w:rFonts w:ascii="Arial" w:cs="Arial" w:eastAsia="Arial" w:hAnsi="Arial"/>
          <w:b/>
          <w:bCs/>
          <w:i w:val="false"/>
          <w:iCs w:val="false"/>
          <w:color w:val="333333"/>
          <w:sz w:val="22"/>
          <w:szCs w:val="22"/>
        </w:rPr>
        <w:t xml:space="preserve">Revenue path: </w:t>
      </w:r>
      <w:r>
        <w:rPr>
          <w:rFonts w:ascii="Arial" w:cs="Arial" w:eastAsia="Arial" w:hAnsi="Arial"/>
          <w:b w:val="false"/>
          <w:bCs w:val="false"/>
          <w:i w:val="false"/>
          <w:iCs w:val="false"/>
          <w:color w:val="333333"/>
          <w:sz w:val="22"/>
          <w:szCs w:val="22"/>
        </w:rPr>
        <w:t xml:space="preserve">$[X]M by FY[YYYY]</w:t>
      </w:r>
    </w:p>
    <w:p>
      <w:pPr>
        <w:pStyle w:val="ListParagraph"/>
        <w:numPr>
          <w:ilvl w:val="0"/>
          <w:numId w:val="2"/>
        </w:numPr>
      </w:pPr>
      <w:r>
        <w:rPr>
          <w:rFonts w:ascii="Arial" w:cs="Arial" w:eastAsia="Arial" w:hAnsi="Arial"/>
          <w:b/>
          <w:bCs/>
          <w:i w:val="false"/>
          <w:iCs w:val="false"/>
          <w:color w:val="333333"/>
          <w:sz w:val="22"/>
          <w:szCs w:val="22"/>
        </w:rPr>
        <w:t xml:space="preserve">Dilution assumption: </w:t>
      </w:r>
      <w:r>
        <w:rPr>
          <w:rFonts w:ascii="Arial" w:cs="Arial" w:eastAsia="Arial" w:hAnsi="Arial"/>
          <w:b w:val="false"/>
          <w:bCs w:val="false"/>
          <w:i w:val="false"/>
          <w:iCs w:val="false"/>
          <w:color w:val="333333"/>
          <w:sz w:val="22"/>
          <w:szCs w:val="22"/>
        </w:rPr>
        <w:t xml:space="preserve">[X]M additional shares at $[X]</w:t>
      </w:r>
    </w:p>
    <w:p>
      <w:pPr>
        <w:pStyle w:val="ListParagraph"/>
        <w:numPr>
          <w:ilvl w:val="0"/>
          <w:numId w:val="2"/>
        </w:numPr>
      </w:pPr>
      <w:r>
        <w:rPr>
          <w:rFonts w:ascii="Arial" w:cs="Arial" w:eastAsia="Arial" w:hAnsi="Arial"/>
          <w:b/>
          <w:bCs/>
          <w:i w:val="false"/>
          <w:iCs w:val="false"/>
          <w:color w:val="333333"/>
          <w:sz w:val="22"/>
          <w:szCs w:val="22"/>
        </w:rPr>
        <w:t xml:space="preserve">Margin path: </w:t>
      </w:r>
      <w:r>
        <w:rPr>
          <w:rFonts w:ascii="Arial" w:cs="Arial" w:eastAsia="Arial" w:hAnsi="Arial"/>
          <w:b w:val="false"/>
          <w:bCs w:val="false"/>
          <w:i w:val="false"/>
          <w:iCs w:val="false"/>
          <w:color w:val="333333"/>
          <w:sz w:val="22"/>
          <w:szCs w:val="22"/>
        </w:rPr>
        <w:t xml:space="preserve">Gross margin [X]%</w:t>
      </w:r>
    </w:p>
    <w:p>
      <w:pPr>
        <w:pStyle w:val="ListParagraph"/>
        <w:numPr>
          <w:ilvl w:val="0"/>
          <w:numId w:val="2"/>
        </w:numPr>
      </w:pPr>
      <w:r>
        <w:rPr>
          <w:rFonts w:ascii="Arial" w:cs="Arial" w:eastAsia="Arial" w:hAnsi="Arial"/>
          <w:b/>
          <w:bCs/>
          <w:i w:val="false"/>
          <w:iCs w:val="false"/>
          <w:color w:val="333333"/>
          <w:sz w:val="22"/>
          <w:szCs w:val="22"/>
        </w:rPr>
        <w:t xml:space="preserve">Per-share value: </w:t>
      </w:r>
      <w:r>
        <w:rPr>
          <w:rFonts w:ascii="Arial" w:cs="Arial" w:eastAsia="Arial" w:hAnsi="Arial"/>
          <w:b w:val="false"/>
          <w:bCs w:val="false"/>
          <w:i w:val="false"/>
          <w:iCs w:val="false"/>
          <w:color w:val="333333"/>
          <w:sz w:val="22"/>
          <w:szCs w:val="22"/>
        </w:rPr>
        <w:t xml:space="preserve">$[X]</w:t>
      </w:r>
    </w:p>
    <w:p>
      <w:pPr>
        <w:pStyle w:val="ListParagraph"/>
        <w:numPr>
          <w:ilvl w:val="0"/>
          <w:numId w:val="2"/>
        </w:numPr>
      </w:pPr>
      <w:r>
        <w:rPr>
          <w:rFonts w:ascii="Arial" w:cs="Arial" w:eastAsia="Arial" w:hAnsi="Arial"/>
          <w:b/>
          <w:bCs/>
          <w:i w:val="false"/>
          <w:iCs w:val="false"/>
          <w:color w:val="333333"/>
          <w:sz w:val="22"/>
          <w:szCs w:val="22"/>
        </w:rPr>
        <w:t xml:space="preserve">Key milestones: </w:t>
      </w:r>
      <w:r>
        <w:rPr>
          <w:rFonts w:ascii="Arial" w:cs="Arial" w:eastAsia="Arial" w:hAnsi="Arial"/>
          <w:b w:val="false"/>
          <w:bCs w:val="false"/>
          <w:i w:val="false"/>
          <w:iCs w:val="false"/>
          <w:color w:val="333333"/>
          <w:sz w:val="22"/>
          <w:szCs w:val="22"/>
        </w:rPr>
        <w:t xml:space="preserve">[List 3–4 milestones to monitor]</w:t>
      </w:r>
    </w:p>
    <w:p>
      <w:pPr>
        <w:pStyle w:val="Heading2"/>
      </w:pPr>
      <w:r>
        <w:t xml:space="preserve">Bear Case ([X]% probability)</w:t>
      </w:r>
    </w:p>
    <w:p>
      <w:pPr>
        <w:pStyle w:val="ListParagraph"/>
        <w:numPr>
          <w:ilvl w:val="0"/>
          <w:numId w:val="2"/>
        </w:numPr>
      </w:pPr>
      <w:r>
        <w:rPr>
          <w:rFonts w:ascii="Arial" w:cs="Arial" w:eastAsia="Arial" w:hAnsi="Arial"/>
          <w:b/>
          <w:bCs/>
          <w:i w:val="false"/>
          <w:iCs w:val="false"/>
          <w:color w:val="333333"/>
          <w:sz w:val="22"/>
          <w:szCs w:val="22"/>
        </w:rPr>
        <w:t xml:space="preserve">Mechanism: </w:t>
      </w:r>
      <w:r>
        <w:rPr>
          <w:rFonts w:ascii="Arial" w:cs="Arial" w:eastAsia="Arial" w:hAnsi="Arial"/>
          <w:b w:val="false"/>
          <w:bCs w:val="false"/>
          <w:i w:val="false"/>
          <w:iCs w:val="false"/>
          <w:color w:val="333333"/>
          <w:sz w:val="22"/>
          <w:szCs w:val="22"/>
        </w:rPr>
        <w:t xml:space="preserve">[Describe the specific failure mode — pipeline fails to convert? Competitor wins key program? Technology rendered obsolete? Cash crunch?]</w:t>
      </w:r>
    </w:p>
    <w:p>
      <w:pPr>
        <w:pStyle w:val="ListParagraph"/>
        <w:numPr>
          <w:ilvl w:val="0"/>
          <w:numId w:val="2"/>
        </w:numPr>
      </w:pPr>
      <w:r>
        <w:rPr>
          <w:rFonts w:ascii="Arial" w:cs="Arial" w:eastAsia="Arial" w:hAnsi="Arial"/>
          <w:b/>
          <w:bCs/>
          <w:i w:val="false"/>
          <w:iCs w:val="false"/>
          <w:color w:val="333333"/>
          <w:sz w:val="22"/>
          <w:szCs w:val="22"/>
        </w:rPr>
        <w:t xml:space="preserve">Revenue path: </w:t>
      </w:r>
      <w:r>
        <w:rPr>
          <w:rFonts w:ascii="Arial" w:cs="Arial" w:eastAsia="Arial" w:hAnsi="Arial"/>
          <w:b w:val="false"/>
          <w:bCs w:val="false"/>
          <w:i w:val="false"/>
          <w:iCs w:val="false"/>
          <w:color w:val="333333"/>
          <w:sz w:val="22"/>
          <w:szCs w:val="22"/>
        </w:rPr>
        <w:t xml:space="preserve">$[X]M (flat or declining)</w:t>
      </w:r>
    </w:p>
    <w:p>
      <w:pPr>
        <w:pStyle w:val="ListParagraph"/>
        <w:numPr>
          <w:ilvl w:val="0"/>
          <w:numId w:val="2"/>
        </w:numPr>
      </w:pPr>
      <w:r>
        <w:rPr>
          <w:rFonts w:ascii="Arial" w:cs="Arial" w:eastAsia="Arial" w:hAnsi="Arial"/>
          <w:b/>
          <w:bCs/>
          <w:i w:val="false"/>
          <w:iCs w:val="false"/>
          <w:color w:val="333333"/>
          <w:sz w:val="22"/>
          <w:szCs w:val="22"/>
        </w:rPr>
        <w:t xml:space="preserve">Dilution assumption: </w:t>
      </w:r>
      <w:r>
        <w:rPr>
          <w:rFonts w:ascii="Arial" w:cs="Arial" w:eastAsia="Arial" w:hAnsi="Arial"/>
          <w:b w:val="false"/>
          <w:bCs w:val="false"/>
          <w:i w:val="false"/>
          <w:iCs w:val="false"/>
          <w:color w:val="333333"/>
          <w:sz w:val="22"/>
          <w:szCs w:val="22"/>
        </w:rPr>
        <w:t xml:space="preserve">Severe — [X]M shares at distressed pricing</w:t>
      </w:r>
    </w:p>
    <w:p>
      <w:pPr>
        <w:pStyle w:val="ListParagraph"/>
        <w:numPr>
          <w:ilvl w:val="0"/>
          <w:numId w:val="2"/>
        </w:numPr>
      </w:pPr>
      <w:r>
        <w:rPr>
          <w:rFonts w:ascii="Arial" w:cs="Arial" w:eastAsia="Arial" w:hAnsi="Arial"/>
          <w:b/>
          <w:bCs/>
          <w:i w:val="false"/>
          <w:iCs w:val="false"/>
          <w:color w:val="333333"/>
          <w:sz w:val="22"/>
          <w:szCs w:val="22"/>
        </w:rPr>
        <w:t xml:space="preserve">Per-share value: </w:t>
      </w:r>
      <w:r>
        <w:rPr>
          <w:rFonts w:ascii="Arial" w:cs="Arial" w:eastAsia="Arial" w:hAnsi="Arial"/>
          <w:b w:val="false"/>
          <w:bCs w:val="false"/>
          <w:i w:val="false"/>
          <w:iCs w:val="false"/>
          <w:color w:val="333333"/>
          <w:sz w:val="22"/>
          <w:szCs w:val="22"/>
        </w:rPr>
        <w:t xml:space="preserve">$[X] (may approach zero if cash runs out)</w:t>
      </w:r>
    </w:p>
    <w:p>
      <w:pPr>
        <w:pStyle w:val="ListParagraph"/>
        <w:numPr>
          <w:ilvl w:val="0"/>
          <w:numId w:val="2"/>
        </w:numPr>
      </w:pPr>
      <w:r>
        <w:rPr>
          <w:rFonts w:ascii="Arial" w:cs="Arial" w:eastAsia="Arial" w:hAnsi="Arial"/>
          <w:b/>
          <w:bCs/>
          <w:i w:val="false"/>
          <w:iCs w:val="false"/>
          <w:color w:val="333333"/>
          <w:sz w:val="22"/>
          <w:szCs w:val="22"/>
        </w:rPr>
        <w:t xml:space="preserve">Bear case nature: </w:t>
      </w:r>
      <w:r>
        <w:rPr>
          <w:rFonts w:ascii="Arial" w:cs="Arial" w:eastAsia="Arial" w:hAnsi="Arial"/>
          <w:b w:val="false"/>
          <w:bCs w:val="false"/>
          <w:i w:val="false"/>
          <w:iCs w:val="false"/>
          <w:color w:val="333333"/>
          <w:sz w:val="22"/>
          <w:szCs w:val="22"/>
        </w:rPr>
        <w:t xml:space="preserve">[Cyclical (defense spending dip, recoverable) vs. Structural (technology obsolescence, permanent impairment) vs. Existential (cash exhaustion, possible total loss)]</w:t>
      </w:r>
    </w:p>
    <w:p>
      <w:pPr>
        <w:spacing w:after="200"/>
      </w:pPr>
      <w:r>
        <w:rPr>
          <w:rFonts w:ascii="Arial" w:cs="Arial" w:eastAsia="Arial" w:hAnsi="Arial"/>
          <w:b/>
          <w:bCs/>
          <w:i w:val="false"/>
          <w:iCs w:val="false"/>
          <w:color w:val="333333"/>
          <w:sz w:val="22"/>
          <w:szCs w:val="22"/>
        </w:rPr>
        <w:t xml:space="preserve">Probability-Weighted Value: </w:t>
      </w:r>
      <w:r>
        <w:rPr>
          <w:rFonts w:ascii="Arial" w:cs="Arial" w:eastAsia="Arial" w:hAnsi="Arial"/>
          <w:b w:val="false"/>
          <w:bCs w:val="false"/>
          <w:i/>
          <w:iCs/>
          <w:color w:val="333333"/>
          <w:sz w:val="22"/>
          <w:szCs w:val="22"/>
        </w:rPr>
        <w:t xml:space="preserve">(Bull × P_bull) + (Base × P_base) + (Bear × P_bear) = $[X] per share vs. current price of $[X]. Margin of safety: [X]%.</w:t>
      </w:r>
    </w:p>
    <w:p>
      <w:r>
        <w:br w:type="page"/>
      </w:r>
    </w:p>
    <w:p>
      <w:pPr>
        <w:pStyle w:val="Heading1"/>
      </w:pPr>
      <w:r>
        <w:t xml:space="preserve">X. STEP 7: VALUATION GATE</w:t>
      </w:r>
    </w:p>
    <w:p>
      <w:pPr>
        <w:spacing w:after="200"/>
      </w:pPr>
      <w:r>
        <w:rPr>
          <w:rFonts w:ascii="Arial" w:cs="Arial" w:eastAsia="Arial" w:hAnsi="Arial"/>
          <w:b w:val="false"/>
          <w:bCs w:val="false"/>
          <w:i w:val="false"/>
          <w:iCs w:val="false"/>
          <w:color w:val="333333"/>
          <w:sz w:val="22"/>
          <w:szCs w:val="22"/>
        </w:rPr>
        <w:t xml:space="preserve">Even the most promising defense technology company is a bad investment at the wrong price. The Valuation Gate tests whether the current entry price offers sufficient margin of safety for the classification. This is especially critical for pre-revenue companies where narrative momentum can detach price from fundamentals.</w:t>
      </w:r>
    </w:p>
    <w:p>
      <w:pPr>
        <w:pStyle w:val="Heading2"/>
      </w:pPr>
      <w:r>
        <w:t xml:space="preserve">Preferred Valuation Metrics (for pre-revenue defense tech)</w:t>
      </w:r>
    </w:p>
    <w:p>
      <w:pPr>
        <w:pStyle w:val="ListParagraph"/>
        <w:numPr>
          <w:ilvl w:val="0"/>
          <w:numId w:val="2"/>
        </w:numPr>
      </w:pPr>
      <w:r>
        <w:rPr>
          <w:rFonts w:ascii="Arial" w:cs="Arial" w:eastAsia="Arial" w:hAnsi="Arial"/>
          <w:b/>
          <w:bCs/>
          <w:i w:val="false"/>
          <w:iCs w:val="false"/>
          <w:color w:val="333333"/>
          <w:sz w:val="22"/>
          <w:szCs w:val="22"/>
        </w:rPr>
        <w:t xml:space="preserve">Primary: EV / Contracted Backlog</w:t>
      </w:r>
      <w:r>
        <w:rPr>
          <w:rFonts w:ascii="Arial" w:cs="Arial" w:eastAsia="Arial" w:hAnsi="Arial"/>
          <w:b w:val="false"/>
          <w:bCs w:val="false"/>
          <w:i w:val="false"/>
          <w:iCs w:val="false"/>
          <w:color w:val="333333"/>
          <w:sz w:val="22"/>
          <w:szCs w:val="22"/>
        </w:rPr>
        <w:t xml:space="preserve"> — How much are you paying per dollar of committed (legally binding) revenue? Below 5x = reasonable for high-growth defense software. 5–15x = aggressive but justifiable with strong TMI. Above 15x = extreme conviction required.</w:t>
      </w:r>
    </w:p>
    <w:p>
      <w:pPr>
        <w:pStyle w:val="ListParagraph"/>
        <w:numPr>
          <w:ilvl w:val="0"/>
          <w:numId w:val="2"/>
        </w:numPr>
      </w:pPr>
      <w:r>
        <w:rPr>
          <w:rFonts w:ascii="Arial" w:cs="Arial" w:eastAsia="Arial" w:hAnsi="Arial"/>
          <w:b/>
          <w:bCs/>
          <w:i w:val="false"/>
          <w:iCs w:val="false"/>
          <w:color w:val="333333"/>
          <w:sz w:val="22"/>
          <w:szCs w:val="22"/>
        </w:rPr>
        <w:t xml:space="preserve">Secondary: EV / Pipeline (Firm + Weighted MOUs)</w:t>
      </w:r>
      <w:r>
        <w:rPr>
          <w:rFonts w:ascii="Arial" w:cs="Arial" w:eastAsia="Arial" w:hAnsi="Arial"/>
          <w:b w:val="false"/>
          <w:bCs w:val="false"/>
          <w:i w:val="false"/>
          <w:iCs w:val="false"/>
          <w:color w:val="333333"/>
          <w:sz w:val="22"/>
          <w:szCs w:val="22"/>
        </w:rPr>
        <w:t xml:space="preserve"> — Weight MOUs at 25–50% probability. This gives a broader view of potential revenue but must be discounted for non-binding nature.</w:t>
      </w:r>
    </w:p>
    <w:p>
      <w:pPr>
        <w:pStyle w:val="ListParagraph"/>
        <w:numPr>
          <w:ilvl w:val="0"/>
          <w:numId w:val="2"/>
        </w:numPr>
      </w:pPr>
      <w:r>
        <w:rPr>
          <w:rFonts w:ascii="Arial" w:cs="Arial" w:eastAsia="Arial" w:hAnsi="Arial"/>
          <w:b/>
          <w:bCs/>
          <w:i w:val="false"/>
          <w:iCs w:val="false"/>
          <w:color w:val="333333"/>
          <w:sz w:val="22"/>
          <w:szCs w:val="22"/>
        </w:rPr>
        <w:t xml:space="preserve">Tertiary: Implied Market Share Test</w:t>
      </w:r>
      <w:r>
        <w:rPr>
          <w:rFonts w:ascii="Arial" w:cs="Arial" w:eastAsia="Arial" w:hAnsi="Arial"/>
          <w:b w:val="false"/>
          <w:bCs w:val="false"/>
          <w:i w:val="false"/>
          <w:iCs w:val="false"/>
          <w:color w:val="333333"/>
          <w:sz w:val="22"/>
          <w:szCs w:val="22"/>
        </w:rPr>
        <w:t xml:space="preserve"> — At the current EV, what percentage of the addressable TAM must the company capture at a target terminal margin (e.g., 25% operating margin) to justify the price? If implied market share exceeds 5% of a well-defined TAM, the stock is priced for exceptional execution.</w:t>
      </w:r>
    </w:p>
    <w:p>
      <w:pPr>
        <w:pStyle w:val="ListParagraph"/>
        <w:numPr>
          <w:ilvl w:val="0"/>
          <w:numId w:val="2"/>
        </w:numPr>
      </w:pPr>
      <w:r>
        <w:rPr>
          <w:rFonts w:ascii="Arial" w:cs="Arial" w:eastAsia="Arial" w:hAnsi="Arial"/>
          <w:b/>
          <w:bCs/>
          <w:i w:val="false"/>
          <w:iCs w:val="false"/>
          <w:color w:val="333333"/>
          <w:sz w:val="22"/>
          <w:szCs w:val="22"/>
        </w:rPr>
        <w:t xml:space="preserve">Avoid: EV / Trailing Revenue</w:t>
      </w:r>
      <w:r>
        <w:rPr>
          <w:rFonts w:ascii="Arial" w:cs="Arial" w:eastAsia="Arial" w:hAnsi="Arial"/>
          <w:b w:val="false"/>
          <w:bCs w:val="false"/>
          <w:i w:val="false"/>
          <w:iCs w:val="false"/>
          <w:color w:val="333333"/>
          <w:sz w:val="22"/>
          <w:szCs w:val="22"/>
        </w:rPr>
        <w:t xml:space="preserve"> — At 2,000x+ multiples, this metric is meaningless noise. It tells you nothing about the future and creates false precision.</w:t>
      </w:r>
    </w:p>
    <w:p>
      <w:pPr>
        <w:pStyle w:val="Heading2"/>
      </w:pPr>
      <w:r>
        <w:t xml:space="preserve">Acceptable Entry Multiples by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EV/Backlog</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EV/Pipeline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Implied Share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E7D32"/>
                <w:sz w:val="20"/>
                <w:szCs w:val="20"/>
              </w:rPr>
              <w:t xml:space="preserve">Defense Tech Compounder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&lt; 10x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&lt; 5x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&lt; 3% of TAM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E75B6"/>
                <w:sz w:val="20"/>
                <w:szCs w:val="20"/>
              </w:rPr>
              <w:t xml:space="preserve">Growth-Stage Contender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&lt; 15x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&lt; 8x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&lt; 5% of TAM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FF8C00"/>
                <w:sz w:val="20"/>
                <w:szCs w:val="20"/>
              </w:rPr>
              <w:t xml:space="preserve">Narrative-Stage Venture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&lt; 20x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&lt; 12x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&lt; 8% of TAM</w:t>
            </w:r>
          </w:p>
        </w:tc>
      </w:tr>
    </w:tbl>
    <w:p>
      <w:pPr>
        <w:spacing w:after="100"/>
      </w:pPr>
      <w:r>
        <w:rPr>
          <w:rFonts w:ascii="Arial" w:cs="Arial" w:eastAsia="Arial" w:hAnsi="Arial"/>
          <w:b w:val="false"/>
          <w:bCs w:val="false"/>
          <w:i w:val="false"/>
          <w:iCs w:val="false"/>
          <w:color w:val="333333"/>
          <w:sz w:val="22"/>
          <w:szCs w:val="22"/>
        </w:rPr>
        <w:t xml:space="preserve"/>
      </w:r>
    </w:p>
    <w:p>
      <w:pPr>
        <w:spacing w:after="200"/>
      </w:pPr>
      <w:r>
        <w:rPr>
          <w:rFonts w:ascii="Arial" w:cs="Arial" w:eastAsia="Arial" w:hAnsi="Arial"/>
          <w:b/>
          <w:bCs/>
          <w:i w:val="false"/>
          <w:iCs w:val="false"/>
          <w:color w:val="333333"/>
          <w:sz w:val="22"/>
          <w:szCs w:val="22"/>
        </w:rPr>
        <w:t xml:space="preserve">IPO Lockup Check: </w:t>
      </w:r>
      <w:r>
        <w:rPr>
          <w:rFonts w:ascii="Arial" w:cs="Arial" w:eastAsia="Arial" w:hAnsi="Arial"/>
          <w:b w:val="false"/>
          <w:bCs w:val="false"/>
          <w:i w:val="false"/>
          <w:iCs w:val="false"/>
          <w:color w:val="333333"/>
          <w:sz w:val="22"/>
          <w:szCs w:val="22"/>
        </w:rPr>
        <w:t xml:space="preserve">For companies within 180 days of IPO, flag the lockup expiration date. Post-lockup selling pressure can create better entry points. Do not initiate a full position before lockup expiration unless the thesis is time-sensitive (e.g., imminent contract announcement).</w:t>
      </w:r>
    </w:p>
    <w:p>
      <w:pPr>
        <w:spacing w:after="200"/>
      </w:pPr>
      <w:r>
        <w:rPr>
          <w:rFonts w:ascii="Arial" w:cs="Arial" w:eastAsia="Arial" w:hAnsi="Arial"/>
          <w:b/>
          <w:bCs/>
          <w:i w:val="false"/>
          <w:iCs w:val="false"/>
          <w:color w:val="333333"/>
          <w:sz w:val="22"/>
          <w:szCs w:val="22"/>
        </w:rPr>
        <w:t xml:space="preserve">Dilution-Adjusted Target: </w:t>
      </w:r>
      <w:r>
        <w:rPr>
          <w:rFonts w:ascii="Arial" w:cs="Arial" w:eastAsia="Arial" w:hAnsi="Arial"/>
          <w:b w:val="false"/>
          <w:bCs w:val="false"/>
          <w:i w:val="false"/>
          <w:iCs w:val="false"/>
          <w:color w:val="333333"/>
          <w:sz w:val="22"/>
          <w:szCs w:val="22"/>
        </w:rPr>
        <w:t xml:space="preserve">Calculate the per-share target price AFTER assumed future dilution from the next capital raise. A $50 target on 12M shares becomes a $37.50 target if the company issues 4M additional shares.</w:t>
      </w:r>
    </w:p>
    <w:p>
      <w:r>
        <w:br w:type="page"/>
      </w:r>
    </w:p>
    <w:p>
      <w:pPr>
        <w:pStyle w:val="Heading1"/>
      </w:pPr>
      <w:r>
        <w:t xml:space="preserve">XI. STEP 8: FINAL VERDICT TEMPLATE</w:t>
      </w:r>
    </w:p>
    <w:p>
      <w:pPr>
        <w:spacing w:after="200"/>
      </w:pPr>
      <w:r>
        <w:rPr>
          <w:rFonts w:ascii="Arial" w:cs="Arial" w:eastAsia="Arial" w:hAnsi="Arial"/>
          <w:b w:val="false"/>
          <w:bCs w:val="false"/>
          <w:i w:val="false"/>
          <w:iCs w:val="false"/>
          <w:color w:val="333333"/>
          <w:sz w:val="22"/>
          <w:szCs w:val="22"/>
        </w:rPr>
        <w:t xml:space="preserve">Use this template for every company assessed through the framework.</w:t>
      </w:r>
    </w:p>
    <w:p>
      <w:pPr>
        <w:pBdr>
          <w:bottom w:val="single" w:color="2E75B6" w:sz="4" w:space="1"/>
        </w:pBdr>
        <w:spacing w:after="200"/>
      </w:pPr>
    </w:p>
    <w:p>
      <w:pPr>
        <w:spacing w:after="200"/>
      </w:pPr>
      <w:r>
        <w:rPr>
          <w:rFonts w:ascii="Arial" w:cs="Arial" w:eastAsia="Arial" w:hAnsi="Arial"/>
          <w:b/>
          <w:bCs/>
          <w:i w:val="false"/>
          <w:iCs w:val="false"/>
          <w:color w:val="333333"/>
          <w:sz w:val="22"/>
          <w:szCs w:val="22"/>
        </w:rPr>
        <w:t xml:space="preserve">Company: </w:t>
      </w:r>
      <w:r>
        <w:rPr>
          <w:rFonts w:ascii="Arial" w:cs="Arial" w:eastAsia="Arial" w:hAnsi="Arial"/>
          <w:b w:val="false"/>
          <w:bCs w:val="false"/>
          <w:i/>
          <w:iCs/>
          <w:color w:val="666666"/>
          <w:sz w:val="22"/>
          <w:szCs w:val="22"/>
        </w:rPr>
        <w:t xml:space="preserve">[Name]</w:t>
      </w:r>
    </w:p>
    <w:p>
      <w:pPr>
        <w:spacing w:after="200"/>
      </w:pPr>
      <w:r>
        <w:rPr>
          <w:rFonts w:ascii="Arial" w:cs="Arial" w:eastAsia="Arial" w:hAnsi="Arial"/>
          <w:b/>
          <w:bCs/>
          <w:i w:val="false"/>
          <w:iCs w:val="false"/>
          <w:color w:val="333333"/>
          <w:sz w:val="22"/>
          <w:szCs w:val="22"/>
        </w:rPr>
        <w:t xml:space="preserve">Ticker: </w:t>
      </w:r>
      <w:r>
        <w:rPr>
          <w:rFonts w:ascii="Arial" w:cs="Arial" w:eastAsia="Arial" w:hAnsi="Arial"/>
          <w:b w:val="false"/>
          <w:bCs w:val="false"/>
          <w:i/>
          <w:iCs/>
          <w:color w:val="666666"/>
          <w:sz w:val="22"/>
          <w:szCs w:val="22"/>
        </w:rPr>
        <w:t xml:space="preserve">[Ticker] ([Exchange])</w:t>
      </w:r>
    </w:p>
    <w:p>
      <w:pPr>
        <w:spacing w:after="200"/>
      </w:pPr>
      <w:r>
        <w:rPr>
          <w:rFonts w:ascii="Arial" w:cs="Arial" w:eastAsia="Arial" w:hAnsi="Arial"/>
          <w:b/>
          <w:bCs/>
          <w:i w:val="false"/>
          <w:iCs w:val="false"/>
          <w:color w:val="333333"/>
          <w:sz w:val="22"/>
          <w:szCs w:val="22"/>
        </w:rPr>
        <w:t xml:space="preserve">Date of Assessment: </w:t>
      </w:r>
      <w:r>
        <w:rPr>
          <w:rFonts w:ascii="Arial" w:cs="Arial" w:eastAsia="Arial" w:hAnsi="Arial"/>
          <w:b w:val="false"/>
          <w:bCs w:val="false"/>
          <w:i/>
          <w:iCs/>
          <w:color w:val="666666"/>
          <w:sz w:val="22"/>
          <w:szCs w:val="22"/>
        </w:rPr>
        <w:t xml:space="preserve">[Date]</w:t>
      </w:r>
    </w:p>
    <w:p>
      <w:pPr>
        <w:spacing w:after="200"/>
      </w:pPr>
      <w:r>
        <w:rPr>
          <w:rFonts w:ascii="Arial" w:cs="Arial" w:eastAsia="Arial" w:hAnsi="Arial"/>
          <w:b/>
          <w:bCs/>
          <w:i w:val="false"/>
          <w:iCs w:val="false"/>
          <w:color w:val="333333"/>
          <w:sz w:val="22"/>
          <w:szCs w:val="22"/>
        </w:rPr>
        <w:t xml:space="preserve">Days Since IPO: </w:t>
      </w:r>
      <w:r>
        <w:rPr>
          <w:rFonts w:ascii="Arial" w:cs="Arial" w:eastAsia="Arial" w:hAnsi="Arial"/>
          <w:b w:val="false"/>
          <w:bCs w:val="false"/>
          <w:i/>
          <w:iCs/>
          <w:color w:val="666666"/>
          <w:sz w:val="22"/>
          <w:szCs w:val="22"/>
        </w:rPr>
        <w:t xml:space="preserve">[X] days (if applicable)</w:t>
      </w:r>
    </w:p>
    <w:p>
      <w:pPr>
        <w:spacing w:after="40"/>
      </w:pPr>
      <w:r>
        <w:rPr>
          <w:rFonts w:ascii="Arial" w:cs="Arial" w:eastAsia="Arial" w:hAnsi="Arial"/>
          <w:b w:val="false"/>
          <w:bCs w:val="false"/>
          <w:i w:val="false"/>
          <w:iCs w:val="false"/>
          <w:color w:val="333333"/>
          <w:sz w:val="22"/>
          <w:szCs w:val="22"/>
        </w:rPr>
        <w:t xml:space="preserve"/>
      </w:r>
    </w:p>
    <w:p>
      <w:pPr>
        <w:spacing w:after="200"/>
      </w:pPr>
      <w:r>
        <w:rPr>
          <w:rFonts w:ascii="Arial" w:cs="Arial" w:eastAsia="Arial" w:hAnsi="Arial"/>
          <w:b/>
          <w:bCs/>
          <w:i w:val="false"/>
          <w:iCs w:val="false"/>
          <w:color w:val="333333"/>
          <w:sz w:val="22"/>
          <w:szCs w:val="22"/>
        </w:rPr>
        <w:t xml:space="preserve">Classification: </w:t>
      </w:r>
      <w:r>
        <w:rPr>
          <w:rFonts w:ascii="Arial" w:cs="Arial" w:eastAsia="Arial" w:hAnsi="Arial"/>
          <w:b w:val="false"/>
          <w:bCs w:val="false"/>
          <w:i/>
          <w:iCs/>
          <w:color w:val="666666"/>
          <w:sz w:val="22"/>
          <w:szCs w:val="22"/>
        </w:rPr>
        <w:t xml:space="preserve">[Defense Tech Compounder / Growth-Stage Contender / Narrative-Stage Venture / Hype Trap]</w:t>
      </w:r>
    </w:p>
    <w:p>
      <w:pPr>
        <w:spacing w:after="200"/>
      </w:pPr>
      <w:r>
        <w:rPr>
          <w:rFonts w:ascii="Arial" w:cs="Arial" w:eastAsia="Arial" w:hAnsi="Arial"/>
          <w:b/>
          <w:bCs/>
          <w:i w:val="false"/>
          <w:iCs w:val="false"/>
          <w:color w:val="333333"/>
          <w:sz w:val="22"/>
          <w:szCs w:val="22"/>
        </w:rPr>
        <w:t xml:space="preserve">Final Composite: </w:t>
      </w:r>
      <w:r>
        <w:rPr>
          <w:rFonts w:ascii="Arial" w:cs="Arial" w:eastAsia="Arial" w:hAnsi="Arial"/>
          <w:b w:val="false"/>
          <w:bCs w:val="false"/>
          <w:i/>
          <w:iCs/>
          <w:color w:val="666666"/>
          <w:sz w:val="22"/>
          <w:szCs w:val="22"/>
        </w:rPr>
        <w:t xml:space="preserve">[X.XX] / 10.25</w:t>
      </w:r>
    </w:p>
    <w:p>
      <w:pPr>
        <w:spacing w:after="200"/>
      </w:pPr>
      <w:r>
        <w:rPr>
          <w:rFonts w:ascii="Arial" w:cs="Arial" w:eastAsia="Arial" w:hAnsi="Arial"/>
          <w:b/>
          <w:bCs/>
          <w:i w:val="false"/>
          <w:iCs w:val="false"/>
          <w:color w:val="333333"/>
          <w:sz w:val="22"/>
          <w:szCs w:val="22"/>
        </w:rPr>
        <w:t xml:space="preserve">TMI Pre-Screen: </w:t>
      </w:r>
      <w:r>
        <w:rPr>
          <w:rFonts w:ascii="Arial" w:cs="Arial" w:eastAsia="Arial" w:hAnsi="Arial"/>
          <w:b w:val="false"/>
          <w:bCs w:val="false"/>
          <w:i/>
          <w:iCs/>
          <w:color w:val="666666"/>
          <w:sz w:val="22"/>
          <w:szCs w:val="22"/>
        </w:rPr>
        <w:t xml:space="preserve">[X/14] — [FORTRESS / SOLID / PARTIAL / WEAK]</w:t>
      </w:r>
    </w:p>
    <w:p>
      <w:pPr>
        <w:spacing w:after="200"/>
      </w:pPr>
      <w:r>
        <w:rPr>
          <w:rFonts w:ascii="Arial" w:cs="Arial" w:eastAsia="Arial" w:hAnsi="Arial"/>
          <w:b/>
          <w:bCs/>
          <w:i w:val="false"/>
          <w:iCs w:val="false"/>
          <w:color w:val="333333"/>
          <w:sz w:val="22"/>
          <w:szCs w:val="22"/>
        </w:rPr>
        <w:t xml:space="preserve">Pipeline Gate: </w:t>
      </w:r>
      <w:r>
        <w:rPr>
          <w:rFonts w:ascii="Arial" w:cs="Arial" w:eastAsia="Arial" w:hAnsi="Arial"/>
          <w:b w:val="false"/>
          <w:bCs w:val="false"/>
          <w:i/>
          <w:iCs/>
          <w:color w:val="666666"/>
          <w:sz w:val="22"/>
          <w:szCs w:val="22"/>
        </w:rPr>
        <w:t xml:space="preserve">[PASS / FAIL] — Firm contracts [X]x trailing revenue</w:t>
      </w:r>
    </w:p>
    <w:p>
      <w:pPr>
        <w:spacing w:after="200"/>
      </w:pPr>
      <w:r>
        <w:rPr>
          <w:rFonts w:ascii="Arial" w:cs="Arial" w:eastAsia="Arial" w:hAnsi="Arial"/>
          <w:b/>
          <w:bCs/>
          <w:i w:val="false"/>
          <w:iCs w:val="false"/>
          <w:color w:val="333333"/>
          <w:sz w:val="22"/>
          <w:szCs w:val="22"/>
        </w:rPr>
        <w:t xml:space="preserve">Projected Gross Margin at Scale: </w:t>
      </w:r>
      <w:r>
        <w:rPr>
          <w:rFonts w:ascii="Arial" w:cs="Arial" w:eastAsia="Arial" w:hAnsi="Arial"/>
          <w:b w:val="false"/>
          <w:bCs w:val="false"/>
          <w:i/>
          <w:iCs/>
          <w:color w:val="666666"/>
          <w:sz w:val="22"/>
          <w:szCs w:val="22"/>
        </w:rPr>
        <w:t xml:space="preserve">[X]%</w:t>
      </w:r>
    </w:p>
    <w:p>
      <w:pPr>
        <w:spacing w:after="200"/>
      </w:pPr>
      <w:r>
        <w:rPr>
          <w:rFonts w:ascii="Arial" w:cs="Arial" w:eastAsia="Arial" w:hAnsi="Arial"/>
          <w:b/>
          <w:bCs/>
          <w:i w:val="false"/>
          <w:iCs w:val="false"/>
          <w:color w:val="333333"/>
          <w:sz w:val="22"/>
          <w:szCs w:val="22"/>
        </w:rPr>
        <w:t xml:space="preserve">Cash Runway: </w:t>
      </w:r>
      <w:r>
        <w:rPr>
          <w:rFonts w:ascii="Arial" w:cs="Arial" w:eastAsia="Arial" w:hAnsi="Arial"/>
          <w:b w:val="false"/>
          <w:bCs w:val="false"/>
          <w:i/>
          <w:iCs/>
          <w:color w:val="666666"/>
          <w:sz w:val="22"/>
          <w:szCs w:val="22"/>
        </w:rPr>
        <w:t xml:space="preserve">[X] months at current burn</w:t>
      </w:r>
    </w:p>
    <w:p>
      <w:pPr>
        <w:spacing w:after="200"/>
      </w:pPr>
      <w:r>
        <w:rPr>
          <w:rFonts w:ascii="Arial" w:cs="Arial" w:eastAsia="Arial" w:hAnsi="Arial"/>
          <w:b/>
          <w:bCs/>
          <w:i w:val="false"/>
          <w:iCs w:val="false"/>
          <w:color w:val="333333"/>
          <w:sz w:val="22"/>
          <w:szCs w:val="22"/>
        </w:rPr>
        <w:t xml:space="preserve">Scenarios: </w:t>
      </w:r>
      <w:r>
        <w:rPr>
          <w:rFonts w:ascii="Arial" w:cs="Arial" w:eastAsia="Arial" w:hAnsi="Arial"/>
          <w:b w:val="false"/>
          <w:bCs w:val="false"/>
          <w:i/>
          <w:iCs/>
          <w:color w:val="666666"/>
          <w:sz w:val="22"/>
          <w:szCs w:val="22"/>
        </w:rPr>
        <w:t xml:space="preserve">Bull $[X] ([X]%) | Base $[X] ([X]%) | Bear $[X] ([X]%)</w:t>
      </w:r>
    </w:p>
    <w:p>
      <w:pPr>
        <w:spacing w:after="200"/>
      </w:pPr>
      <w:r>
        <w:rPr>
          <w:rFonts w:ascii="Arial" w:cs="Arial" w:eastAsia="Arial" w:hAnsi="Arial"/>
          <w:b/>
          <w:bCs/>
          <w:i w:val="false"/>
          <w:iCs w:val="false"/>
          <w:color w:val="333333"/>
          <w:sz w:val="22"/>
          <w:szCs w:val="22"/>
        </w:rPr>
        <w:t xml:space="preserve">Probability-Weighted Value: </w:t>
      </w:r>
      <w:r>
        <w:rPr>
          <w:rFonts w:ascii="Arial" w:cs="Arial" w:eastAsia="Arial" w:hAnsi="Arial"/>
          <w:b w:val="false"/>
          <w:bCs w:val="false"/>
          <w:i/>
          <w:iCs/>
          <w:color w:val="666666"/>
          <w:sz w:val="22"/>
          <w:szCs w:val="22"/>
        </w:rPr>
        <w:t xml:space="preserve">$[X] per share vs. current price $[X]</w:t>
      </w:r>
    </w:p>
    <w:p>
      <w:pPr>
        <w:spacing w:after="200"/>
      </w:pPr>
      <w:r>
        <w:rPr>
          <w:rFonts w:ascii="Arial" w:cs="Arial" w:eastAsia="Arial" w:hAnsi="Arial"/>
          <w:b/>
          <w:bCs/>
          <w:i w:val="false"/>
          <w:iCs w:val="false"/>
          <w:color w:val="333333"/>
          <w:sz w:val="22"/>
          <w:szCs w:val="22"/>
        </w:rPr>
        <w:t xml:space="preserve">Valuation Gate: </w:t>
      </w:r>
      <w:r>
        <w:rPr>
          <w:rFonts w:ascii="Arial" w:cs="Arial" w:eastAsia="Arial" w:hAnsi="Arial"/>
          <w:b w:val="false"/>
          <w:bCs w:val="false"/>
          <w:i/>
          <w:iCs/>
          <w:color w:val="666666"/>
          <w:sz w:val="22"/>
          <w:szCs w:val="22"/>
        </w:rPr>
        <w:t xml:space="preserve">[PASS / BORDERLINE / FAIL] at [X]x EV/Backlog</w:t>
      </w:r>
    </w:p>
    <w:p>
      <w:pPr>
        <w:spacing w:after="40"/>
      </w:pPr>
      <w:r>
        <w:rPr>
          <w:rFonts w:ascii="Arial" w:cs="Arial" w:eastAsia="Arial" w:hAnsi="Arial"/>
          <w:b w:val="false"/>
          <w:bCs w:val="false"/>
          <w:i w:val="false"/>
          <w:iCs w:val="false"/>
          <w:color w:val="333333"/>
          <w:sz w:val="22"/>
          <w:szCs w:val="22"/>
        </w:rPr>
        <w:t xml:space="preserve"/>
      </w:r>
    </w:p>
    <w:p>
      <w:pPr>
        <w:spacing w:after="200"/>
      </w:pPr>
      <w:r>
        <w:rPr>
          <w:rFonts w:ascii="Arial" w:cs="Arial" w:eastAsia="Arial" w:hAnsi="Arial"/>
          <w:b/>
          <w:bCs/>
          <w:i w:val="false"/>
          <w:iCs w:val="false"/>
          <w:color w:val="333333"/>
          <w:sz w:val="22"/>
          <w:szCs w:val="22"/>
        </w:rPr>
        <w:t xml:space="preserve">Rating: </w:t>
      </w:r>
      <w:r>
        <w:rPr>
          <w:rFonts w:ascii="Arial" w:cs="Arial" w:eastAsia="Arial" w:hAnsi="Arial"/>
          <w:b w:val="false"/>
          <w:bCs w:val="false"/>
          <w:i/>
          <w:iCs/>
          <w:color w:val="666666"/>
          <w:sz w:val="22"/>
          <w:szCs w:val="22"/>
        </w:rPr>
        <w:t xml:space="preserve">[BUY / BUY on pullback / WATCHLIST / AVOID]</w:t>
      </w:r>
    </w:p>
    <w:p>
      <w:pPr>
        <w:spacing w:after="200"/>
      </w:pPr>
      <w:r>
        <w:rPr>
          <w:rFonts w:ascii="Arial" w:cs="Arial" w:eastAsia="Arial" w:hAnsi="Arial"/>
          <w:b/>
          <w:bCs/>
          <w:i w:val="false"/>
          <w:iCs w:val="false"/>
          <w:color w:val="333333"/>
          <w:sz w:val="22"/>
          <w:szCs w:val="22"/>
        </w:rPr>
        <w:t xml:space="preserve">Position Size: </w:t>
      </w:r>
      <w:r>
        <w:rPr>
          <w:rFonts w:ascii="Arial" w:cs="Arial" w:eastAsia="Arial" w:hAnsi="Arial"/>
          <w:b w:val="false"/>
          <w:bCs w:val="false"/>
          <w:i/>
          <w:iCs/>
          <w:color w:val="666666"/>
          <w:sz w:val="22"/>
          <w:szCs w:val="22"/>
        </w:rPr>
        <w:t xml:space="preserve">[X–X]% of portfolio</w:t>
      </w:r>
    </w:p>
    <w:p>
      <w:pPr>
        <w:spacing w:after="40"/>
      </w:pPr>
      <w:r>
        <w:rPr>
          <w:rFonts w:ascii="Arial" w:cs="Arial" w:eastAsia="Arial" w:hAnsi="Arial"/>
          <w:b w:val="false"/>
          <w:bCs w:val="false"/>
          <w:i w:val="false"/>
          <w:iCs w:val="false"/>
          <w:color w:val="333333"/>
          <w:sz w:val="22"/>
          <w:szCs w:val="22"/>
        </w:rPr>
        <w:t xml:space="preserve"/>
      </w:r>
    </w:p>
    <w:p>
      <w:pPr>
        <w:spacing w:after="200"/>
      </w:pPr>
      <w:r>
        <w:rPr>
          <w:rFonts w:ascii="Arial" w:cs="Arial" w:eastAsia="Arial" w:hAnsi="Arial"/>
          <w:b/>
          <w:bCs/>
          <w:i w:val="false"/>
          <w:iCs w:val="false"/>
          <w:color w:val="333333"/>
          <w:sz w:val="22"/>
          <w:szCs w:val="22"/>
        </w:rPr>
        <w:t xml:space="preserve">The Thesis in Two Sentences: </w:t>
      </w:r>
      <w:r>
        <w:rPr>
          <w:rFonts w:ascii="Arial" w:cs="Arial" w:eastAsia="Arial" w:hAnsi="Arial"/>
          <w:b w:val="false"/>
          <w:bCs w:val="false"/>
          <w:i/>
          <w:iCs/>
          <w:color w:val="666666"/>
          <w:sz w:val="22"/>
          <w:szCs w:val="22"/>
        </w:rPr>
        <w:t xml:space="preserve">[Summarize why this company is or isn’t a defense tech compounder in exactly two sentences.]</w:t>
      </w:r>
    </w:p>
    <w:p>
      <w:pPr>
        <w:spacing w:after="40"/>
      </w:pPr>
      <w:r>
        <w:rPr>
          <w:rFonts w:ascii="Arial" w:cs="Arial" w:eastAsia="Arial" w:hAnsi="Arial"/>
          <w:b w:val="false"/>
          <w:bCs w:val="false"/>
          <w:i w:val="false"/>
          <w:iCs w:val="false"/>
          <w:color w:val="333333"/>
          <w:sz w:val="22"/>
          <w:szCs w:val="22"/>
        </w:rPr>
        <w:t xml:space="preserve"/>
      </w:r>
    </w:p>
    <w:p>
      <w:pPr>
        <w:spacing w:after="200"/>
      </w:pPr>
      <w:r>
        <w:rPr>
          <w:rFonts w:ascii="Arial" w:cs="Arial" w:eastAsia="Arial" w:hAnsi="Arial"/>
          <w:b/>
          <w:bCs/>
          <w:i w:val="false"/>
          <w:iCs w:val="false"/>
          <w:color w:val="333333"/>
          <w:sz w:val="22"/>
          <w:szCs w:val="22"/>
        </w:rPr>
        <w:t xml:space="preserve">The Biggest Risk the market may be underpricing: </w:t>
      </w:r>
      <w:r>
        <w:rPr>
          <w:rFonts w:ascii="Arial" w:cs="Arial" w:eastAsia="Arial" w:hAnsi="Arial"/>
          <w:b w:val="false"/>
          <w:bCs w:val="false"/>
          <w:i/>
          <w:iCs/>
          <w:color w:val="666666"/>
          <w:sz w:val="22"/>
          <w:szCs w:val="22"/>
        </w:rPr>
        <w:t xml:space="preserve">[One paragraph on the single most material risk.]</w:t>
      </w:r>
    </w:p>
    <w:p>
      <w:pPr>
        <w:spacing w:after="40"/>
      </w:pPr>
      <w:r>
        <w:rPr>
          <w:rFonts w:ascii="Arial" w:cs="Arial" w:eastAsia="Arial" w:hAnsi="Arial"/>
          <w:b w:val="false"/>
          <w:bCs w:val="false"/>
          <w:i w:val="false"/>
          <w:iCs w:val="false"/>
          <w:color w:val="333333"/>
          <w:sz w:val="22"/>
          <w:szCs w:val="22"/>
        </w:rPr>
        <w:t xml:space="preserve"/>
      </w:r>
    </w:p>
    <w:p>
      <w:pPr>
        <w:spacing w:after="200"/>
      </w:pPr>
      <w:r>
        <w:rPr>
          <w:rFonts w:ascii="Arial" w:cs="Arial" w:eastAsia="Arial" w:hAnsi="Arial"/>
          <w:b/>
          <w:bCs/>
          <w:i w:val="false"/>
          <w:iCs w:val="false"/>
          <w:color w:val="333333"/>
          <w:sz w:val="22"/>
          <w:szCs w:val="22"/>
        </w:rPr>
        <w:t xml:space="preserve">The Kill Switch — Sell immediately if: </w:t>
      </w:r>
    </w:p>
    <w:p>
      <w:pPr>
        <w:pStyle w:val="ListParagraph"/>
        <w:numPr>
          <w:ilvl w:val="0"/>
          <w:numId w:val="4"/>
        </w:numPr>
      </w:pPr>
      <w:r>
        <w:rPr>
          <w:rFonts w:ascii="Arial" w:cs="Arial" w:eastAsia="Arial" w:hAnsi="Arial"/>
          <w:b w:val="false"/>
          <w:bCs w:val="false"/>
          <w:i/>
          <w:iCs/>
          <w:color w:val="666666"/>
          <w:sz w:val="22"/>
          <w:szCs w:val="22"/>
        </w:rPr>
        <w:t xml:space="preserve">[Specific measurable condition #1]</w:t>
      </w:r>
    </w:p>
    <w:p>
      <w:pPr>
        <w:pStyle w:val="ListParagraph"/>
        <w:numPr>
          <w:ilvl w:val="0"/>
          <w:numId w:val="4"/>
        </w:numPr>
      </w:pPr>
      <w:r>
        <w:rPr>
          <w:rFonts w:ascii="Arial" w:cs="Arial" w:eastAsia="Arial" w:hAnsi="Arial"/>
          <w:b w:val="false"/>
          <w:bCs w:val="false"/>
          <w:i/>
          <w:iCs/>
          <w:color w:val="666666"/>
          <w:sz w:val="22"/>
          <w:szCs w:val="22"/>
        </w:rPr>
        <w:t xml:space="preserve">[Specific measurable condition #2]</w:t>
      </w:r>
    </w:p>
    <w:p>
      <w:pPr>
        <w:pStyle w:val="ListParagraph"/>
        <w:numPr>
          <w:ilvl w:val="0"/>
          <w:numId w:val="4"/>
        </w:numPr>
      </w:pPr>
      <w:r>
        <w:rPr>
          <w:rFonts w:ascii="Arial" w:cs="Arial" w:eastAsia="Arial" w:hAnsi="Arial"/>
          <w:b w:val="false"/>
          <w:bCs w:val="false"/>
          <w:i/>
          <w:iCs/>
          <w:color w:val="666666"/>
          <w:sz w:val="22"/>
          <w:szCs w:val="22"/>
        </w:rPr>
        <w:t xml:space="preserve">[Specific measurable condition #3]</w:t>
      </w:r>
    </w:p>
    <w:p>
      <w:pPr>
        <w:pStyle w:val="ListParagraph"/>
        <w:numPr>
          <w:ilvl w:val="0"/>
          <w:numId w:val="4"/>
        </w:numPr>
        <w:spacing w:after="200"/>
      </w:pPr>
      <w:r>
        <w:rPr>
          <w:rFonts w:ascii="Arial" w:cs="Arial" w:eastAsia="Arial" w:hAnsi="Arial"/>
          <w:b w:val="false"/>
          <w:bCs w:val="false"/>
          <w:i/>
          <w:iCs/>
          <w:color w:val="666666"/>
          <w:sz w:val="22"/>
          <w:szCs w:val="22"/>
        </w:rPr>
        <w:t xml:space="preserve">[Specific measurable condition #4]</w:t>
      </w:r>
    </w:p>
    <w:p>
      <w:pPr>
        <w:spacing w:after="200"/>
      </w:pPr>
      <w:r>
        <w:rPr>
          <w:rFonts w:ascii="Arial" w:cs="Arial" w:eastAsia="Arial" w:hAnsi="Arial"/>
          <w:b/>
          <w:bCs/>
          <w:i w:val="false"/>
          <w:iCs w:val="false"/>
          <w:color w:val="333333"/>
          <w:sz w:val="22"/>
          <w:szCs w:val="22"/>
        </w:rPr>
        <w:t xml:space="preserve">Review Trigger — Full re-assessment if: </w:t>
      </w:r>
    </w:p>
    <w:p>
      <w:pPr>
        <w:pStyle w:val="ListParagraph"/>
        <w:numPr>
          <w:ilvl w:val="0"/>
          <w:numId w:val="5"/>
        </w:numPr>
      </w:pPr>
      <w:r>
        <w:rPr>
          <w:rFonts w:ascii="Arial" w:cs="Arial" w:eastAsia="Arial" w:hAnsi="Arial"/>
          <w:b w:val="false"/>
          <w:bCs w:val="false"/>
          <w:i/>
          <w:iCs/>
          <w:color w:val="666666"/>
          <w:sz w:val="22"/>
          <w:szCs w:val="22"/>
        </w:rPr>
        <w:t xml:space="preserve">[Specific event #1]</w:t>
      </w:r>
    </w:p>
    <w:p>
      <w:pPr>
        <w:pStyle w:val="ListParagraph"/>
        <w:numPr>
          <w:ilvl w:val="0"/>
          <w:numId w:val="5"/>
        </w:numPr>
      </w:pPr>
      <w:r>
        <w:rPr>
          <w:rFonts w:ascii="Arial" w:cs="Arial" w:eastAsia="Arial" w:hAnsi="Arial"/>
          <w:b w:val="false"/>
          <w:bCs w:val="false"/>
          <w:i/>
          <w:iCs/>
          <w:color w:val="666666"/>
          <w:sz w:val="22"/>
          <w:szCs w:val="22"/>
        </w:rPr>
        <w:t xml:space="preserve">[Specific event #2]</w:t>
      </w:r>
    </w:p>
    <w:p>
      <w:pPr>
        <w:pStyle w:val="ListParagraph"/>
        <w:numPr>
          <w:ilvl w:val="0"/>
          <w:numId w:val="5"/>
        </w:numPr>
      </w:pPr>
      <w:r>
        <w:rPr>
          <w:rFonts w:ascii="Arial" w:cs="Arial" w:eastAsia="Arial" w:hAnsi="Arial"/>
          <w:b w:val="false"/>
          <w:bCs w:val="false"/>
          <w:i/>
          <w:iCs/>
          <w:color w:val="666666"/>
          <w:sz w:val="22"/>
          <w:szCs w:val="22"/>
        </w:rPr>
        <w:t xml:space="preserve">[Specific event #3]</w:t>
      </w:r>
    </w:p>
    <w:p>
      <w:pPr>
        <w:pStyle w:val="ListParagraph"/>
        <w:numPr>
          <w:ilvl w:val="0"/>
          <w:numId w:val="5"/>
        </w:numPr>
        <w:spacing w:after="200"/>
      </w:pPr>
      <w:r>
        <w:rPr>
          <w:rFonts w:ascii="Arial" w:cs="Arial" w:eastAsia="Arial" w:hAnsi="Arial"/>
          <w:b w:val="false"/>
          <w:bCs w:val="false"/>
          <w:i/>
          <w:iCs/>
          <w:color w:val="666666"/>
          <w:sz w:val="22"/>
          <w:szCs w:val="22"/>
        </w:rPr>
        <w:t xml:space="preserve">[Specific event #4]</w:t>
      </w:r>
    </w:p>
    <w:p>
      <w:r>
        <w:br w:type="page"/>
      </w:r>
    </w:p>
    <w:p>
      <w:pPr>
        <w:pStyle w:val="Heading1"/>
      </w:pPr>
      <w:r>
        <w:t xml:space="preserve">XII. SCORING GUARDRAILS &amp; RULES</w:t>
      </w:r>
    </w:p>
    <w:p>
      <w:pPr>
        <w:pStyle w:val="ListParagraph"/>
        <w:numPr>
          <w:ilvl w:val="0"/>
          <w:numId w:val="6"/>
        </w:numPr>
        <w:spacing w:after="140"/>
      </w:pPr>
      <w:r>
        <w:rPr>
          <w:rFonts w:ascii="Arial" w:cs="Arial" w:eastAsia="Arial" w:hAnsi="Arial"/>
          <w:b/>
          <w:bCs/>
          <w:i w:val="false"/>
          <w:iCs w:val="false"/>
          <w:color w:val="333333"/>
          <w:sz w:val="22"/>
          <w:szCs w:val="22"/>
        </w:rPr>
        <w:t xml:space="preserve">Evidence requirement: </w:t>
      </w:r>
      <w:r>
        <w:rPr>
          <w:rFonts w:ascii="Arial" w:cs="Arial" w:eastAsia="Arial" w:hAnsi="Arial"/>
          <w:b w:val="false"/>
          <w:bCs w:val="false"/>
          <w:i w:val="false"/>
          <w:iCs w:val="false"/>
          <w:color w:val="333333"/>
          <w:sz w:val="22"/>
          <w:szCs w:val="22"/>
        </w:rPr>
        <w:t xml:space="preserve">Every score above 5 on any dimension must cite specific, sourced data (S-1 filing, earnings call quote, press release, government contract announcement, industry report). No aspirational or generic claims scored above 5. For pre-revenue companies, “we plan to” and “we expect to” are NOT evidence.</w:t>
      </w:r>
    </w:p>
    <w:p>
      <w:pPr>
        <w:pStyle w:val="ListParagraph"/>
        <w:numPr>
          <w:ilvl w:val="0"/>
          <w:numId w:val="6"/>
        </w:numPr>
        <w:spacing w:after="140"/>
      </w:pPr>
      <w:r>
        <w:rPr>
          <w:rFonts w:ascii="Arial" w:cs="Arial" w:eastAsia="Arial" w:hAnsi="Arial"/>
          <w:b/>
          <w:bCs/>
          <w:i w:val="false"/>
          <w:iCs w:val="false"/>
          <w:color w:val="333333"/>
          <w:sz w:val="22"/>
          <w:szCs w:val="22"/>
        </w:rPr>
        <w:t xml:space="preserve">Pipeline verification: </w:t>
      </w:r>
      <w:r>
        <w:rPr>
          <w:rFonts w:ascii="Arial" w:cs="Arial" w:eastAsia="Arial" w:hAnsi="Arial"/>
          <w:b w:val="false"/>
          <w:bCs w:val="false"/>
          <w:i w:val="false"/>
          <w:iCs w:val="false"/>
          <w:color w:val="333333"/>
          <w:sz w:val="22"/>
          <w:szCs w:val="22"/>
        </w:rPr>
        <w:t xml:space="preserve">Distinguish rigorously between firm contracts (legally binding, booked as backlog in SEC filings), MOUs/LOIs (non-binding), and pipeline conversations (aspirational). Only firm contracts count at full value. MOUs should be weighted at 25–50% probability unless there is specific evidence of higher conversion likelihood.</w:t>
      </w:r>
    </w:p>
    <w:p>
      <w:pPr>
        <w:pStyle w:val="ListParagraph"/>
        <w:numPr>
          <w:ilvl w:val="0"/>
          <w:numId w:val="6"/>
        </w:numPr>
        <w:spacing w:after="140"/>
      </w:pPr>
      <w:r>
        <w:rPr>
          <w:rFonts w:ascii="Arial" w:cs="Arial" w:eastAsia="Arial" w:hAnsi="Arial"/>
          <w:b/>
          <w:bCs/>
          <w:i w:val="false"/>
          <w:iCs w:val="false"/>
          <w:color w:val="333333"/>
          <w:sz w:val="22"/>
          <w:szCs w:val="22"/>
        </w:rPr>
        <w:t xml:space="preserve">Dilution adjustment: </w:t>
      </w:r>
      <w:r>
        <w:rPr>
          <w:rFonts w:ascii="Arial" w:cs="Arial" w:eastAsia="Arial" w:hAnsi="Arial"/>
          <w:b w:val="false"/>
          <w:bCs w:val="false"/>
          <w:i w:val="false"/>
          <w:iCs w:val="false"/>
          <w:color w:val="333333"/>
          <w:sz w:val="22"/>
          <w:szCs w:val="22"/>
        </w:rPr>
        <w:t xml:space="preserve">All per-share valuation metrics must include expected dilution from future capital raises. Assume at least one additional raise within 24 months for any company with &lt;24 months of runway. State dilution assumptions explicitly.</w:t>
      </w:r>
    </w:p>
    <w:p>
      <w:pPr>
        <w:pStyle w:val="ListParagraph"/>
        <w:numPr>
          <w:ilvl w:val="0"/>
          <w:numId w:val="6"/>
        </w:numPr>
        <w:spacing w:after="140"/>
      </w:pPr>
      <w:r>
        <w:rPr>
          <w:rFonts w:ascii="Arial" w:cs="Arial" w:eastAsia="Arial" w:hAnsi="Arial"/>
          <w:b/>
          <w:bCs/>
          <w:i w:val="false"/>
          <w:iCs w:val="false"/>
          <w:color w:val="333333"/>
          <w:sz w:val="22"/>
          <w:szCs w:val="22"/>
        </w:rPr>
        <w:t xml:space="preserve">Combat proof weighting: </w:t>
      </w:r>
      <w:r>
        <w:rPr>
          <w:rFonts w:ascii="Arial" w:cs="Arial" w:eastAsia="Arial" w:hAnsi="Arial"/>
          <w:b w:val="false"/>
          <w:bCs w:val="false"/>
          <w:i w:val="false"/>
          <w:iCs w:val="false"/>
          <w:color w:val="333333"/>
          <w:sz w:val="22"/>
          <w:szCs w:val="22"/>
        </w:rPr>
        <w:t xml:space="preserve">Combat-proven technology (real battlefield deployment with measurable results) should receive a significant premium over test-range or exercise-only validation. However, combat proof in ONE theater (e.g., Ukraine) does not automatically transfer to other theaters with different operational requirements. Score accordingly.</w:t>
      </w:r>
    </w:p>
    <w:p>
      <w:pPr>
        <w:pStyle w:val="ListParagraph"/>
        <w:numPr>
          <w:ilvl w:val="0"/>
          <w:numId w:val="6"/>
        </w:numPr>
        <w:spacing w:after="140"/>
      </w:pPr>
      <w:r>
        <w:rPr>
          <w:rFonts w:ascii="Arial" w:cs="Arial" w:eastAsia="Arial" w:hAnsi="Arial"/>
          <w:b/>
          <w:bCs/>
          <w:i w:val="false"/>
          <w:iCs w:val="false"/>
          <w:color w:val="333333"/>
          <w:sz w:val="22"/>
          <w:szCs w:val="22"/>
        </w:rPr>
        <w:t xml:space="preserve">Pipeline Gate is absolute: </w:t>
      </w:r>
      <w:r>
        <w:rPr>
          <w:rFonts w:ascii="Arial" w:cs="Arial" w:eastAsia="Arial" w:hAnsi="Arial"/>
          <w:b w:val="false"/>
          <w:bCs w:val="false"/>
          <w:i w:val="false"/>
          <w:iCs w:val="false"/>
          <w:color w:val="333333"/>
          <w:sz w:val="22"/>
          <w:szCs w:val="22"/>
        </w:rPr>
        <w:t xml:space="preserve">If the company has zero firm contracts (only MOUs, LOIs, or conversations), it CANNOT be classified as Defense Tech Compounder or Growth-Stage Contender regardless of qualitative scores. Zero firm contracts = Narrative-Stage Venture at best.</w:t>
      </w:r>
    </w:p>
    <w:p>
      <w:pPr>
        <w:pStyle w:val="ListParagraph"/>
        <w:numPr>
          <w:ilvl w:val="0"/>
          <w:numId w:val="6"/>
        </w:numPr>
        <w:spacing w:after="140"/>
      </w:pPr>
      <w:r>
        <w:rPr>
          <w:rFonts w:ascii="Arial" w:cs="Arial" w:eastAsia="Arial" w:hAnsi="Arial"/>
          <w:b/>
          <w:bCs/>
          <w:i w:val="false"/>
          <w:iCs w:val="false"/>
          <w:color w:val="333333"/>
          <w:sz w:val="22"/>
          <w:szCs w:val="22"/>
        </w:rPr>
        <w:t xml:space="preserve">IPO hype adjustment: </w:t>
      </w:r>
      <w:r>
        <w:rPr>
          <w:rFonts w:ascii="Arial" w:cs="Arial" w:eastAsia="Arial" w:hAnsi="Arial"/>
          <w:b w:val="false"/>
          <w:bCs w:val="false"/>
          <w:i w:val="false"/>
          <w:iCs w:val="false"/>
          <w:color w:val="333333"/>
          <w:sz w:val="22"/>
          <w:szCs w:val="22"/>
        </w:rPr>
        <w:t xml:space="preserve">If assessing a company within 90 days of IPO that experienced &gt;100% first-day gains, apply a skepticism premium: reduce D1 and D4 scores by 0.5–1.0 points to account for narrative-driven pricing disconnected from fundamentals. Explicitly note when this adjustment is applied.</w:t>
      </w:r>
    </w:p>
    <w:p>
      <w:pPr>
        <w:pStyle w:val="ListParagraph"/>
        <w:numPr>
          <w:ilvl w:val="0"/>
          <w:numId w:val="6"/>
        </w:numPr>
        <w:spacing w:after="140"/>
      </w:pPr>
      <w:r>
        <w:rPr>
          <w:rFonts w:ascii="Arial" w:cs="Arial" w:eastAsia="Arial" w:hAnsi="Arial"/>
          <w:b/>
          <w:bCs/>
          <w:i w:val="false"/>
          <w:iCs w:val="false"/>
          <w:color w:val="333333"/>
          <w:sz w:val="22"/>
          <w:szCs w:val="22"/>
        </w:rPr>
        <w:t xml:space="preserve">Geopolitical concentration risk: </w:t>
      </w:r>
      <w:r>
        <w:rPr>
          <w:rFonts w:ascii="Arial" w:cs="Arial" w:eastAsia="Arial" w:hAnsi="Arial"/>
          <w:b w:val="false"/>
          <w:bCs w:val="false"/>
          <w:i w:val="false"/>
          <w:iCs w:val="false"/>
          <w:color w:val="333333"/>
          <w:sz w:val="22"/>
          <w:szCs w:val="22"/>
        </w:rPr>
        <w:t xml:space="preserve">If &gt;50% of revenue or pipeline is concentrated in a single conflict zone or allied country, this is a structural risk that must be reflected in D1 (Pipeline Credibility) scoring. A ceasefire, regime change, or policy shift could eliminate the entire revenue base overnight.</w:t>
      </w:r>
    </w:p>
    <w:p>
      <w:pPr>
        <w:pStyle w:val="ListParagraph"/>
        <w:numPr>
          <w:ilvl w:val="0"/>
          <w:numId w:val="6"/>
        </w:numPr>
        <w:spacing w:after="140"/>
      </w:pPr>
      <w:r>
        <w:rPr>
          <w:rFonts w:ascii="Arial" w:cs="Arial" w:eastAsia="Arial" w:hAnsi="Arial"/>
          <w:b/>
          <w:bCs/>
          <w:i w:val="false"/>
          <w:iCs w:val="false"/>
          <w:color w:val="333333"/>
          <w:sz w:val="22"/>
          <w:szCs w:val="22"/>
        </w:rPr>
        <w:t xml:space="preserve">Management quality through metrics: </w:t>
      </w:r>
      <w:r>
        <w:rPr>
          <w:rFonts w:ascii="Arial" w:cs="Arial" w:eastAsia="Arial" w:hAnsi="Arial"/>
          <w:b w:val="false"/>
          <w:bCs w:val="false"/>
          <w:i w:val="false"/>
          <w:iCs w:val="false"/>
          <w:color w:val="333333"/>
          <w:sz w:val="22"/>
          <w:szCs w:val="22"/>
        </w:rPr>
        <w:t xml:space="preserve">This framework does not have a separate management score. Management quality is expressed THROUGH the metrics: disciplined capital allocation appears in D4, strategic vision appears in D3 exposure, sales execution appears in D1 pipeline conversion, and technology leadership appears in TMI scores. Do not add a subjective management premium. However, DO flag reputational risks (e.g., controversial board members, prior legal issues) as qualitative risk factors.</w:t>
      </w:r>
    </w:p>
    <w:p>
      <w:pPr>
        <w:pStyle w:val="ListParagraph"/>
        <w:numPr>
          <w:ilvl w:val="0"/>
          <w:numId w:val="6"/>
        </w:numPr>
        <w:spacing w:after="140"/>
      </w:pPr>
      <w:r>
        <w:rPr>
          <w:rFonts w:ascii="Arial" w:cs="Arial" w:eastAsia="Arial" w:hAnsi="Arial"/>
          <w:b/>
          <w:bCs/>
          <w:i w:val="false"/>
          <w:iCs w:val="false"/>
          <w:color w:val="333333"/>
          <w:sz w:val="22"/>
          <w:szCs w:val="22"/>
        </w:rPr>
        <w:t xml:space="preserve">Peer comparison: </w:t>
      </w:r>
      <w:r>
        <w:rPr>
          <w:rFonts w:ascii="Arial" w:cs="Arial" w:eastAsia="Arial" w:hAnsi="Arial"/>
          <w:b w:val="false"/>
          <w:bCs w:val="false"/>
          <w:i w:val="false"/>
          <w:iCs w:val="false"/>
          <w:color w:val="333333"/>
          <w:sz w:val="22"/>
          <w:szCs w:val="22"/>
        </w:rPr>
        <w:t xml:space="preserve">When scoring, mentally benchmark against the best-in-class defense tech companies at equivalent stages. A 9/10 should mean “top decile among all pre-revenue defense technology companies,” not “pretty good for a recent IPO.” Palantir’s government business at IPO is a useful high-bar benchmark.</w:t>
      </w:r>
    </w:p>
    <w:p>
      <w:pPr>
        <w:pStyle w:val="ListParagraph"/>
        <w:numPr>
          <w:ilvl w:val="0"/>
          <w:numId w:val="6"/>
        </w:numPr>
        <w:spacing w:after="140"/>
      </w:pPr>
      <w:r>
        <w:rPr>
          <w:rFonts w:ascii="Arial" w:cs="Arial" w:eastAsia="Arial" w:hAnsi="Arial"/>
          <w:b/>
          <w:bCs/>
          <w:i w:val="false"/>
          <w:iCs w:val="false"/>
          <w:color w:val="333333"/>
          <w:sz w:val="22"/>
          <w:szCs w:val="22"/>
        </w:rPr>
        <w:t xml:space="preserve">Consistency check: </w:t>
      </w:r>
      <w:r>
        <w:rPr>
          <w:rFonts w:ascii="Arial" w:cs="Arial" w:eastAsia="Arial" w:hAnsi="Arial"/>
          <w:b w:val="false"/>
          <w:bCs w:val="false"/>
          <w:i w:val="false"/>
          <w:iCs w:val="false"/>
          <w:color w:val="333333"/>
          <w:sz w:val="22"/>
          <w:szCs w:val="22"/>
        </w:rPr>
        <w:t xml:space="preserve">After completing all scoring, verify that the TMI pre-screen, Raw Composite, and Pipeline Gate tell a consistent story. If they diverge significantly, investigate and explain the disconnect.</w:t>
      </w:r>
    </w:p>
    <w:p>
      <w:pPr>
        <w:pStyle w:val="ListParagraph"/>
        <w:numPr>
          <w:ilvl w:val="0"/>
          <w:numId w:val="6"/>
        </w:numPr>
        <w:spacing w:after="200"/>
      </w:pPr>
      <w:r>
        <w:rPr>
          <w:rFonts w:ascii="Arial" w:cs="Arial" w:eastAsia="Arial" w:hAnsi="Arial"/>
          <w:b/>
          <w:bCs/>
          <w:i w:val="false"/>
          <w:iCs w:val="false"/>
          <w:color w:val="333333"/>
          <w:sz w:val="22"/>
          <w:szCs w:val="22"/>
        </w:rPr>
        <w:t xml:space="preserve">Verification protocol: </w:t>
      </w:r>
      <w:r>
        <w:rPr>
          <w:rFonts w:ascii="Arial" w:cs="Arial" w:eastAsia="Arial" w:hAnsi="Arial"/>
          <w:b w:val="false"/>
          <w:bCs w:val="false"/>
          <w:i w:val="false"/>
          <w:iCs w:val="false"/>
          <w:color w:val="333333"/>
          <w:sz w:val="22"/>
          <w:szCs w:val="22"/>
        </w:rPr>
        <w:t xml:space="preserve">After every analysis, run the mandatory fact-checking protocol (per user preferences) to verify all financial metrics, contract claims, regulatory status, competitive landscape assertions, and time-sensitive assertions via web search against SEC filings, DoD announcements, and company press releases.</w:t>
      </w:r>
    </w:p>
    <w:p>
      <w:r>
        <w:br w:type="page"/>
      </w:r>
    </w:p>
    <w:p>
      <w:pPr>
        <w:pStyle w:val="Heading1"/>
      </w:pPr>
      <w:r>
        <w:t xml:space="preserve">XIII. COMPARABLE COMPANIES FOR THIS FRAMEWORK</w:t>
      </w:r>
    </w:p>
    <w:p>
      <w:pPr>
        <w:spacing w:after="200"/>
      </w:pPr>
      <w:r>
        <w:rPr>
          <w:rFonts w:ascii="Arial" w:cs="Arial" w:eastAsia="Arial" w:hAnsi="Arial"/>
          <w:b w:val="false"/>
          <w:bCs w:val="false"/>
          <w:i w:val="false"/>
          <w:iCs w:val="false"/>
          <w:color w:val="333333"/>
          <w:sz w:val="22"/>
          <w:szCs w:val="22"/>
        </w:rPr>
        <w:t xml:space="preserve">The following companies are well-suited for assessment through this framework. They share the common characteristics of software-first defense technology with IP-based moats, regulatory barriers, and exposure to autonomous systems and AI-driven defense spending.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2200"/>
        <w:gridCol w:w="2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Ticker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Domain</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Framework Fit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Swarmer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SWMR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Pre-revenue / IPO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Drone swarm autonomy OS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Core use case for this framework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Palantir (at IPO)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PLTR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Early-revenue ($1B)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Defense data analytics / AI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Calibration benchmark; graduated to mature framework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Anduril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Private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Growth ($1B+)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Lattice AI platform / hardware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Use at pre-IPO or IPO stage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Shield AI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Private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Growth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Hivemind autonomy stack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Use at pre-IPO or IPO stage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Kratos Defense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KTOS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Early-revenue (&lt;$1B)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Target drones / autonomous systems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More hardware-heavy; may need hybrid approach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AeroVironment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AVAV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Growth ($700M+)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Small UAS / loitering munitions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Hardware-software mix; use for software segment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Saronic Technologies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Private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Pre-revenue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Autonomous naval vessels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Core use case for this framework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Skydio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Private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Early-revenue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Visual AI / autonomous drones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Defense segment only; commercial segment needs different framework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Epirus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Private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Pre-revenue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Directed energy / counter-UAS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Software-hardware hybrid; assess software moat specifically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Joby Aviation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JOBY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Pre-revenue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eVTOL / defense applications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Defense segment only if applicable</w:t>
            </w:r>
          </w:p>
        </w:tc>
      </w:tr>
    </w:tbl>
    <w:p>
      <w:pPr>
        <w:spacing w:after="100"/>
      </w:pPr>
      <w:r>
        <w:rPr>
          <w:rFonts w:ascii="Arial" w:cs="Arial" w:eastAsia="Arial" w:hAnsi="Arial"/>
          <w:b w:val="false"/>
          <w:bCs w:val="false"/>
          <w:i w:val="false"/>
          <w:iCs w:val="false"/>
          <w:color w:val="333333"/>
          <w:sz w:val="22"/>
          <w:szCs w:val="22"/>
        </w:rPr>
        <w:t xml:space="preserve"/>
      </w:r>
    </w:p>
    <w:p>
      <w:pPr>
        <w:spacing w:after="200"/>
      </w:pPr>
      <w:r>
        <w:rPr>
          <w:rFonts w:ascii="Arial" w:cs="Arial" w:eastAsia="Arial" w:hAnsi="Arial"/>
          <w:b/>
          <w:bCs/>
          <w:i w:val="false"/>
          <w:iCs w:val="false"/>
          <w:color w:val="333333"/>
          <w:sz w:val="22"/>
          <w:szCs w:val="22"/>
        </w:rPr>
        <w:t xml:space="preserve">Note: </w:t>
      </w:r>
      <w:r>
        <w:rPr>
          <w:rFonts w:ascii="Arial" w:cs="Arial" w:eastAsia="Arial" w:hAnsi="Arial"/>
          <w:b w:val="false"/>
          <w:bCs w:val="false"/>
          <w:i w:val="false"/>
          <w:iCs w:val="false"/>
          <w:color w:val="333333"/>
          <w:sz w:val="22"/>
          <w:szCs w:val="22"/>
        </w:rPr>
        <w:t xml:space="preserve">Some companies on this list span both hardware and software. Apply judgment in determining framework fit using the criteria in Section II. For companies with meaningful hardware revenue, consider whether the software layer is the primary source of competitive advantage. If the moat is primarily in manufacturing or hardware design rather than software/AI, this framework may not be the best fit.</w:t>
      </w:r>
    </w:p>
    <w:p>
      <w:pPr>
        <w:spacing w:after="100"/>
      </w:pPr>
      <w:r>
        <w:rPr>
          <w:rFonts w:ascii="Arial" w:cs="Arial" w:eastAsia="Arial" w:hAnsi="Arial"/>
          <w:b w:val="false"/>
          <w:bCs w:val="false"/>
          <w:i w:val="false"/>
          <w:iCs w:val="false"/>
          <w:color w:val="333333"/>
          <w:sz w:val="22"/>
          <w:szCs w:val="22"/>
        </w:rPr>
        <w:t xml:space="preserve"/>
      </w:r>
    </w:p>
    <w:p>
      <w:pPr>
        <w:pBdr>
          <w:bottom w:val="single" w:color="2E75B6" w:sz="4" w:space="1"/>
        </w:pBdr>
        <w:spacing w:after="200"/>
      </w:pPr>
    </w:p>
    <w:p>
      <w:pPr>
        <w:spacing w:after="200"/>
        <w:jc w:val="center"/>
      </w:pPr>
      <w:r>
        <w:rPr>
          <w:rFonts w:ascii="Arial" w:cs="Arial" w:eastAsia="Arial" w:hAnsi="Arial"/>
          <w:b w:val="false"/>
          <w:bCs w:val="false"/>
          <w:i/>
          <w:iCs/>
          <w:color w:val="666666"/>
          <w:sz w:val="22"/>
          <w:szCs w:val="22"/>
        </w:rPr>
        <w:t xml:space="preserve">— End of Framework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val="false"/>
        <w:bCs w:val="false"/>
        <w:i w:val="false"/>
        <w:iCs w:val="false"/>
        <w:color w:val="999999"/>
        <w:sz w:val="16"/>
        <w:szCs w:val="16"/>
      </w:rPr>
      <w:t xml:space="preserve">Defense Technology Pre-Revenue Compounder Framework v1.0</w:t>
    </w:r>
    <w:r>
      <w:rPr>
        <w:rFonts w:ascii="Arial" w:cs="Arial" w:eastAsia="Arial" w:hAnsi="Arial"/>
        <w:color w:val="999999"/>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4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2026-03-23T23:12:34.791Z</dcterms:created>
  <dcterms:modified xsi:type="dcterms:W3CDTF">2026-03-23T23:12:34.792Z</dcterms:modified>
</cp:coreProperties>
</file>

<file path=docProps/custom.xml><?xml version="1.0" encoding="utf-8"?>
<Properties xmlns="http://schemas.openxmlformats.org/officeDocument/2006/custom-properties" xmlns:vt="http://schemas.openxmlformats.org/officeDocument/2006/docPropsVTypes"/>
</file>