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7EE35" w14:textId="77777777" w:rsidR="00146315" w:rsidRDefault="00146315">
      <w:pPr>
        <w:spacing w:after="60"/>
      </w:pPr>
    </w:p>
    <w:p w14:paraId="08BA5D32" w14:textId="77777777" w:rsidR="00146315" w:rsidRDefault="00146315">
      <w:pPr>
        <w:spacing w:after="60"/>
      </w:pPr>
    </w:p>
    <w:p w14:paraId="7095F70A" w14:textId="77777777" w:rsidR="00146315" w:rsidRDefault="00146315">
      <w:pPr>
        <w:spacing w:after="60"/>
      </w:pPr>
    </w:p>
    <w:p w14:paraId="44333D75" w14:textId="77777777" w:rsidR="00146315" w:rsidRDefault="00146315">
      <w:pPr>
        <w:spacing w:after="60"/>
      </w:pPr>
    </w:p>
    <w:p w14:paraId="7CC99109" w14:textId="77777777" w:rsidR="00146315" w:rsidRDefault="00000000">
      <w:pPr>
        <w:spacing w:after="120"/>
        <w:jc w:val="center"/>
      </w:pPr>
      <w:r>
        <w:rPr>
          <w:b/>
          <w:bCs/>
          <w:color w:val="8B4513"/>
          <w:sz w:val="52"/>
          <w:szCs w:val="52"/>
        </w:rPr>
        <w:t>ENERGY INFRASTRUCTURE &amp;</w:t>
      </w:r>
    </w:p>
    <w:p w14:paraId="5BCDF6CF" w14:textId="77777777" w:rsidR="00146315" w:rsidRDefault="00000000">
      <w:pPr>
        <w:spacing w:after="200"/>
        <w:jc w:val="center"/>
      </w:pPr>
      <w:r>
        <w:rPr>
          <w:b/>
          <w:bCs/>
          <w:color w:val="8B4513"/>
          <w:sz w:val="52"/>
          <w:szCs w:val="52"/>
        </w:rPr>
        <w:t>POWER GENERATION</w:t>
      </w:r>
    </w:p>
    <w:p w14:paraId="07825CD0" w14:textId="77777777" w:rsidR="00146315" w:rsidRDefault="00000000">
      <w:pPr>
        <w:spacing w:after="80"/>
        <w:jc w:val="center"/>
      </w:pPr>
      <w:r>
        <w:rPr>
          <w:b/>
          <w:bCs/>
          <w:color w:val="8B4513"/>
          <w:sz w:val="44"/>
          <w:szCs w:val="44"/>
        </w:rPr>
        <w:t>INVESTMENT FRAMEWORK</w:t>
      </w:r>
    </w:p>
    <w:p w14:paraId="2F2F4379" w14:textId="77777777" w:rsidR="00146315" w:rsidRDefault="00000000">
      <w:pPr>
        <w:pBdr>
          <w:bottom w:val="single" w:sz="6" w:space="8" w:color="8B4513"/>
        </w:pBdr>
        <w:spacing w:after="300"/>
        <w:jc w:val="center"/>
      </w:pPr>
      <w:r>
        <w:rPr>
          <w:color w:val="666666"/>
          <w:sz w:val="24"/>
          <w:szCs w:val="24"/>
        </w:rPr>
        <w:t>v1.0 — February 2026</w:t>
      </w:r>
    </w:p>
    <w:p w14:paraId="433C3D5E" w14:textId="77777777" w:rsidR="00146315" w:rsidRDefault="00146315">
      <w:pPr>
        <w:spacing w:after="60"/>
      </w:pPr>
    </w:p>
    <w:p w14:paraId="790B12C4" w14:textId="77777777" w:rsidR="00146315" w:rsidRDefault="00000000">
      <w:pPr>
        <w:spacing w:after="80"/>
        <w:jc w:val="center"/>
      </w:pPr>
      <w:r>
        <w:rPr>
          <w:i/>
          <w:iCs/>
          <w:color w:val="555555"/>
        </w:rPr>
        <w:t>Scarcity Advantage × Load-Matching × Dispatch Economics × Demand Durability</w:t>
      </w:r>
    </w:p>
    <w:p w14:paraId="38DBDE51" w14:textId="77777777" w:rsidR="00146315" w:rsidRDefault="00146315">
      <w:pPr>
        <w:spacing w:after="60"/>
      </w:pPr>
    </w:p>
    <w:p w14:paraId="65EC9FAB" w14:textId="77777777" w:rsidR="00146315" w:rsidRDefault="00146315">
      <w:pPr>
        <w:spacing w:after="60"/>
      </w:pPr>
    </w:p>
    <w:p w14:paraId="41B63F95" w14:textId="77777777" w:rsidR="00146315" w:rsidRDefault="00000000">
      <w:pPr>
        <w:spacing w:after="80"/>
        <w:jc w:val="center"/>
      </w:pPr>
      <w:r>
        <w:rPr>
          <w:color w:val="777777"/>
          <w:sz w:val="20"/>
          <w:szCs w:val="20"/>
        </w:rPr>
        <w:t>Scope: Independent power producers (IPPs), integrated generation-retail utilities,</w:t>
      </w:r>
    </w:p>
    <w:p w14:paraId="07B21684" w14:textId="77777777" w:rsidR="00146315" w:rsidRDefault="00000000">
      <w:pPr>
        <w:spacing w:after="80"/>
        <w:jc w:val="center"/>
      </w:pPr>
      <w:r>
        <w:rPr>
          <w:color w:val="777777"/>
          <w:sz w:val="20"/>
          <w:szCs w:val="20"/>
        </w:rPr>
        <w:t>nuclear fleet operators, data center power suppliers, and infrastructure-scale</w:t>
      </w:r>
    </w:p>
    <w:p w14:paraId="56168232" w14:textId="77777777" w:rsidR="00146315" w:rsidRDefault="00000000">
      <w:pPr>
        <w:spacing w:after="80"/>
        <w:jc w:val="center"/>
      </w:pPr>
      <w:r>
        <w:rPr>
          <w:color w:val="777777"/>
          <w:sz w:val="20"/>
          <w:szCs w:val="20"/>
        </w:rPr>
        <w:t>energy companies in deregulated and hybrid markets.</w:t>
      </w:r>
    </w:p>
    <w:p w14:paraId="388D9381" w14:textId="77777777" w:rsidR="00146315" w:rsidRDefault="00000000">
      <w:pPr>
        <w:spacing w:after="200"/>
        <w:jc w:val="center"/>
      </w:pPr>
      <w:r>
        <w:rPr>
          <w:color w:val="777777"/>
          <w:sz w:val="20"/>
          <w:szCs w:val="20"/>
        </w:rPr>
        <w:t xml:space="preserve">Applicable to: NRG Energy, </w:t>
      </w:r>
      <w:proofErr w:type="spellStart"/>
      <w:r>
        <w:rPr>
          <w:color w:val="777777"/>
          <w:sz w:val="20"/>
          <w:szCs w:val="20"/>
        </w:rPr>
        <w:t>Vistra</w:t>
      </w:r>
      <w:proofErr w:type="spellEnd"/>
      <w:r>
        <w:rPr>
          <w:color w:val="777777"/>
          <w:sz w:val="20"/>
          <w:szCs w:val="20"/>
        </w:rPr>
        <w:t>, Constellation Energy, Talen Energy, Calpine,</w:t>
      </w:r>
    </w:p>
    <w:p w14:paraId="2A607F73" w14:textId="77777777" w:rsidR="00146315" w:rsidRDefault="00000000">
      <w:pPr>
        <w:spacing w:after="200"/>
        <w:jc w:val="center"/>
      </w:pPr>
      <w:r>
        <w:rPr>
          <w:color w:val="777777"/>
          <w:sz w:val="20"/>
          <w:szCs w:val="20"/>
        </w:rPr>
        <w:t>NextEra Energy, AES Corp, Cameco, Centrus, and similar power infrastructure plays.</w:t>
      </w:r>
    </w:p>
    <w:p w14:paraId="53063279" w14:textId="77777777" w:rsidR="00146315" w:rsidRDefault="00000000">
      <w:r>
        <w:br w:type="page"/>
      </w:r>
    </w:p>
    <w:p w14:paraId="2FCB21AD" w14:textId="77777777" w:rsidR="00146315" w:rsidRDefault="00000000">
      <w:pPr>
        <w:pStyle w:val="Heading1"/>
      </w:pPr>
      <w:r>
        <w:lastRenderedPageBreak/>
        <w:t>FRAMEWORK PHILOSOPHY</w:t>
      </w:r>
    </w:p>
    <w:p w14:paraId="1ED7BBE6" w14:textId="77777777" w:rsidR="00146315" w:rsidRDefault="00000000">
      <w:pPr>
        <w:spacing w:after="120"/>
      </w:pPr>
      <w:r>
        <w:rPr>
          <w:color w:val="333333"/>
        </w:rPr>
        <w:t>This framework evaluates companies whose competitive advantages are physics-based, asset-based, and scarcity-based. Power generation companies operate in a fundamentally different investment universe from software, defense, or consumer businesses. Their moats come from physical generation assets, grid interconnection rights, fuel supply positions, regulatory market structures, and site scarcity that cannot be replicated at any speed.</w:t>
      </w:r>
    </w:p>
    <w:p w14:paraId="5550160F" w14:textId="77777777" w:rsidR="00146315" w:rsidRDefault="00000000">
      <w:pPr>
        <w:spacing w:after="120"/>
      </w:pPr>
      <w:r>
        <w:rPr>
          <w:color w:val="333333"/>
        </w:rPr>
        <w:t>The framework is designed to answer one question: Does this company possess structural advantages that translate into durable, above-cost-of-capital returns as electricity demand enters a structural growth phase for the first time in decades?</w:t>
      </w:r>
    </w:p>
    <w:p w14:paraId="7C6B1D6E" w14:textId="77777777" w:rsidR="00146315" w:rsidRDefault="00146315">
      <w:pPr>
        <w:spacing w:after="60"/>
      </w:pPr>
    </w:p>
    <w:p w14:paraId="3454F8F3" w14:textId="77777777" w:rsidR="00146315" w:rsidRDefault="00000000">
      <w:pPr>
        <w:spacing w:after="120"/>
      </w:pPr>
      <w:r>
        <w:rPr>
          <w:b/>
          <w:bCs/>
          <w:color w:val="333333"/>
        </w:rPr>
        <w:t xml:space="preserve">Why this framework exists now: </w:t>
      </w:r>
      <w:r>
        <w:rPr>
          <w:color w:val="333333"/>
        </w:rPr>
        <w:t>After two decades of flat US electricity demand, the convergence of AI/data center buildout, electrification of transport and heating, and onshoring of manufacturing has created a structural demand inflection. US electricity demand is projected to grow 15-20% by 2030. The companies best positioned to capture this growth are those with existing generation assets, permitted sites, grid interconnection, and regulatory relationships. The market is pricing this thesis aggressively — this framework provides the analytical structure to determine which companies deserve premium multiples and which are riding hype.</w:t>
      </w:r>
    </w:p>
    <w:p w14:paraId="3ADF6303" w14:textId="77777777" w:rsidR="00146315" w:rsidRDefault="00146315">
      <w:pPr>
        <w:spacing w:after="60"/>
      </w:pPr>
    </w:p>
    <w:p w14:paraId="26E630AD" w14:textId="77777777" w:rsidR="00146315" w:rsidRDefault="00000000">
      <w:pPr>
        <w:spacing w:after="120"/>
      </w:pPr>
      <w:r>
        <w:rPr>
          <w:b/>
          <w:bCs/>
          <w:color w:val="333333"/>
        </w:rPr>
        <w:t xml:space="preserve">What makes power generation moats different: </w:t>
      </w:r>
      <w:r>
        <w:rPr>
          <w:color w:val="333333"/>
        </w:rPr>
        <w:t xml:space="preserve">In SaaS, switching costs are the primary moat. In defense, certification barriers and sole-source contracts dominate. In power generation, the moat is fundamentally about scarcity of physical access — you cannot build a power plant without a site, a permit, grid interconnection, fuel supply, and regulatory approval. Each of these takes years to </w:t>
      </w:r>
      <w:proofErr w:type="gramStart"/>
      <w:r>
        <w:rPr>
          <w:color w:val="333333"/>
        </w:rPr>
        <w:t>decades</w:t>
      </w:r>
      <w:proofErr w:type="gramEnd"/>
      <w:r>
        <w:rPr>
          <w:color w:val="333333"/>
        </w:rPr>
        <w:t>. The companies that already possess these assets have moats that no amount of capital can quickly replicate.</w:t>
      </w:r>
    </w:p>
    <w:p w14:paraId="67E6145E" w14:textId="77777777" w:rsidR="00146315" w:rsidRDefault="00000000">
      <w:r>
        <w:br w:type="page"/>
      </w:r>
    </w:p>
    <w:p w14:paraId="00A84AD8" w14:textId="77777777" w:rsidR="00146315" w:rsidRDefault="00000000">
      <w:pPr>
        <w:pStyle w:val="Heading1"/>
      </w:pPr>
      <w:r>
        <w:lastRenderedPageBreak/>
        <w:t>STAGE 1: POWER INFRASTRUCTURE MOAT IDENTIFICATION (PIMI)</w:t>
      </w:r>
    </w:p>
    <w:p w14:paraId="534BFB23" w14:textId="77777777" w:rsidR="00146315" w:rsidRDefault="00000000">
      <w:pPr>
        <w:spacing w:after="120"/>
      </w:pPr>
      <w:r>
        <w:rPr>
          <w:color w:val="333333"/>
        </w:rPr>
        <w:t xml:space="preserve">Purpose: Identify which structural advantages </w:t>
      </w:r>
      <w:proofErr w:type="gramStart"/>
      <w:r>
        <w:rPr>
          <w:color w:val="333333"/>
        </w:rPr>
        <w:t>actually protect</w:t>
      </w:r>
      <w:proofErr w:type="gramEnd"/>
      <w:r>
        <w:rPr>
          <w:color w:val="333333"/>
        </w:rPr>
        <w:t xml:space="preserve"> this company. Score each moat 0–2 (0 = absent, 1 = partial, 2 = strong). Maximum 16 points.</w:t>
      </w:r>
    </w:p>
    <w:p w14:paraId="24EE502C" w14:textId="77777777" w:rsidR="00146315" w:rsidRDefault="00146315">
      <w:pPr>
        <w:spacing w:after="60"/>
      </w:pPr>
    </w:p>
    <w:p w14:paraId="658680D9" w14:textId="77777777" w:rsidR="00146315" w:rsidRDefault="00000000">
      <w:pPr>
        <w:pStyle w:val="Heading2"/>
      </w:pPr>
      <w:r>
        <w:t>The Eight Power Infrastructure Moats</w:t>
      </w:r>
    </w:p>
    <w:p w14:paraId="7409EF01" w14:textId="77777777" w:rsidR="00146315" w:rsidRDefault="00146315">
      <w:pPr>
        <w:spacing w:after="6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800"/>
        <w:gridCol w:w="3674"/>
        <w:gridCol w:w="3674"/>
      </w:tblGrid>
      <w:tr w:rsidR="00146315" w14:paraId="360263D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8B4513"/>
            <w:tcMar>
              <w:top w:w="80" w:type="dxa"/>
              <w:left w:w="120" w:type="dxa"/>
              <w:bottom w:w="80" w:type="dxa"/>
              <w:right w:w="120" w:type="dxa"/>
            </w:tcMar>
          </w:tcPr>
          <w:p w14:paraId="3C22E1F7" w14:textId="77777777" w:rsidR="00146315" w:rsidRDefault="00000000">
            <w:r>
              <w:rPr>
                <w:b/>
                <w:bCs/>
                <w:color w:val="FFFFFF"/>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8B4513"/>
            <w:tcMar>
              <w:top w:w="80" w:type="dxa"/>
              <w:left w:w="120" w:type="dxa"/>
              <w:bottom w:w="80" w:type="dxa"/>
              <w:right w:w="120" w:type="dxa"/>
            </w:tcMar>
          </w:tcPr>
          <w:p w14:paraId="21438A16" w14:textId="77777777" w:rsidR="00146315" w:rsidRDefault="00000000">
            <w:r>
              <w:rPr>
                <w:b/>
                <w:bCs/>
                <w:color w:val="FFFFFF"/>
                <w:sz w:val="18"/>
                <w:szCs w:val="18"/>
              </w:rPr>
              <w:t>Moat</w:t>
            </w:r>
          </w:p>
        </w:tc>
        <w:tc>
          <w:tcPr>
            <w:tcW w:w="3674" w:type="dxa"/>
            <w:tcBorders>
              <w:top w:val="single" w:sz="1" w:space="0" w:color="CCCCCC"/>
              <w:left w:val="single" w:sz="1" w:space="0" w:color="CCCCCC"/>
              <w:bottom w:val="single" w:sz="1" w:space="0" w:color="CCCCCC"/>
              <w:right w:val="single" w:sz="1" w:space="0" w:color="CCCCCC"/>
            </w:tcBorders>
            <w:shd w:val="clear" w:color="auto" w:fill="8B4513"/>
            <w:tcMar>
              <w:top w:w="80" w:type="dxa"/>
              <w:left w:w="120" w:type="dxa"/>
              <w:bottom w:w="80" w:type="dxa"/>
              <w:right w:w="120" w:type="dxa"/>
            </w:tcMar>
          </w:tcPr>
          <w:p w14:paraId="3715412A" w14:textId="77777777" w:rsidR="00146315" w:rsidRDefault="00000000">
            <w:r>
              <w:rPr>
                <w:b/>
                <w:bCs/>
                <w:color w:val="FFFFFF"/>
                <w:sz w:val="18"/>
                <w:szCs w:val="18"/>
              </w:rPr>
              <w:t>Description</w:t>
            </w:r>
          </w:p>
        </w:tc>
        <w:tc>
          <w:tcPr>
            <w:tcW w:w="3674" w:type="dxa"/>
            <w:tcBorders>
              <w:top w:val="single" w:sz="1" w:space="0" w:color="CCCCCC"/>
              <w:left w:val="single" w:sz="1" w:space="0" w:color="CCCCCC"/>
              <w:bottom w:val="single" w:sz="1" w:space="0" w:color="CCCCCC"/>
              <w:right w:val="single" w:sz="1" w:space="0" w:color="CCCCCC"/>
            </w:tcBorders>
            <w:shd w:val="clear" w:color="auto" w:fill="8B4513"/>
            <w:tcMar>
              <w:top w:w="80" w:type="dxa"/>
              <w:left w:w="120" w:type="dxa"/>
              <w:bottom w:w="80" w:type="dxa"/>
              <w:right w:w="120" w:type="dxa"/>
            </w:tcMar>
          </w:tcPr>
          <w:p w14:paraId="4571B390" w14:textId="77777777" w:rsidR="00146315" w:rsidRDefault="00000000">
            <w:r>
              <w:rPr>
                <w:b/>
                <w:bCs/>
                <w:color w:val="FFFFFF"/>
                <w:sz w:val="18"/>
                <w:szCs w:val="18"/>
              </w:rPr>
              <w:t>Durability Signal</w:t>
            </w:r>
          </w:p>
        </w:tc>
      </w:tr>
      <w:tr w:rsidR="00146315" w14:paraId="5EE6AEB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D28B8" w14:textId="77777777" w:rsidR="00146315" w:rsidRDefault="00000000">
            <w:r>
              <w:rPr>
                <w:color w:val="333333"/>
                <w:sz w:val="18"/>
                <w:szCs w:val="18"/>
              </w:rPr>
              <w:t>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FC6C1" w14:textId="77777777" w:rsidR="00146315" w:rsidRDefault="00000000">
            <w:r>
              <w:rPr>
                <w:b/>
                <w:bCs/>
                <w:color w:val="333333"/>
                <w:sz w:val="18"/>
                <w:szCs w:val="18"/>
              </w:rPr>
              <w:t>Grid Interconnection &amp; Transmission Access</w:t>
            </w:r>
          </w:p>
        </w:tc>
        <w:tc>
          <w:tcPr>
            <w:tcW w:w="36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89E86" w14:textId="77777777" w:rsidR="00146315" w:rsidRDefault="00000000">
            <w:r>
              <w:rPr>
                <w:color w:val="333333"/>
                <w:sz w:val="18"/>
                <w:szCs w:val="18"/>
              </w:rPr>
              <w:t xml:space="preserve">Company owns generation assets with existing grid interconnection agreements, transmission capacity rights, or substation access. New interconnection requests in PJM, MISO, and CAISO face 5-10+ year queues. Existing interconnected assets bypass this bottleneck entirely. Examples: NRG's 25 GW fleet, </w:t>
            </w:r>
            <w:proofErr w:type="spellStart"/>
            <w:r>
              <w:rPr>
                <w:color w:val="333333"/>
                <w:sz w:val="18"/>
                <w:szCs w:val="18"/>
              </w:rPr>
              <w:t>Vistra's</w:t>
            </w:r>
            <w:proofErr w:type="spellEnd"/>
            <w:r>
              <w:rPr>
                <w:color w:val="333333"/>
                <w:sz w:val="18"/>
                <w:szCs w:val="18"/>
              </w:rPr>
              <w:t xml:space="preserve"> ERCOT portfolio, Constellation's nuclear fleet.</w:t>
            </w:r>
          </w:p>
        </w:tc>
        <w:tc>
          <w:tcPr>
            <w:tcW w:w="36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64E4D" w14:textId="77777777" w:rsidR="00146315" w:rsidRDefault="00000000">
            <w:r>
              <w:rPr>
                <w:color w:val="333333"/>
                <w:sz w:val="18"/>
                <w:szCs w:val="18"/>
              </w:rPr>
              <w:t xml:space="preserve">STRUCTURAL SCARCITY. Grid interconnection queues are the single biggest bottleneck in US power development. Companies with existing </w:t>
            </w:r>
            <w:proofErr w:type="gramStart"/>
            <w:r>
              <w:rPr>
                <w:color w:val="333333"/>
                <w:sz w:val="18"/>
                <w:szCs w:val="18"/>
              </w:rPr>
              <w:t>interconnection</w:t>
            </w:r>
            <w:proofErr w:type="gramEnd"/>
            <w:r>
              <w:rPr>
                <w:color w:val="333333"/>
                <w:sz w:val="18"/>
                <w:szCs w:val="18"/>
              </w:rPr>
              <w:t xml:space="preserve"> </w:t>
            </w:r>
            <w:proofErr w:type="gramStart"/>
            <w:r>
              <w:rPr>
                <w:color w:val="333333"/>
                <w:sz w:val="18"/>
                <w:szCs w:val="18"/>
              </w:rPr>
              <w:t>own</w:t>
            </w:r>
            <w:proofErr w:type="gramEnd"/>
            <w:r>
              <w:rPr>
                <w:color w:val="333333"/>
                <w:sz w:val="18"/>
                <w:szCs w:val="18"/>
              </w:rPr>
              <w:t xml:space="preserve"> assets that are functionally irreplaceable on any reasonable investment timeline. This moat strengthens as queues lengthen.</w:t>
            </w:r>
          </w:p>
        </w:tc>
      </w:tr>
      <w:tr w:rsidR="00146315" w14:paraId="69AC0C7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52C9C560" w14:textId="77777777" w:rsidR="00146315" w:rsidRDefault="00000000">
            <w:r>
              <w:rPr>
                <w:color w:val="333333"/>
                <w:sz w:val="18"/>
                <w:szCs w:val="18"/>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21A5C95F" w14:textId="77777777" w:rsidR="00146315" w:rsidRDefault="00000000">
            <w:r>
              <w:rPr>
                <w:b/>
                <w:bCs/>
                <w:color w:val="333333"/>
                <w:sz w:val="18"/>
                <w:szCs w:val="18"/>
              </w:rPr>
              <w:t>Permitted &amp; Shovel-Ready Sites</w:t>
            </w:r>
          </w:p>
        </w:tc>
        <w:tc>
          <w:tcPr>
            <w:tcW w:w="3674"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702AFEA7" w14:textId="77777777" w:rsidR="00146315" w:rsidRDefault="00000000">
            <w:proofErr w:type="gramStart"/>
            <w:r>
              <w:rPr>
                <w:color w:val="333333"/>
                <w:sz w:val="18"/>
                <w:szCs w:val="18"/>
              </w:rPr>
              <w:t>Company owns</w:t>
            </w:r>
            <w:proofErr w:type="gramEnd"/>
            <w:r>
              <w:rPr>
                <w:color w:val="333333"/>
                <w:sz w:val="18"/>
                <w:szCs w:val="18"/>
              </w:rPr>
              <w:t xml:space="preserve"> permitted sites for new generation development with completed or advanced environmental review (NEPA/state equivalents), water rights, air permits, and local zoning approvals. Examples: NRG's BYOP sites in ERCOT/PJM, NextEra's development pipeline.</w:t>
            </w:r>
          </w:p>
        </w:tc>
        <w:tc>
          <w:tcPr>
            <w:tcW w:w="3674"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3C782EE6" w14:textId="77777777" w:rsidR="00146315" w:rsidRDefault="00000000">
            <w:r>
              <w:rPr>
                <w:color w:val="333333"/>
                <w:sz w:val="18"/>
                <w:szCs w:val="18"/>
              </w:rPr>
              <w:t xml:space="preserve">TIME-BASED SCARCITY. Permitting timelines for new </w:t>
            </w:r>
            <w:proofErr w:type="gramStart"/>
            <w:r>
              <w:rPr>
                <w:color w:val="333333"/>
                <w:sz w:val="18"/>
                <w:szCs w:val="18"/>
              </w:rPr>
              <w:t>generation</w:t>
            </w:r>
            <w:proofErr w:type="gramEnd"/>
            <w:r>
              <w:rPr>
                <w:color w:val="333333"/>
                <w:sz w:val="18"/>
                <w:szCs w:val="18"/>
              </w:rPr>
              <w:t xml:space="preserve"> range from 2-7 years depending on jurisdiction and technology. Companies with existing </w:t>
            </w:r>
            <w:proofErr w:type="gramStart"/>
            <w:r>
              <w:rPr>
                <w:color w:val="333333"/>
                <w:sz w:val="18"/>
                <w:szCs w:val="18"/>
              </w:rPr>
              <w:t>permits</w:t>
            </w:r>
            <w:proofErr w:type="gramEnd"/>
            <w:r>
              <w:rPr>
                <w:color w:val="333333"/>
                <w:sz w:val="18"/>
                <w:szCs w:val="18"/>
              </w:rPr>
              <w:t xml:space="preserve"> own optionality that competitors cannot acquire quickly. Value increases as </w:t>
            </w:r>
            <w:proofErr w:type="gramStart"/>
            <w:r>
              <w:rPr>
                <w:color w:val="333333"/>
                <w:sz w:val="18"/>
                <w:szCs w:val="18"/>
              </w:rPr>
              <w:t>demand urgency</w:t>
            </w:r>
            <w:proofErr w:type="gramEnd"/>
            <w:r>
              <w:rPr>
                <w:color w:val="333333"/>
                <w:sz w:val="18"/>
                <w:szCs w:val="18"/>
              </w:rPr>
              <w:t xml:space="preserve"> grows.</w:t>
            </w:r>
          </w:p>
        </w:tc>
      </w:tr>
      <w:tr w:rsidR="00146315" w14:paraId="6DDCBF2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7F693" w14:textId="77777777" w:rsidR="00146315" w:rsidRDefault="00000000">
            <w:r>
              <w:rPr>
                <w:color w:val="333333"/>
                <w:sz w:val="18"/>
                <w:szCs w:val="18"/>
              </w:rPr>
              <w:t>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B0CBE" w14:textId="77777777" w:rsidR="00146315" w:rsidRDefault="00000000">
            <w:r>
              <w:rPr>
                <w:b/>
                <w:bCs/>
                <w:color w:val="333333"/>
                <w:sz w:val="18"/>
                <w:szCs w:val="18"/>
              </w:rPr>
              <w:t>Fuel Supply Advantage</w:t>
            </w:r>
          </w:p>
        </w:tc>
        <w:tc>
          <w:tcPr>
            <w:tcW w:w="36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4965D" w14:textId="77777777" w:rsidR="00146315" w:rsidRDefault="00000000">
            <w:r>
              <w:rPr>
                <w:color w:val="333333"/>
                <w:sz w:val="18"/>
                <w:szCs w:val="18"/>
              </w:rPr>
              <w:t>Company has secured long-term fuel supply at advantageous terms, owns fuel production/processing assets, or operates fuel-agnostic technology (nuclear, hydro). Examples: Constellation's nuclear fleet (fuel cost ~$6/MWh, locked in years ahead), Cameco's uranium supply contracts, gas-fired plants with firm pipeline transport.</w:t>
            </w:r>
          </w:p>
        </w:tc>
        <w:tc>
          <w:tcPr>
            <w:tcW w:w="36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9303E" w14:textId="77777777" w:rsidR="00146315" w:rsidRDefault="00000000">
            <w:r>
              <w:rPr>
                <w:color w:val="333333"/>
                <w:sz w:val="18"/>
                <w:szCs w:val="18"/>
              </w:rPr>
              <w:t xml:space="preserve">VARIABLE. Strongest for nuclear (fuel cost is tiny fraction of total cost and locked in years ahead). Moderate for gas (Henry Hub exposure but </w:t>
            </w:r>
            <w:proofErr w:type="spellStart"/>
            <w:r>
              <w:rPr>
                <w:color w:val="333333"/>
                <w:sz w:val="18"/>
                <w:szCs w:val="18"/>
              </w:rPr>
              <w:t>hedgeable</w:t>
            </w:r>
            <w:proofErr w:type="spellEnd"/>
            <w:r>
              <w:rPr>
                <w:color w:val="333333"/>
                <w:sz w:val="18"/>
                <w:szCs w:val="18"/>
              </w:rPr>
              <w:t xml:space="preserve">). Weakest for coal (declining economics, regulatory risk). Hydro is permanent but </w:t>
            </w:r>
            <w:proofErr w:type="gramStart"/>
            <w:r>
              <w:rPr>
                <w:color w:val="333333"/>
                <w:sz w:val="18"/>
                <w:szCs w:val="18"/>
              </w:rPr>
              <w:t>location-constrained</w:t>
            </w:r>
            <w:proofErr w:type="gramEnd"/>
            <w:r>
              <w:rPr>
                <w:color w:val="333333"/>
                <w:sz w:val="18"/>
                <w:szCs w:val="18"/>
              </w:rPr>
              <w:t>.</w:t>
            </w:r>
          </w:p>
        </w:tc>
      </w:tr>
      <w:tr w:rsidR="00146315" w14:paraId="7FE6757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489DE727" w14:textId="77777777" w:rsidR="00146315" w:rsidRDefault="00000000">
            <w:r>
              <w:rPr>
                <w:color w:val="333333"/>
                <w:sz w:val="18"/>
                <w:szCs w:val="18"/>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6CB98E9E" w14:textId="77777777" w:rsidR="00146315" w:rsidRDefault="00000000">
            <w:r>
              <w:rPr>
                <w:b/>
                <w:bCs/>
                <w:color w:val="333333"/>
                <w:sz w:val="18"/>
                <w:szCs w:val="18"/>
              </w:rPr>
              <w:t>Integrated Generation-to-Retail (Gen-to-Load)</w:t>
            </w:r>
          </w:p>
        </w:tc>
        <w:tc>
          <w:tcPr>
            <w:tcW w:w="3674"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25A1403B" w14:textId="77777777" w:rsidR="00146315" w:rsidRDefault="00000000">
            <w:r>
              <w:rPr>
                <w:color w:val="333333"/>
                <w:sz w:val="18"/>
                <w:szCs w:val="18"/>
              </w:rPr>
              <w:t xml:space="preserve">Company owns both generation assets AND retail customer relationships, creating a natural hedge. Generation profits when wholesale prices are high; retail profits when prices are low. The integrated model smooths earnings volatility. Examples: NRG (25 GW gen + 7M retail customers), </w:t>
            </w:r>
            <w:proofErr w:type="spellStart"/>
            <w:r>
              <w:rPr>
                <w:color w:val="333333"/>
                <w:sz w:val="18"/>
                <w:szCs w:val="18"/>
              </w:rPr>
              <w:t>Vistra</w:t>
            </w:r>
            <w:proofErr w:type="spellEnd"/>
            <w:r>
              <w:rPr>
                <w:color w:val="333333"/>
                <w:sz w:val="18"/>
                <w:szCs w:val="18"/>
              </w:rPr>
              <w:t xml:space="preserve"> (41 GW gen + TXU retail).</w:t>
            </w:r>
          </w:p>
        </w:tc>
        <w:tc>
          <w:tcPr>
            <w:tcW w:w="3674"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3629E296" w14:textId="77777777" w:rsidR="00146315" w:rsidRDefault="00000000">
            <w:r>
              <w:rPr>
                <w:color w:val="333333"/>
                <w:sz w:val="18"/>
                <w:szCs w:val="18"/>
              </w:rPr>
              <w:t>STRUCTURAL. Integration creates a natural hedge that pure-play generators or pure-play retailers cannot replicate without M&amp;A. The hedge value increases as wholesale price volatility increases — which it does as renewables penetration grows. Self-reinforcing moat.</w:t>
            </w:r>
          </w:p>
        </w:tc>
      </w:tr>
      <w:tr w:rsidR="00146315" w14:paraId="72BBAA0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49844" w14:textId="77777777" w:rsidR="00146315" w:rsidRDefault="00000000">
            <w:r>
              <w:rPr>
                <w:color w:val="333333"/>
                <w:sz w:val="18"/>
                <w:szCs w:val="18"/>
              </w:rPr>
              <w:t>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23A4D" w14:textId="77777777" w:rsidR="00146315" w:rsidRDefault="00000000">
            <w:r>
              <w:rPr>
                <w:b/>
                <w:bCs/>
                <w:color w:val="333333"/>
                <w:sz w:val="18"/>
                <w:szCs w:val="18"/>
              </w:rPr>
              <w:t>Nuclear Fleet Premium</w:t>
            </w:r>
          </w:p>
        </w:tc>
        <w:tc>
          <w:tcPr>
            <w:tcW w:w="36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36E66" w14:textId="77777777" w:rsidR="00146315" w:rsidRDefault="00000000">
            <w:proofErr w:type="gramStart"/>
            <w:r>
              <w:rPr>
                <w:color w:val="333333"/>
                <w:sz w:val="18"/>
                <w:szCs w:val="18"/>
              </w:rPr>
              <w:t>Company operates</w:t>
            </w:r>
            <w:proofErr w:type="gramEnd"/>
            <w:r>
              <w:rPr>
                <w:color w:val="333333"/>
                <w:sz w:val="18"/>
                <w:szCs w:val="18"/>
              </w:rPr>
              <w:t xml:space="preserve"> nuclear generation assets — the only large-scale, zero-carbon, baseload power source. Nuclear plants run 90%+ capacity factors, have </w:t>
            </w:r>
            <w:proofErr w:type="gramStart"/>
            <w:r>
              <w:rPr>
                <w:color w:val="333333"/>
                <w:sz w:val="18"/>
                <w:szCs w:val="18"/>
              </w:rPr>
              <w:t>60-80 year</w:t>
            </w:r>
            <w:proofErr w:type="gramEnd"/>
            <w:r>
              <w:rPr>
                <w:color w:val="333333"/>
                <w:sz w:val="18"/>
                <w:szCs w:val="18"/>
              </w:rPr>
              <w:t xml:space="preserve"> licensed lives, near-zero marginal fuel cost, and are effectively irreplaceable (no new US nuclear plant has been completed since Vogtle in 2023-2024, and </w:t>
            </w:r>
            <w:r>
              <w:rPr>
                <w:color w:val="333333"/>
                <w:sz w:val="18"/>
                <w:szCs w:val="18"/>
              </w:rPr>
              <w:lastRenderedPageBreak/>
              <w:t xml:space="preserve">none are likely for a decade). Examples: Constellation (21 GW nuclear, largest US fleet), </w:t>
            </w:r>
            <w:proofErr w:type="spellStart"/>
            <w:r>
              <w:rPr>
                <w:color w:val="333333"/>
                <w:sz w:val="18"/>
                <w:szCs w:val="18"/>
              </w:rPr>
              <w:t>Vistra</w:t>
            </w:r>
            <w:proofErr w:type="spellEnd"/>
            <w:r>
              <w:rPr>
                <w:color w:val="333333"/>
                <w:sz w:val="18"/>
                <w:szCs w:val="18"/>
              </w:rPr>
              <w:t xml:space="preserve"> (Comanche Peak), NRG (STP).</w:t>
            </w:r>
          </w:p>
        </w:tc>
        <w:tc>
          <w:tcPr>
            <w:tcW w:w="36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EEB0A" w14:textId="77777777" w:rsidR="00146315" w:rsidRDefault="00000000">
            <w:r>
              <w:rPr>
                <w:color w:val="333333"/>
                <w:sz w:val="18"/>
                <w:szCs w:val="18"/>
              </w:rPr>
              <w:lastRenderedPageBreak/>
              <w:t xml:space="preserve">MAXIMUM SCARCITY. Nuclear capacity is functionally irreplaceable in the US. Existing plants are receiving 20-year license extensions. Nuclear Production Tax Credits provide floor pricing. Tech companies (Microsoft, Google, Amazon, Meta) are signing 20-year nuclear PPAs for carbon-free 24/7 power. The nuclear </w:t>
            </w:r>
            <w:r>
              <w:rPr>
                <w:color w:val="333333"/>
                <w:sz w:val="18"/>
                <w:szCs w:val="18"/>
              </w:rPr>
              <w:lastRenderedPageBreak/>
              <w:t xml:space="preserve">fleet is the </w:t>
            </w:r>
            <w:proofErr w:type="gramStart"/>
            <w:r>
              <w:rPr>
                <w:color w:val="333333"/>
                <w:sz w:val="18"/>
                <w:szCs w:val="18"/>
              </w:rPr>
              <w:t>most scarce</w:t>
            </w:r>
            <w:proofErr w:type="gramEnd"/>
            <w:r>
              <w:rPr>
                <w:color w:val="333333"/>
                <w:sz w:val="18"/>
                <w:szCs w:val="18"/>
              </w:rPr>
              <w:t xml:space="preserve"> asset class in US power.</w:t>
            </w:r>
          </w:p>
        </w:tc>
      </w:tr>
      <w:tr w:rsidR="00146315" w14:paraId="3527C38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24761018" w14:textId="77777777" w:rsidR="00146315" w:rsidRDefault="00000000">
            <w:r>
              <w:rPr>
                <w:color w:val="333333"/>
                <w:sz w:val="18"/>
                <w:szCs w:val="18"/>
              </w:rPr>
              <w:lastRenderedPageBreak/>
              <w:t>6</w:t>
            </w:r>
          </w:p>
        </w:tc>
        <w:tc>
          <w:tcPr>
            <w:tcW w:w="18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6054203D" w14:textId="77777777" w:rsidR="00146315" w:rsidRDefault="00000000">
            <w:r>
              <w:rPr>
                <w:b/>
                <w:bCs/>
                <w:color w:val="333333"/>
                <w:sz w:val="18"/>
                <w:szCs w:val="18"/>
              </w:rPr>
              <w:t>Regulatory Market Position</w:t>
            </w:r>
          </w:p>
        </w:tc>
        <w:tc>
          <w:tcPr>
            <w:tcW w:w="3674"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1665B4DB" w14:textId="77777777" w:rsidR="00146315" w:rsidRDefault="00000000">
            <w:r>
              <w:rPr>
                <w:color w:val="333333"/>
                <w:sz w:val="18"/>
                <w:szCs w:val="18"/>
              </w:rPr>
              <w:t>Company has advantaged positioning within specific regulatory market structures. Includes: ERCOT market knowledge and relationships (Texas-specific energy-only market), PJM capacity market expertise, state-level regulatory relationships, Public Utility Commission positions, and Texas Energy Fund access. Also includes market design knowledge that creates operational advantages in dispatch, hedging, and capacity auctions.</w:t>
            </w:r>
          </w:p>
        </w:tc>
        <w:tc>
          <w:tcPr>
            <w:tcW w:w="3674"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56D7F03A" w14:textId="77777777" w:rsidR="00146315" w:rsidRDefault="00000000">
            <w:r>
              <w:rPr>
                <w:color w:val="333333"/>
                <w:sz w:val="18"/>
                <w:szCs w:val="18"/>
              </w:rPr>
              <w:t xml:space="preserve">DURABLE but </w:t>
            </w:r>
            <w:proofErr w:type="gramStart"/>
            <w:r>
              <w:rPr>
                <w:color w:val="333333"/>
                <w:sz w:val="18"/>
                <w:szCs w:val="18"/>
              </w:rPr>
              <w:t>market-specific</w:t>
            </w:r>
            <w:proofErr w:type="gramEnd"/>
            <w:r>
              <w:rPr>
                <w:color w:val="333333"/>
                <w:sz w:val="18"/>
                <w:szCs w:val="18"/>
              </w:rPr>
              <w:t>. ERCOT expertise does not transfer to PJM. Regulatory relationships take years to build. Market design knowledge is institutional and difficult to hire away. Strongest for companies with deep history in specific ISO/RTO markets.</w:t>
            </w:r>
          </w:p>
        </w:tc>
      </w:tr>
      <w:tr w:rsidR="00146315" w14:paraId="79B808D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4DF71" w14:textId="77777777" w:rsidR="00146315" w:rsidRDefault="00000000">
            <w:r>
              <w:rPr>
                <w:color w:val="333333"/>
                <w:sz w:val="18"/>
                <w:szCs w:val="18"/>
              </w:rPr>
              <w:t>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CE43D" w14:textId="77777777" w:rsidR="00146315" w:rsidRDefault="00000000">
            <w:r>
              <w:rPr>
                <w:b/>
                <w:bCs/>
                <w:color w:val="333333"/>
                <w:sz w:val="18"/>
                <w:szCs w:val="18"/>
              </w:rPr>
              <w:t>Data Center / Large Load Contracting Pipeline</w:t>
            </w:r>
          </w:p>
        </w:tc>
        <w:tc>
          <w:tcPr>
            <w:tcW w:w="36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CF178" w14:textId="77777777" w:rsidR="00146315" w:rsidRDefault="00000000">
            <w:r>
              <w:rPr>
                <w:color w:val="333333"/>
                <w:sz w:val="18"/>
                <w:szCs w:val="18"/>
              </w:rPr>
              <w:t xml:space="preserve">Company has signed or has LOIs for long-term power purchase agreements with data center operators, </w:t>
            </w:r>
            <w:proofErr w:type="spellStart"/>
            <w:r>
              <w:rPr>
                <w:color w:val="333333"/>
                <w:sz w:val="18"/>
                <w:szCs w:val="18"/>
              </w:rPr>
              <w:t>hyperscalers</w:t>
            </w:r>
            <w:proofErr w:type="spellEnd"/>
            <w:r>
              <w:rPr>
                <w:color w:val="333333"/>
                <w:sz w:val="18"/>
                <w:szCs w:val="18"/>
              </w:rPr>
              <w:t xml:space="preserve">, or other large load customers. These contracts provide </w:t>
            </w:r>
            <w:proofErr w:type="gramStart"/>
            <w:r>
              <w:rPr>
                <w:color w:val="333333"/>
                <w:sz w:val="18"/>
                <w:szCs w:val="18"/>
              </w:rPr>
              <w:t>10-20 year</w:t>
            </w:r>
            <w:proofErr w:type="gramEnd"/>
            <w:r>
              <w:rPr>
                <w:color w:val="333333"/>
                <w:sz w:val="18"/>
                <w:szCs w:val="18"/>
              </w:rPr>
              <w:t xml:space="preserve"> revenue visibility at premium pricing. Examples: Constellation's Microsoft nuclear PPA (Crane Clean Energy Center), NRG's 445 MW data center agreements, </w:t>
            </w:r>
            <w:proofErr w:type="spellStart"/>
            <w:r>
              <w:rPr>
                <w:color w:val="333333"/>
                <w:sz w:val="18"/>
                <w:szCs w:val="18"/>
              </w:rPr>
              <w:t>Vistra's</w:t>
            </w:r>
            <w:proofErr w:type="spellEnd"/>
            <w:r>
              <w:rPr>
                <w:color w:val="333333"/>
                <w:sz w:val="18"/>
                <w:szCs w:val="18"/>
              </w:rPr>
              <w:t xml:space="preserve"> data center pipeline, Talen's co-located nuclear data center.</w:t>
            </w:r>
          </w:p>
        </w:tc>
        <w:tc>
          <w:tcPr>
            <w:tcW w:w="36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8656F" w14:textId="77777777" w:rsidR="00146315" w:rsidRDefault="00000000">
            <w:r>
              <w:rPr>
                <w:color w:val="333333"/>
                <w:sz w:val="18"/>
                <w:szCs w:val="18"/>
              </w:rPr>
              <w:t>EMERGING but potentially STRUCTURAL. Data center PPAs at premium pricing create a new class of contracted revenue that didn't exist 3 years ago. Durability depends on whether AI compute demand is truly structural (decades) vs. cyclical (overbuilds). Companies with signed contracts have more durable moats than those with LOIs or pipeline.</w:t>
            </w:r>
          </w:p>
        </w:tc>
      </w:tr>
      <w:tr w:rsidR="00146315" w14:paraId="04242B7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243754A8" w14:textId="77777777" w:rsidR="00146315" w:rsidRDefault="00000000">
            <w:r>
              <w:rPr>
                <w:color w:val="333333"/>
                <w:sz w:val="18"/>
                <w:szCs w:val="18"/>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79B767F3" w14:textId="77777777" w:rsidR="00146315" w:rsidRDefault="00000000">
            <w:r>
              <w:rPr>
                <w:b/>
                <w:bCs/>
                <w:color w:val="333333"/>
                <w:sz w:val="18"/>
                <w:szCs w:val="18"/>
              </w:rPr>
              <w:t>BYOP / Behind-the-Meter Capability</w:t>
            </w:r>
          </w:p>
        </w:tc>
        <w:tc>
          <w:tcPr>
            <w:tcW w:w="3674"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0C1BDAF4" w14:textId="77777777" w:rsidR="00146315" w:rsidRDefault="00000000">
            <w:proofErr w:type="gramStart"/>
            <w:r>
              <w:rPr>
                <w:color w:val="333333"/>
                <w:sz w:val="18"/>
                <w:szCs w:val="18"/>
              </w:rPr>
              <w:t>Company</w:t>
            </w:r>
            <w:proofErr w:type="gramEnd"/>
            <w:r>
              <w:rPr>
                <w:color w:val="333333"/>
                <w:sz w:val="18"/>
                <w:szCs w:val="18"/>
              </w:rPr>
              <w:t xml:space="preserve"> can develop, build, and operate dedicated power generation co-located with customer facilities (data centers, industrial loads) behind the meter or via direct interconnection, bypassing grid constraints entirely. Requires: owned sites, EPC relationships, turbine procurement agreements, and customer development capability. Examples: NRG's 5.4 GW GE </w:t>
            </w:r>
            <w:proofErr w:type="spellStart"/>
            <w:r>
              <w:rPr>
                <w:color w:val="333333"/>
                <w:sz w:val="18"/>
                <w:szCs w:val="18"/>
              </w:rPr>
              <w:t>Vernova</w:t>
            </w:r>
            <w:proofErr w:type="spellEnd"/>
            <w:r>
              <w:rPr>
                <w:color w:val="333333"/>
                <w:sz w:val="18"/>
                <w:szCs w:val="18"/>
              </w:rPr>
              <w:t>/Kiewit partnership, letters of intent for 7.5+ GW.</w:t>
            </w:r>
          </w:p>
        </w:tc>
        <w:tc>
          <w:tcPr>
            <w:tcW w:w="3674"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23AB77EB" w14:textId="77777777" w:rsidR="00146315" w:rsidRDefault="00000000">
            <w:r>
              <w:rPr>
                <w:color w:val="333333"/>
                <w:sz w:val="18"/>
                <w:szCs w:val="18"/>
              </w:rPr>
              <w:t xml:space="preserve">FIRST-MOVER ADVANTAGE. The BYOP model is new (2024-2026 vintage). First movers who have secured turbine supply agreements and EPC partnerships have a </w:t>
            </w:r>
            <w:proofErr w:type="gramStart"/>
            <w:r>
              <w:rPr>
                <w:color w:val="333333"/>
                <w:sz w:val="18"/>
                <w:szCs w:val="18"/>
              </w:rPr>
              <w:t>2-3 year</w:t>
            </w:r>
            <w:proofErr w:type="gramEnd"/>
            <w:r>
              <w:rPr>
                <w:color w:val="333333"/>
                <w:sz w:val="18"/>
                <w:szCs w:val="18"/>
              </w:rPr>
              <w:t xml:space="preserve"> head start. Durability depends on whether BYOP becomes standard (moat erodes) or remains specialized (moat strengthens). Turbine supply is currently constrained, which favors early movers.</w:t>
            </w:r>
          </w:p>
        </w:tc>
      </w:tr>
    </w:tbl>
    <w:p w14:paraId="7AA45DCD" w14:textId="77777777" w:rsidR="00146315" w:rsidRDefault="00146315">
      <w:pPr>
        <w:spacing w:after="60"/>
      </w:pPr>
    </w:p>
    <w:p w14:paraId="0EAF7F0E" w14:textId="77777777" w:rsidR="00146315" w:rsidRDefault="00000000">
      <w:pPr>
        <w:pStyle w:val="Heading2"/>
      </w:pPr>
      <w:r>
        <w:t>PIMI Scoring</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848"/>
      </w:tblGrid>
      <w:tr w:rsidR="00146315" w14:paraId="16F215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8B4513"/>
            <w:tcMar>
              <w:top w:w="80" w:type="dxa"/>
              <w:left w:w="120" w:type="dxa"/>
              <w:bottom w:w="80" w:type="dxa"/>
              <w:right w:w="120" w:type="dxa"/>
            </w:tcMar>
          </w:tcPr>
          <w:p w14:paraId="7DAA000B" w14:textId="77777777" w:rsidR="00146315" w:rsidRDefault="00000000">
            <w:r>
              <w:rPr>
                <w:b/>
                <w:bCs/>
                <w:color w:val="FFFFFF"/>
                <w:sz w:val="18"/>
                <w:szCs w:val="18"/>
              </w:rPr>
              <w:t>PIMI Score</w:t>
            </w:r>
          </w:p>
        </w:tc>
        <w:tc>
          <w:tcPr>
            <w:tcW w:w="2400" w:type="dxa"/>
            <w:tcBorders>
              <w:top w:val="single" w:sz="1" w:space="0" w:color="CCCCCC"/>
              <w:left w:val="single" w:sz="1" w:space="0" w:color="CCCCCC"/>
              <w:bottom w:val="single" w:sz="1" w:space="0" w:color="CCCCCC"/>
              <w:right w:val="single" w:sz="1" w:space="0" w:color="CCCCCC"/>
            </w:tcBorders>
            <w:shd w:val="clear" w:color="auto" w:fill="8B4513"/>
            <w:tcMar>
              <w:top w:w="80" w:type="dxa"/>
              <w:left w:w="120" w:type="dxa"/>
              <w:bottom w:w="80" w:type="dxa"/>
              <w:right w:w="120" w:type="dxa"/>
            </w:tcMar>
          </w:tcPr>
          <w:p w14:paraId="7DD09C87" w14:textId="77777777" w:rsidR="00146315" w:rsidRDefault="00000000">
            <w:r>
              <w:rPr>
                <w:b/>
                <w:bCs/>
                <w:color w:val="FFFFFF"/>
                <w:sz w:val="18"/>
                <w:szCs w:val="18"/>
              </w:rPr>
              <w:t>Classification</w:t>
            </w:r>
          </w:p>
        </w:tc>
        <w:tc>
          <w:tcPr>
            <w:tcW w:w="4848" w:type="dxa"/>
            <w:tcBorders>
              <w:top w:val="single" w:sz="1" w:space="0" w:color="CCCCCC"/>
              <w:left w:val="single" w:sz="1" w:space="0" w:color="CCCCCC"/>
              <w:bottom w:val="single" w:sz="1" w:space="0" w:color="CCCCCC"/>
              <w:right w:val="single" w:sz="1" w:space="0" w:color="CCCCCC"/>
            </w:tcBorders>
            <w:shd w:val="clear" w:color="auto" w:fill="8B4513"/>
            <w:tcMar>
              <w:top w:w="80" w:type="dxa"/>
              <w:left w:w="120" w:type="dxa"/>
              <w:bottom w:w="80" w:type="dxa"/>
              <w:right w:w="120" w:type="dxa"/>
            </w:tcMar>
          </w:tcPr>
          <w:p w14:paraId="4711F508" w14:textId="77777777" w:rsidR="00146315" w:rsidRDefault="00000000">
            <w:r>
              <w:rPr>
                <w:b/>
                <w:bCs/>
                <w:color w:val="FFFFFF"/>
                <w:sz w:val="18"/>
                <w:szCs w:val="18"/>
              </w:rPr>
              <w:t>Interpretation</w:t>
            </w:r>
          </w:p>
        </w:tc>
      </w:tr>
      <w:tr w:rsidR="00146315" w14:paraId="0AB43C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C9C17" w14:textId="77777777" w:rsidR="00146315" w:rsidRDefault="00000000">
            <w:r>
              <w:rPr>
                <w:b/>
                <w:bCs/>
                <w:color w:val="333333"/>
                <w:sz w:val="18"/>
                <w:szCs w:val="18"/>
              </w:rPr>
              <w:t>13–16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D0709" w14:textId="77777777" w:rsidR="00146315" w:rsidRDefault="00000000">
            <w:r>
              <w:rPr>
                <w:b/>
                <w:bCs/>
                <w:color w:val="1B7A3D"/>
                <w:sz w:val="18"/>
                <w:szCs w:val="18"/>
              </w:rPr>
              <w:t>Grid Fortress</w:t>
            </w:r>
          </w:p>
        </w:tc>
        <w:tc>
          <w:tcPr>
            <w:tcW w:w="4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38E3C" w14:textId="77777777" w:rsidR="00146315" w:rsidRDefault="00000000">
            <w:r>
              <w:rPr>
                <w:color w:val="333333"/>
                <w:sz w:val="18"/>
                <w:szCs w:val="18"/>
              </w:rPr>
              <w:t xml:space="preserve">Multiple reinforcing infrastructure moats including nuclear and/or massive interconnected fleet. </w:t>
            </w:r>
            <w:proofErr w:type="gramStart"/>
            <w:r>
              <w:rPr>
                <w:color w:val="333333"/>
                <w:sz w:val="18"/>
                <w:szCs w:val="18"/>
              </w:rPr>
              <w:t>Virtually</w:t>
            </w:r>
            <w:proofErr w:type="gramEnd"/>
            <w:r>
              <w:rPr>
                <w:color w:val="333333"/>
                <w:sz w:val="18"/>
                <w:szCs w:val="18"/>
              </w:rPr>
              <w:t xml:space="preserve"> impossible to replicate. Proceed to Stage 2 with high confidence.</w:t>
            </w:r>
          </w:p>
        </w:tc>
      </w:tr>
      <w:tr w:rsidR="00146315" w14:paraId="477683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3F812CBA" w14:textId="77777777" w:rsidR="00146315" w:rsidRDefault="00000000">
            <w:r>
              <w:rPr>
                <w:b/>
                <w:bCs/>
                <w:color w:val="333333"/>
                <w:sz w:val="18"/>
                <w:szCs w:val="18"/>
              </w:rPr>
              <w:t>9–12</w:t>
            </w:r>
          </w:p>
        </w:tc>
        <w:tc>
          <w:tcPr>
            <w:tcW w:w="24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599DA094" w14:textId="77777777" w:rsidR="00146315" w:rsidRDefault="00000000">
            <w:r>
              <w:rPr>
                <w:b/>
                <w:bCs/>
                <w:color w:val="2E75B6"/>
                <w:sz w:val="18"/>
                <w:szCs w:val="18"/>
              </w:rPr>
              <w:t>Infrastructure Incumbent</w:t>
            </w:r>
          </w:p>
        </w:tc>
        <w:tc>
          <w:tcPr>
            <w:tcW w:w="4848"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0F2632C6" w14:textId="77777777" w:rsidR="00146315" w:rsidRDefault="00000000">
            <w:r>
              <w:rPr>
                <w:color w:val="333333"/>
                <w:sz w:val="18"/>
                <w:szCs w:val="18"/>
              </w:rPr>
              <w:t>Strong physical asset base with meaningful scarcity advantages. Proceed to Stage 2. Most large IPPs and integrated gen-retail companies land here.</w:t>
            </w:r>
          </w:p>
        </w:tc>
      </w:tr>
      <w:tr w:rsidR="00146315" w14:paraId="52A364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7B649" w14:textId="77777777" w:rsidR="00146315" w:rsidRDefault="00000000">
            <w:r>
              <w:rPr>
                <w:b/>
                <w:bCs/>
                <w:color w:val="333333"/>
                <w:sz w:val="18"/>
                <w:szCs w:val="18"/>
              </w:rPr>
              <w:t>5–8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8C7D7" w14:textId="77777777" w:rsidR="00146315" w:rsidRDefault="00000000">
            <w:r>
              <w:rPr>
                <w:b/>
                <w:bCs/>
                <w:color w:val="D4A017"/>
                <w:sz w:val="18"/>
                <w:szCs w:val="18"/>
              </w:rPr>
              <w:t>Competitive Generator</w:t>
            </w:r>
          </w:p>
        </w:tc>
        <w:tc>
          <w:tcPr>
            <w:tcW w:w="48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75B38" w14:textId="77777777" w:rsidR="00146315" w:rsidRDefault="00000000">
            <w:r>
              <w:rPr>
                <w:color w:val="333333"/>
                <w:sz w:val="18"/>
                <w:szCs w:val="18"/>
              </w:rPr>
              <w:t xml:space="preserve">Some physical advantages but </w:t>
            </w:r>
            <w:proofErr w:type="gramStart"/>
            <w:r>
              <w:rPr>
                <w:color w:val="333333"/>
                <w:sz w:val="18"/>
                <w:szCs w:val="18"/>
              </w:rPr>
              <w:t>faces</w:t>
            </w:r>
            <w:proofErr w:type="gramEnd"/>
            <w:r>
              <w:rPr>
                <w:color w:val="333333"/>
                <w:sz w:val="18"/>
                <w:szCs w:val="18"/>
              </w:rPr>
              <w:t xml:space="preserve"> competitive pressure from better-positioned peers. Apply conservative valuation gates. Watch for merchant exposure risk.</w:t>
            </w:r>
          </w:p>
        </w:tc>
      </w:tr>
      <w:tr w:rsidR="00146315" w14:paraId="086706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6155AD78" w14:textId="77777777" w:rsidR="00146315" w:rsidRDefault="00000000">
            <w:r>
              <w:rPr>
                <w:b/>
                <w:bCs/>
                <w:color w:val="333333"/>
                <w:sz w:val="18"/>
                <w:szCs w:val="18"/>
              </w:rPr>
              <w:lastRenderedPageBreak/>
              <w:t>0–4</w:t>
            </w:r>
          </w:p>
        </w:tc>
        <w:tc>
          <w:tcPr>
            <w:tcW w:w="24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2EECC789" w14:textId="77777777" w:rsidR="00146315" w:rsidRDefault="00000000">
            <w:r>
              <w:rPr>
                <w:b/>
                <w:bCs/>
                <w:color w:val="C0392B"/>
                <w:sz w:val="18"/>
                <w:szCs w:val="18"/>
              </w:rPr>
              <w:t>Merchant Exposed</w:t>
            </w:r>
          </w:p>
        </w:tc>
        <w:tc>
          <w:tcPr>
            <w:tcW w:w="4848"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4CAF9EAC" w14:textId="77777777" w:rsidR="00146315" w:rsidRDefault="00000000">
            <w:r>
              <w:rPr>
                <w:color w:val="333333"/>
                <w:sz w:val="18"/>
                <w:szCs w:val="18"/>
              </w:rPr>
              <w:t>Minimal structural protection. Revenue dependent on volatile wholesale markets. High risk of earnings compression in oversupply scenarios. Consider passing.</w:t>
            </w:r>
          </w:p>
        </w:tc>
      </w:tr>
    </w:tbl>
    <w:p w14:paraId="736D4FB1" w14:textId="77777777" w:rsidR="00146315" w:rsidRDefault="00146315">
      <w:pPr>
        <w:spacing w:after="60"/>
      </w:pPr>
    </w:p>
    <w:p w14:paraId="439734EF" w14:textId="77777777" w:rsidR="00146315" w:rsidRDefault="00000000">
      <w:pPr>
        <w:pStyle w:val="Heading3"/>
      </w:pPr>
      <w:r>
        <w:t>PIMI Critical Rules</w:t>
      </w:r>
    </w:p>
    <w:p w14:paraId="1AD68394" w14:textId="77777777" w:rsidR="00146315" w:rsidRDefault="00000000">
      <w:pPr>
        <w:pStyle w:val="ListParagraph"/>
        <w:numPr>
          <w:ilvl w:val="0"/>
          <w:numId w:val="2"/>
        </w:numPr>
        <w:spacing w:after="60"/>
      </w:pPr>
      <w:r>
        <w:t xml:space="preserve">Moat 5 (Nuclear) is binary and powerful. A company with a </w:t>
      </w:r>
      <w:proofErr w:type="gramStart"/>
      <w:r>
        <w:t>nuclear fleet scores</w:t>
      </w:r>
      <w:proofErr w:type="gramEnd"/>
      <w:r>
        <w:t xml:space="preserve"> at minimum 2/2 on Moats 5 and 3. Nuclear is the most structurally scarce asset in US power and should be weighted heavily in the overall assessment.</w:t>
      </w:r>
    </w:p>
    <w:p w14:paraId="32827492" w14:textId="77777777" w:rsidR="00146315" w:rsidRDefault="00000000">
      <w:pPr>
        <w:pStyle w:val="ListParagraph"/>
        <w:numPr>
          <w:ilvl w:val="0"/>
          <w:numId w:val="2"/>
        </w:numPr>
        <w:spacing w:after="60"/>
      </w:pPr>
      <w:r>
        <w:t>Moat 4 (Gen-to-Load Integration) becomes more valuable as renewable penetration increases, because intermittency drives wholesale price volatility. Companies without this hedge face earnings whiplash.</w:t>
      </w:r>
    </w:p>
    <w:p w14:paraId="51BEDA88" w14:textId="77777777" w:rsidR="00146315" w:rsidRDefault="00000000">
      <w:pPr>
        <w:pStyle w:val="ListParagraph"/>
        <w:numPr>
          <w:ilvl w:val="0"/>
          <w:numId w:val="2"/>
        </w:numPr>
        <w:spacing w:after="60"/>
      </w:pPr>
      <w:r>
        <w:t>Moat 7 (Data Center Contracts) must distinguish between signed PPAs (strong), signed LOIs (moderate), and pipeline/targets (weak). Only signed contracts provide genuine revenue visibility.</w:t>
      </w:r>
    </w:p>
    <w:p w14:paraId="21D276EA" w14:textId="77777777" w:rsidR="00146315" w:rsidRDefault="00000000">
      <w:pPr>
        <w:pStyle w:val="ListParagraph"/>
        <w:numPr>
          <w:ilvl w:val="0"/>
          <w:numId w:val="2"/>
        </w:numPr>
        <w:spacing w:after="60"/>
      </w:pPr>
      <w:r>
        <w:t xml:space="preserve">Moat 8 (BYOP) is new and unproven at scale. </w:t>
      </w:r>
      <w:proofErr w:type="gramStart"/>
      <w:r>
        <w:t>Weight</w:t>
      </w:r>
      <w:proofErr w:type="gramEnd"/>
      <w:r>
        <w:t xml:space="preserve"> cautiously until first projects reach commercial operation. The moat is primarily the turbine/EPC agreements and site control, not the concept itself.</w:t>
      </w:r>
    </w:p>
    <w:p w14:paraId="2228AAE1" w14:textId="77777777" w:rsidR="00146315" w:rsidRDefault="00000000">
      <w:pPr>
        <w:pStyle w:val="ListParagraph"/>
        <w:numPr>
          <w:ilvl w:val="0"/>
          <w:numId w:val="2"/>
        </w:numPr>
        <w:spacing w:after="60"/>
      </w:pPr>
      <w:r>
        <w:t>For regulated utilities (Duke, Southern Company, Dominion), this framework may underweight regulatory rate-of-return stability. Consider whether the utility's regulated model provides a different but equally valid moat structure.</w:t>
      </w:r>
    </w:p>
    <w:p w14:paraId="0D30323D" w14:textId="77777777" w:rsidR="00146315" w:rsidRDefault="00000000">
      <w:r>
        <w:br w:type="page"/>
      </w:r>
    </w:p>
    <w:p w14:paraId="0D03FFFE" w14:textId="77777777" w:rsidR="00146315" w:rsidRDefault="00000000">
      <w:pPr>
        <w:pStyle w:val="Heading1"/>
      </w:pPr>
      <w:r>
        <w:lastRenderedPageBreak/>
        <w:t>STAGE 2: FIVE-DIMENSION ASSESSMENT</w:t>
      </w:r>
    </w:p>
    <w:p w14:paraId="6D805EBB" w14:textId="77777777" w:rsidR="00146315" w:rsidRDefault="00000000">
      <w:pPr>
        <w:spacing w:after="120"/>
      </w:pPr>
      <w:r>
        <w:rPr>
          <w:color w:val="333333"/>
        </w:rPr>
        <w:t>Purpose: Score the company across five dimensions that determine whether infrastructure moats translate into investable returns. Each dimension scored 0–10. Weighted composite produces final score.</w:t>
      </w:r>
    </w:p>
    <w:p w14:paraId="70BF1342" w14:textId="77777777" w:rsidR="00146315" w:rsidRDefault="00146315">
      <w:pPr>
        <w:spacing w:after="60"/>
      </w:pPr>
    </w:p>
    <w:p w14:paraId="6D52B765" w14:textId="77777777" w:rsidR="00146315" w:rsidRDefault="00000000">
      <w:pPr>
        <w:pStyle w:val="Heading2"/>
      </w:pPr>
      <w:r>
        <w:t>DIMENSION 1: CONTRACTED REVENUE &amp; EARNINGS VISIBILITY</w:t>
      </w:r>
    </w:p>
    <w:p w14:paraId="1952979A" w14:textId="77777777" w:rsidR="00146315" w:rsidRDefault="00000000">
      <w:pPr>
        <w:spacing w:after="120"/>
      </w:pPr>
      <w:r>
        <w:rPr>
          <w:b/>
          <w:bCs/>
          <w:i/>
          <w:iCs/>
          <w:color w:val="333333"/>
        </w:rPr>
        <w:t>Weight: 25% of composite</w:t>
      </w:r>
    </w:p>
    <w:p w14:paraId="108EB6CE" w14:textId="77777777" w:rsidR="00146315" w:rsidRDefault="00000000">
      <w:pPr>
        <w:spacing w:after="120"/>
      </w:pPr>
      <w:r>
        <w:rPr>
          <w:color w:val="333333"/>
        </w:rPr>
        <w:t>The question: How much of future revenue is locked in through contracts, hedges, and retail load, vs. exposed to volatile wholesale spot markets?</w:t>
      </w:r>
    </w:p>
    <w:p w14:paraId="4E07B7BB" w14:textId="77777777" w:rsidR="00146315" w:rsidRDefault="00146315">
      <w:pPr>
        <w:spacing w:after="60"/>
      </w:pPr>
    </w:p>
    <w:p w14:paraId="192051EF" w14:textId="77777777" w:rsidR="00146315" w:rsidRDefault="00000000">
      <w:pPr>
        <w:spacing w:after="120"/>
      </w:pPr>
      <w:r>
        <w:rPr>
          <w:color w:val="333333"/>
        </w:rPr>
        <w:t>Power companies with high contracted/hedged revenue trade at premium multiples because their earnings are predictable. Pure merchant generators trade at discount multiples because earnings swing wildly with gas and power prices. This dimension measures the quality of the revenue stream.</w:t>
      </w:r>
    </w:p>
    <w:p w14:paraId="07F3FEDE" w14:textId="77777777" w:rsidR="00146315" w:rsidRDefault="00146315">
      <w:pPr>
        <w:spacing w:after="60"/>
      </w:pPr>
    </w:p>
    <w:p w14:paraId="3685313D" w14:textId="77777777" w:rsidR="00146315" w:rsidRDefault="00000000">
      <w:pPr>
        <w:spacing w:after="120"/>
      </w:pPr>
      <w:r>
        <w:rPr>
          <w:b/>
          <w:bCs/>
          <w:color w:val="333333"/>
        </w:rPr>
        <w:t xml:space="preserve">Score 8–10: </w:t>
      </w:r>
      <w:r>
        <w:rPr>
          <w:color w:val="333333"/>
        </w:rPr>
        <w:t>&gt;80% of near-term generation output is contracted (PPAs, tolling agreements) or naturally hedged through integrated retail load. Long-term contracts (5+ years) with creditworthy counterparties (</w:t>
      </w:r>
      <w:proofErr w:type="spellStart"/>
      <w:r>
        <w:rPr>
          <w:color w:val="333333"/>
        </w:rPr>
        <w:t>hyperscalers</w:t>
      </w:r>
      <w:proofErr w:type="spellEnd"/>
      <w:r>
        <w:rPr>
          <w:color w:val="333333"/>
        </w:rPr>
        <w:t>, utilities, C&amp;I customers). Retail customer base provides stable, high-margin cash flow. Hedging program locks in 2-3 years of forward earnings with high confidence.</w:t>
      </w:r>
    </w:p>
    <w:p w14:paraId="2EBEB98B" w14:textId="77777777" w:rsidR="00146315" w:rsidRDefault="00000000">
      <w:pPr>
        <w:spacing w:after="120"/>
      </w:pPr>
      <w:r>
        <w:rPr>
          <w:b/>
          <w:bCs/>
          <w:color w:val="333333"/>
        </w:rPr>
        <w:t xml:space="preserve">Score 5–7: </w:t>
      </w:r>
      <w:r>
        <w:rPr>
          <w:color w:val="333333"/>
        </w:rPr>
        <w:t>50-80% contracted/hedged. Mix of contracted and merchant exposure. Retail operations provide partial hedge. Forward hedge book provides 1-2 years of visibility. Some open merchant exposure in favorable markets.</w:t>
      </w:r>
    </w:p>
    <w:p w14:paraId="65E0CECE" w14:textId="77777777" w:rsidR="00146315" w:rsidRDefault="00000000">
      <w:pPr>
        <w:spacing w:after="120"/>
      </w:pPr>
      <w:r>
        <w:rPr>
          <w:b/>
          <w:bCs/>
          <w:color w:val="333333"/>
        </w:rPr>
        <w:t xml:space="preserve">Score 2–4: </w:t>
      </w:r>
      <w:r>
        <w:rPr>
          <w:color w:val="333333"/>
        </w:rPr>
        <w:t xml:space="preserve">20-50% contracted. Significant merchant exposure. Earnings </w:t>
      </w:r>
      <w:proofErr w:type="gramStart"/>
      <w:r>
        <w:rPr>
          <w:color w:val="333333"/>
        </w:rPr>
        <w:t>highly</w:t>
      </w:r>
      <w:proofErr w:type="gramEnd"/>
      <w:r>
        <w:rPr>
          <w:color w:val="333333"/>
        </w:rPr>
        <w:t xml:space="preserve"> sensitive to wholesale price movements. Limited retail hedge. Short-term contracting only.</w:t>
      </w:r>
    </w:p>
    <w:p w14:paraId="7C6A8F59" w14:textId="77777777" w:rsidR="00146315" w:rsidRDefault="00000000">
      <w:pPr>
        <w:spacing w:after="120"/>
      </w:pPr>
      <w:r>
        <w:rPr>
          <w:b/>
          <w:bCs/>
          <w:color w:val="333333"/>
        </w:rPr>
        <w:t xml:space="preserve">Score 0–1: </w:t>
      </w:r>
      <w:r>
        <w:rPr>
          <w:color w:val="333333"/>
        </w:rPr>
        <w:t>Predominantly merchant. Earnings swing 50%+ with commodity price cycles. No meaningful hedging or retail offset. Pure price-taker.</w:t>
      </w:r>
    </w:p>
    <w:p w14:paraId="1F0A335C" w14:textId="77777777" w:rsidR="00146315" w:rsidRDefault="00146315">
      <w:pPr>
        <w:spacing w:after="60"/>
      </w:pPr>
    </w:p>
    <w:p w14:paraId="656104CB" w14:textId="77777777" w:rsidR="00146315" w:rsidRDefault="00000000">
      <w:pPr>
        <w:spacing w:after="120"/>
      </w:pPr>
      <w:r>
        <w:rPr>
          <w:b/>
          <w:bCs/>
          <w:color w:val="C0392B"/>
        </w:rPr>
        <w:t xml:space="preserve">Fact-Check Required: </w:t>
      </w:r>
      <w:r>
        <w:rPr>
          <w:color w:val="333333"/>
        </w:rPr>
        <w:t>Verify hedge book from 10-K or earnings presentation. Confirm PPA portfolio and tenor from investor materials. Verify retail customer count and margin from segment reporting. Check counterparty credit quality for major PPAs.</w:t>
      </w:r>
    </w:p>
    <w:p w14:paraId="5601DEAC" w14:textId="77777777" w:rsidR="00146315" w:rsidRDefault="00146315">
      <w:pPr>
        <w:spacing w:after="60"/>
      </w:pPr>
    </w:p>
    <w:p w14:paraId="20C86126" w14:textId="77777777" w:rsidR="00146315" w:rsidRDefault="00000000">
      <w:pPr>
        <w:pStyle w:val="Heading2"/>
      </w:pPr>
      <w:r>
        <w:t>DIMENSION 2: FLEET QUALITY &amp; DISPATCH ECONOMICS</w:t>
      </w:r>
    </w:p>
    <w:p w14:paraId="4243C187" w14:textId="77777777" w:rsidR="00146315" w:rsidRDefault="00000000">
      <w:pPr>
        <w:spacing w:after="120"/>
      </w:pPr>
      <w:r>
        <w:rPr>
          <w:b/>
          <w:bCs/>
          <w:i/>
          <w:iCs/>
          <w:color w:val="333333"/>
        </w:rPr>
        <w:t>Weight: 20% of composite</w:t>
      </w:r>
    </w:p>
    <w:p w14:paraId="3C641FE6" w14:textId="77777777" w:rsidR="00146315" w:rsidRDefault="00000000">
      <w:pPr>
        <w:spacing w:after="120"/>
      </w:pPr>
      <w:r>
        <w:rPr>
          <w:color w:val="333333"/>
        </w:rPr>
        <w:t>The question: Is this generation fleet low-cost, flexible, and positioned to dispatch profitably across market conditions?</w:t>
      </w:r>
    </w:p>
    <w:p w14:paraId="68289BCF" w14:textId="77777777" w:rsidR="00146315" w:rsidRDefault="00146315">
      <w:pPr>
        <w:spacing w:after="60"/>
      </w:pPr>
    </w:p>
    <w:p w14:paraId="78EE4B8F" w14:textId="77777777" w:rsidR="00146315" w:rsidRDefault="00000000">
      <w:pPr>
        <w:spacing w:after="120"/>
      </w:pPr>
      <w:r>
        <w:rPr>
          <w:color w:val="333333"/>
        </w:rPr>
        <w:t xml:space="preserve">Not all megawatts are equal. A modern CCGT with 7,000 Btu/kWh heat rate dispatches profitably at gas prices where an old steam turbine at 10,000+ Btu/kWh loses money. Nuclear dispatches at near-zero marginal cost 90%+ of the time. </w:t>
      </w:r>
      <w:proofErr w:type="spellStart"/>
      <w:r>
        <w:rPr>
          <w:color w:val="333333"/>
        </w:rPr>
        <w:t>Peakers</w:t>
      </w:r>
      <w:proofErr w:type="spellEnd"/>
      <w:r>
        <w:rPr>
          <w:color w:val="333333"/>
        </w:rPr>
        <w:t xml:space="preserve"> capture scarcity pricing. This dimension </w:t>
      </w:r>
      <w:r>
        <w:rPr>
          <w:color w:val="333333"/>
        </w:rPr>
        <w:lastRenderedPageBreak/>
        <w:t>measures whether the fleet is a cost-advantaged, flexible portfolio or an aging collection of marginally economic units.</w:t>
      </w:r>
    </w:p>
    <w:p w14:paraId="68D59459" w14:textId="77777777" w:rsidR="00146315" w:rsidRDefault="00146315">
      <w:pPr>
        <w:spacing w:after="60"/>
      </w:pPr>
    </w:p>
    <w:p w14:paraId="64A90DA5" w14:textId="77777777" w:rsidR="00146315" w:rsidRDefault="00000000">
      <w:pPr>
        <w:spacing w:after="120"/>
      </w:pPr>
      <w:r>
        <w:rPr>
          <w:b/>
          <w:bCs/>
          <w:color w:val="333333"/>
        </w:rPr>
        <w:t xml:space="preserve">Score 8–10: </w:t>
      </w:r>
      <w:r>
        <w:rPr>
          <w:color w:val="333333"/>
        </w:rPr>
        <w:t xml:space="preserve">Fleet dominated by nuclear (zero-carbon baseload), modern CCGTs (&lt;7,500 Btu/kWh), and/or strategically positioned </w:t>
      </w:r>
      <w:proofErr w:type="spellStart"/>
      <w:r>
        <w:rPr>
          <w:color w:val="333333"/>
        </w:rPr>
        <w:t>peakers</w:t>
      </w:r>
      <w:proofErr w:type="spellEnd"/>
      <w:r>
        <w:rPr>
          <w:color w:val="333333"/>
        </w:rPr>
        <w:t xml:space="preserve">. Fleet availability &gt;90%. Low forced outage rate. Dual-fuel capability where relevant. New or recently upgraded units with 20+ </w:t>
      </w:r>
      <w:proofErr w:type="gramStart"/>
      <w:r>
        <w:rPr>
          <w:color w:val="333333"/>
        </w:rPr>
        <w:t>year</w:t>
      </w:r>
      <w:proofErr w:type="gramEnd"/>
      <w:r>
        <w:rPr>
          <w:color w:val="333333"/>
        </w:rPr>
        <w:t xml:space="preserve"> remaining economic life. Geographic positioning in high-value markets (ERCOT, PJM). Minimal coal exposure.</w:t>
      </w:r>
    </w:p>
    <w:p w14:paraId="447D61AF" w14:textId="77777777" w:rsidR="00146315" w:rsidRDefault="00000000">
      <w:pPr>
        <w:spacing w:after="120"/>
      </w:pPr>
      <w:r>
        <w:rPr>
          <w:b/>
          <w:bCs/>
          <w:color w:val="333333"/>
        </w:rPr>
        <w:t xml:space="preserve">Score 5–7: </w:t>
      </w:r>
      <w:r>
        <w:rPr>
          <w:color w:val="333333"/>
        </w:rPr>
        <w:t xml:space="preserve">Mix of modern and older units. Average heat rates </w:t>
      </w:r>
      <w:proofErr w:type="gramStart"/>
      <w:r>
        <w:rPr>
          <w:color w:val="333333"/>
        </w:rPr>
        <w:t>competitive</w:t>
      </w:r>
      <w:proofErr w:type="gramEnd"/>
      <w:r>
        <w:rPr>
          <w:color w:val="333333"/>
        </w:rPr>
        <w:t xml:space="preserve"> but not best-in-class. Some coal or older gas units </w:t>
      </w:r>
      <w:proofErr w:type="gramStart"/>
      <w:r>
        <w:rPr>
          <w:color w:val="333333"/>
        </w:rPr>
        <w:t>still</w:t>
      </w:r>
      <w:proofErr w:type="gramEnd"/>
      <w:r>
        <w:rPr>
          <w:color w:val="333333"/>
        </w:rPr>
        <w:t xml:space="preserve"> in fleet but manageable. Fleet availability 85-90%. Moderate remaining economic life. Some environmental capex needed.</w:t>
      </w:r>
    </w:p>
    <w:p w14:paraId="19196240" w14:textId="77777777" w:rsidR="00146315" w:rsidRDefault="00000000">
      <w:pPr>
        <w:spacing w:after="120"/>
      </w:pPr>
      <w:r>
        <w:rPr>
          <w:b/>
          <w:bCs/>
          <w:color w:val="333333"/>
        </w:rPr>
        <w:t xml:space="preserve">Score 2–4: </w:t>
      </w:r>
      <w:r>
        <w:rPr>
          <w:color w:val="333333"/>
        </w:rPr>
        <w:t xml:space="preserve">Aging fleet with high average heat rates. Significant coal exposure </w:t>
      </w:r>
      <w:proofErr w:type="gramStart"/>
      <w:r>
        <w:rPr>
          <w:color w:val="333333"/>
        </w:rPr>
        <w:t>creating</w:t>
      </w:r>
      <w:proofErr w:type="gramEnd"/>
      <w:r>
        <w:rPr>
          <w:color w:val="333333"/>
        </w:rPr>
        <w:t xml:space="preserve"> regulatory and economic risk. Below-average availability. Material deferred maintenance. Significant environmental compliance costs ahead.</w:t>
      </w:r>
    </w:p>
    <w:p w14:paraId="7DDAE566" w14:textId="77777777" w:rsidR="00146315" w:rsidRDefault="00000000">
      <w:pPr>
        <w:spacing w:after="120"/>
      </w:pPr>
      <w:r>
        <w:rPr>
          <w:b/>
          <w:bCs/>
          <w:color w:val="333333"/>
        </w:rPr>
        <w:t xml:space="preserve">Score 0–1: </w:t>
      </w:r>
      <w:r>
        <w:rPr>
          <w:color w:val="333333"/>
        </w:rPr>
        <w:t>Obsolete fleet with uncompetitive economics. Majority coal or old oil/gas steam. Facing retirement decisions on major units. High environmental liability. Fleet is a liability, not an asset.</w:t>
      </w:r>
    </w:p>
    <w:p w14:paraId="519F6414" w14:textId="77777777" w:rsidR="00146315" w:rsidRDefault="00146315">
      <w:pPr>
        <w:spacing w:after="60"/>
      </w:pPr>
    </w:p>
    <w:p w14:paraId="6ACF2E00" w14:textId="77777777" w:rsidR="00146315" w:rsidRDefault="00000000">
      <w:pPr>
        <w:spacing w:after="120"/>
      </w:pPr>
      <w:r>
        <w:rPr>
          <w:b/>
          <w:bCs/>
          <w:color w:val="C0392B"/>
        </w:rPr>
        <w:t xml:space="preserve">Fact-Check Required: </w:t>
      </w:r>
      <w:r>
        <w:rPr>
          <w:color w:val="333333"/>
        </w:rPr>
        <w:t>Verify fleet composition (fuel type, capacity, age) from 10-K or investor fact sheet. Confirm average heat rates from operational data. Verify fleet availability and forced outage rates. Check environmental compliance obligations and capital requirements.</w:t>
      </w:r>
    </w:p>
    <w:p w14:paraId="2924B4EE" w14:textId="77777777" w:rsidR="00146315" w:rsidRDefault="00146315">
      <w:pPr>
        <w:spacing w:after="60"/>
      </w:pPr>
    </w:p>
    <w:p w14:paraId="003DDCEA" w14:textId="77777777" w:rsidR="00146315" w:rsidRDefault="00000000">
      <w:pPr>
        <w:pStyle w:val="Heading2"/>
      </w:pPr>
      <w:r>
        <w:t>DIMENSION 3: DEMAND EXPOSURE &amp; LOAD GROWTH POSITIONING</w:t>
      </w:r>
    </w:p>
    <w:p w14:paraId="6050B74D" w14:textId="77777777" w:rsidR="00146315" w:rsidRDefault="00000000">
      <w:pPr>
        <w:spacing w:after="120"/>
      </w:pPr>
      <w:r>
        <w:rPr>
          <w:b/>
          <w:bCs/>
          <w:i/>
          <w:iCs/>
          <w:color w:val="333333"/>
        </w:rPr>
        <w:t>Weight: 20% of composite</w:t>
      </w:r>
    </w:p>
    <w:p w14:paraId="1394EAF4" w14:textId="77777777" w:rsidR="00146315" w:rsidRDefault="00000000">
      <w:pPr>
        <w:spacing w:after="120"/>
      </w:pPr>
      <w:r>
        <w:rPr>
          <w:color w:val="333333"/>
        </w:rPr>
        <w:t>The question: Is this company positioned in markets with structural electricity demand growth, and is it capturing that growth?</w:t>
      </w:r>
    </w:p>
    <w:p w14:paraId="53065CAB" w14:textId="77777777" w:rsidR="00146315" w:rsidRDefault="00146315">
      <w:pPr>
        <w:spacing w:after="60"/>
      </w:pPr>
    </w:p>
    <w:p w14:paraId="361DF7A5" w14:textId="77777777" w:rsidR="00146315" w:rsidRDefault="00000000">
      <w:pPr>
        <w:spacing w:after="120"/>
      </w:pPr>
      <w:r>
        <w:rPr>
          <w:color w:val="333333"/>
        </w:rPr>
        <w:t xml:space="preserve">The US power demand </w:t>
      </w:r>
      <w:proofErr w:type="spellStart"/>
      <w:r>
        <w:rPr>
          <w:color w:val="333333"/>
        </w:rPr>
        <w:t>supercycle</w:t>
      </w:r>
      <w:proofErr w:type="spellEnd"/>
      <w:r>
        <w:rPr>
          <w:color w:val="333333"/>
        </w:rPr>
        <w:t xml:space="preserve"> is not uniform. Texas (ERCOT) and the PJM mid-Atlantic corridor are experiencing the most acute demand growth from data centers, onshoring, and electrification. Other markets (CAISO, NYISO, New England) have different dynamics. This dimension measures whether the company is positioned where the growth is.</w:t>
      </w:r>
    </w:p>
    <w:p w14:paraId="36B24185" w14:textId="77777777" w:rsidR="00146315" w:rsidRDefault="00146315">
      <w:pPr>
        <w:spacing w:after="60"/>
      </w:pPr>
    </w:p>
    <w:p w14:paraId="6F885737" w14:textId="77777777" w:rsidR="00146315" w:rsidRDefault="00000000">
      <w:pPr>
        <w:spacing w:after="120"/>
      </w:pPr>
      <w:r>
        <w:rPr>
          <w:b/>
          <w:bCs/>
          <w:color w:val="333333"/>
        </w:rPr>
        <w:t xml:space="preserve">Score 8–10: </w:t>
      </w:r>
      <w:r>
        <w:rPr>
          <w:color w:val="333333"/>
        </w:rPr>
        <w:t>Significant generation capacity in ERCOT and/or PJM — the two markets with highest data center demand growth. Active data center contracting pipeline with signed agreements. Assets positioned near major data center corridors (Northern Virginia, Dallas-Fort Worth, Central Ohio, Atlanta). Demand growth in service territory exceeds national average. Company is actively developing new capacity to meet demand.</w:t>
      </w:r>
    </w:p>
    <w:p w14:paraId="5C86D942" w14:textId="77777777" w:rsidR="00146315" w:rsidRDefault="00000000">
      <w:pPr>
        <w:spacing w:after="120"/>
      </w:pPr>
      <w:r>
        <w:rPr>
          <w:b/>
          <w:bCs/>
          <w:color w:val="333333"/>
        </w:rPr>
        <w:t xml:space="preserve">Score 5–7: </w:t>
      </w:r>
      <w:r>
        <w:rPr>
          <w:color w:val="333333"/>
        </w:rPr>
        <w:t>Presence in 1-2 high-growth markets. Some data center contracting activity. Demand growth at or above national average. Moderate new development pipeline.</w:t>
      </w:r>
    </w:p>
    <w:p w14:paraId="3C49919E" w14:textId="77777777" w:rsidR="00146315" w:rsidRDefault="00000000">
      <w:pPr>
        <w:spacing w:after="120"/>
      </w:pPr>
      <w:r>
        <w:rPr>
          <w:b/>
          <w:bCs/>
          <w:color w:val="333333"/>
        </w:rPr>
        <w:t xml:space="preserve">Score 2–4: </w:t>
      </w:r>
      <w:r>
        <w:rPr>
          <w:color w:val="333333"/>
        </w:rPr>
        <w:t>Assets concentrated in slow-growth or declining-demand markets. Limited data center exposure. Demand growth below national average. Minimal new development.</w:t>
      </w:r>
    </w:p>
    <w:p w14:paraId="6D642FAA" w14:textId="77777777" w:rsidR="00146315" w:rsidRDefault="00000000">
      <w:pPr>
        <w:spacing w:after="120"/>
      </w:pPr>
      <w:r>
        <w:rPr>
          <w:b/>
          <w:bCs/>
          <w:color w:val="333333"/>
        </w:rPr>
        <w:t xml:space="preserve">Score 0–1: </w:t>
      </w:r>
      <w:r>
        <w:rPr>
          <w:color w:val="333333"/>
        </w:rPr>
        <w:t>Assets in markets with flat or declining demand. No data center pipeline. Facing potential asset stranding as load migrates.</w:t>
      </w:r>
    </w:p>
    <w:p w14:paraId="378581B9" w14:textId="77777777" w:rsidR="00146315" w:rsidRDefault="00146315">
      <w:pPr>
        <w:spacing w:after="60"/>
      </w:pPr>
    </w:p>
    <w:p w14:paraId="17CE5E84" w14:textId="77777777" w:rsidR="00146315" w:rsidRDefault="00000000">
      <w:pPr>
        <w:spacing w:after="120"/>
      </w:pPr>
      <w:r>
        <w:rPr>
          <w:b/>
          <w:bCs/>
          <w:color w:val="C0392B"/>
        </w:rPr>
        <w:t xml:space="preserve">Fact-Check Required: </w:t>
      </w:r>
      <w:r>
        <w:rPr>
          <w:color w:val="333333"/>
        </w:rPr>
        <w:t>Verify geographic fleet distribution from investor materials. Confirm data center contract pipeline from earnings calls. Verify ISO/RTO load growth projections from official planning documents. Check new generation development pipeline.</w:t>
      </w:r>
    </w:p>
    <w:p w14:paraId="630CAC4B" w14:textId="77777777" w:rsidR="00146315" w:rsidRDefault="00146315">
      <w:pPr>
        <w:spacing w:after="60"/>
      </w:pPr>
    </w:p>
    <w:p w14:paraId="783A97E1" w14:textId="77777777" w:rsidR="00146315" w:rsidRDefault="00000000">
      <w:pPr>
        <w:pStyle w:val="Heading2"/>
      </w:pPr>
      <w:r>
        <w:t>DIMENSION 4: BALANCE SHEET &amp; CAPITAL ALLOCATION</w:t>
      </w:r>
    </w:p>
    <w:p w14:paraId="7AE17C62" w14:textId="77777777" w:rsidR="00146315" w:rsidRDefault="00000000">
      <w:pPr>
        <w:spacing w:after="120"/>
      </w:pPr>
      <w:r>
        <w:rPr>
          <w:b/>
          <w:bCs/>
          <w:i/>
          <w:iCs/>
          <w:color w:val="333333"/>
        </w:rPr>
        <w:t>Weight: 20% of composite</w:t>
      </w:r>
    </w:p>
    <w:p w14:paraId="376DC04D" w14:textId="77777777" w:rsidR="00146315" w:rsidRDefault="00000000">
      <w:pPr>
        <w:spacing w:after="120"/>
      </w:pPr>
      <w:r>
        <w:rPr>
          <w:color w:val="333333"/>
        </w:rPr>
        <w:t>The question: Does this company have the financial flexibility to invest in growth while managing the inherent capital intensity of power generation?</w:t>
      </w:r>
    </w:p>
    <w:p w14:paraId="087717D4" w14:textId="77777777" w:rsidR="00146315" w:rsidRDefault="00146315">
      <w:pPr>
        <w:spacing w:after="60"/>
      </w:pPr>
    </w:p>
    <w:p w14:paraId="5BD9C8ED" w14:textId="77777777" w:rsidR="00146315" w:rsidRDefault="00000000">
      <w:pPr>
        <w:spacing w:after="120"/>
      </w:pPr>
      <w:r>
        <w:rPr>
          <w:color w:val="333333"/>
        </w:rPr>
        <w:t>Power generation is capital-intensive. New CCGT construction costs $800-1,200/kW. Nuclear license extensions, turbine upgrades, and environmental compliance all require significant capital. Companies with strong balance sheets can invest counter-cyclically, while overleveraged companies are forced to sell assets at distressed prices when commodity cycles turn against them. This is the dimension where NRG's $12B LS Power acquisition creates both opportunity and risk.</w:t>
      </w:r>
    </w:p>
    <w:p w14:paraId="4CFE0CAE" w14:textId="77777777" w:rsidR="00146315" w:rsidRDefault="00146315">
      <w:pPr>
        <w:spacing w:after="60"/>
      </w:pPr>
    </w:p>
    <w:p w14:paraId="49394E38" w14:textId="77777777" w:rsidR="00146315" w:rsidRDefault="00000000">
      <w:pPr>
        <w:spacing w:after="120"/>
      </w:pPr>
      <w:r>
        <w:rPr>
          <w:b/>
          <w:bCs/>
          <w:color w:val="333333"/>
        </w:rPr>
        <w:t xml:space="preserve">Score 8–10: </w:t>
      </w:r>
      <w:r>
        <w:rPr>
          <w:color w:val="333333"/>
        </w:rPr>
        <w:t xml:space="preserve">Net debt / EBITDA &lt;3.0x. Investment-grade credit rating. FCF yield &gt;5%. Consistent capital return program (dividends + buybacks). Ability to </w:t>
      </w:r>
      <w:proofErr w:type="gramStart"/>
      <w:r>
        <w:rPr>
          <w:color w:val="333333"/>
        </w:rPr>
        <w:t>fund growth</w:t>
      </w:r>
      <w:proofErr w:type="gramEnd"/>
      <w:r>
        <w:rPr>
          <w:color w:val="333333"/>
        </w:rPr>
        <w:t xml:space="preserve"> organically without dilutive equity. Manageable debt maturity profile (no near-term walls). ROIC consistently above WACC.</w:t>
      </w:r>
    </w:p>
    <w:p w14:paraId="367AA079" w14:textId="77777777" w:rsidR="00146315" w:rsidRDefault="00000000">
      <w:pPr>
        <w:spacing w:after="120"/>
      </w:pPr>
      <w:r>
        <w:rPr>
          <w:b/>
          <w:bCs/>
          <w:color w:val="333333"/>
        </w:rPr>
        <w:t xml:space="preserve">Score 5–7: </w:t>
      </w:r>
      <w:r>
        <w:rPr>
          <w:color w:val="333333"/>
        </w:rPr>
        <w:t xml:space="preserve">Net debt / EBITDA 3.0-4.5x. Investment-grade rating but limited headroom. Adequate FCF but growth requires external capital. Capital return </w:t>
      </w:r>
      <w:proofErr w:type="gramStart"/>
      <w:r>
        <w:rPr>
          <w:color w:val="333333"/>
        </w:rPr>
        <w:t>program exists</w:t>
      </w:r>
      <w:proofErr w:type="gramEnd"/>
      <w:r>
        <w:rPr>
          <w:color w:val="333333"/>
        </w:rPr>
        <w:t xml:space="preserve"> but subordinate to deleveraging. Some near-term maturities to manage.</w:t>
      </w:r>
    </w:p>
    <w:p w14:paraId="196B0B8A" w14:textId="77777777" w:rsidR="00146315" w:rsidRDefault="00000000">
      <w:pPr>
        <w:spacing w:after="120"/>
      </w:pPr>
      <w:r>
        <w:rPr>
          <w:b/>
          <w:bCs/>
          <w:color w:val="333333"/>
        </w:rPr>
        <w:t xml:space="preserve">Score 2–4: </w:t>
      </w:r>
      <w:r>
        <w:rPr>
          <w:color w:val="333333"/>
        </w:rPr>
        <w:t xml:space="preserve">Net debt / EBITDA 4.5-6.0x. High-yield or borderline credit. FCF </w:t>
      </w:r>
      <w:proofErr w:type="gramStart"/>
      <w:r>
        <w:rPr>
          <w:color w:val="333333"/>
        </w:rPr>
        <w:t>consumed</w:t>
      </w:r>
      <w:proofErr w:type="gramEnd"/>
      <w:r>
        <w:rPr>
          <w:color w:val="333333"/>
        </w:rPr>
        <w:t xml:space="preserve"> by debt service and maintenance capex. Limited capital return. Significant near-term maturities </w:t>
      </w:r>
      <w:proofErr w:type="gramStart"/>
      <w:r>
        <w:rPr>
          <w:color w:val="333333"/>
        </w:rPr>
        <w:t>creating</w:t>
      </w:r>
      <w:proofErr w:type="gramEnd"/>
      <w:r>
        <w:rPr>
          <w:color w:val="333333"/>
        </w:rPr>
        <w:t xml:space="preserve"> refinancing risk.</w:t>
      </w:r>
    </w:p>
    <w:p w14:paraId="3AA66ED8" w14:textId="77777777" w:rsidR="00146315" w:rsidRDefault="00000000">
      <w:pPr>
        <w:spacing w:after="120"/>
      </w:pPr>
      <w:r>
        <w:rPr>
          <w:b/>
          <w:bCs/>
          <w:color w:val="333333"/>
        </w:rPr>
        <w:t xml:space="preserve">Score 0–1: </w:t>
      </w:r>
      <w:r>
        <w:rPr>
          <w:color w:val="333333"/>
        </w:rPr>
        <w:t>Net debt / EBITDA &gt;6.0x. Distressed balance sheet. Negative FCF after maintenance capex. Risk of covenant breach or restructuring. Capital structure is existential risk.</w:t>
      </w:r>
    </w:p>
    <w:p w14:paraId="1DF739C6" w14:textId="77777777" w:rsidR="00146315" w:rsidRDefault="00146315">
      <w:pPr>
        <w:spacing w:after="60"/>
      </w:pPr>
    </w:p>
    <w:p w14:paraId="30702A96" w14:textId="77777777" w:rsidR="00146315" w:rsidRDefault="00000000">
      <w:pPr>
        <w:spacing w:after="120"/>
      </w:pPr>
      <w:r>
        <w:rPr>
          <w:b/>
          <w:bCs/>
          <w:color w:val="C0392B"/>
        </w:rPr>
        <w:t xml:space="preserve">Fact-Check Required: </w:t>
      </w:r>
      <w:r>
        <w:rPr>
          <w:color w:val="333333"/>
        </w:rPr>
        <w:t>Verify net debt / EBITDA from latest 10-Q. Confirm credit rating from S&amp;P/Moody's. Verify FCF from cash flow statement (distinguish maintenance vs. growth capex). Check debt maturity profile from 10-K. Verify share repurchase and dividend history.</w:t>
      </w:r>
    </w:p>
    <w:p w14:paraId="5A1E852C" w14:textId="77777777" w:rsidR="00146315" w:rsidRDefault="00146315">
      <w:pPr>
        <w:spacing w:after="60"/>
      </w:pPr>
    </w:p>
    <w:p w14:paraId="5FE7CA2A" w14:textId="77777777" w:rsidR="00146315" w:rsidRDefault="00000000">
      <w:pPr>
        <w:pStyle w:val="Heading2"/>
      </w:pPr>
      <w:r>
        <w:t>DIMENSION 5: MANAGEMENT EXECUTION &amp; STRATEGIC POSITIONING</w:t>
      </w:r>
    </w:p>
    <w:p w14:paraId="5A439DA6" w14:textId="77777777" w:rsidR="00146315" w:rsidRDefault="00000000">
      <w:pPr>
        <w:spacing w:after="120"/>
      </w:pPr>
      <w:r>
        <w:rPr>
          <w:b/>
          <w:bCs/>
          <w:i/>
          <w:iCs/>
          <w:color w:val="333333"/>
        </w:rPr>
        <w:t>Weight: 15% of composite</w:t>
      </w:r>
    </w:p>
    <w:p w14:paraId="6F03D4D3" w14:textId="77777777" w:rsidR="00146315" w:rsidRDefault="00000000">
      <w:pPr>
        <w:spacing w:after="120"/>
      </w:pPr>
      <w:r>
        <w:rPr>
          <w:color w:val="333333"/>
        </w:rPr>
        <w:t>The question: Is management executing a coherent strategy that creates long-term value, or chasing the latest energy narrative?</w:t>
      </w:r>
    </w:p>
    <w:p w14:paraId="01089599" w14:textId="77777777" w:rsidR="00146315" w:rsidRDefault="00146315">
      <w:pPr>
        <w:spacing w:after="60"/>
      </w:pPr>
    </w:p>
    <w:p w14:paraId="415FB445" w14:textId="77777777" w:rsidR="00146315" w:rsidRDefault="00000000">
      <w:pPr>
        <w:spacing w:after="120"/>
      </w:pPr>
      <w:r>
        <w:rPr>
          <w:color w:val="333333"/>
        </w:rPr>
        <w:t xml:space="preserve">Power company management teams have a checkered history. Many destroyed value through poorly timed acquisitions (NRG itself went bankrupt in 2003), overleveraged balance sheets, or misguided diversification. The best operators compound value through disciplined fleet </w:t>
      </w:r>
      <w:r>
        <w:rPr>
          <w:color w:val="333333"/>
        </w:rPr>
        <w:lastRenderedPageBreak/>
        <w:t>optimization, strategic hedging, and capital returns. This dimension rewards management teams with track records of execution, not just strategic vision.</w:t>
      </w:r>
    </w:p>
    <w:p w14:paraId="0F93A2EC" w14:textId="77777777" w:rsidR="00146315" w:rsidRDefault="00146315">
      <w:pPr>
        <w:spacing w:after="60"/>
      </w:pPr>
    </w:p>
    <w:p w14:paraId="2DDDED3C" w14:textId="77777777" w:rsidR="00146315" w:rsidRDefault="00000000">
      <w:pPr>
        <w:spacing w:after="120"/>
      </w:pPr>
      <w:r>
        <w:rPr>
          <w:b/>
          <w:bCs/>
          <w:color w:val="333333"/>
        </w:rPr>
        <w:t xml:space="preserve">Score 8–10: </w:t>
      </w:r>
      <w:r>
        <w:rPr>
          <w:color w:val="333333"/>
        </w:rPr>
        <w:t>Clear, consistent strategy with demonstrated execution over 3+ years. Track record of beating guidance. Disciplined M&amp;A with demonstrated integration capability. Insider ownership aligned with shareholders. Management team has navigated at least one commodity cycle successfully. Strong operational metrics (fleet availability, safety, customer satisfaction).</w:t>
      </w:r>
    </w:p>
    <w:p w14:paraId="35E2E4CC" w14:textId="77777777" w:rsidR="00146315" w:rsidRDefault="00000000">
      <w:pPr>
        <w:spacing w:after="120"/>
      </w:pPr>
      <w:r>
        <w:rPr>
          <w:b/>
          <w:bCs/>
          <w:color w:val="333333"/>
        </w:rPr>
        <w:t xml:space="preserve">Score 5–7: </w:t>
      </w:r>
      <w:r>
        <w:rPr>
          <w:color w:val="333333"/>
        </w:rPr>
        <w:t xml:space="preserve">Coherent strategy with adequate execution. </w:t>
      </w:r>
      <w:proofErr w:type="gramStart"/>
      <w:r>
        <w:rPr>
          <w:color w:val="333333"/>
        </w:rPr>
        <w:t>Generally</w:t>
      </w:r>
      <w:proofErr w:type="gramEnd"/>
      <w:r>
        <w:rPr>
          <w:color w:val="333333"/>
        </w:rPr>
        <w:t xml:space="preserve"> </w:t>
      </w:r>
      <w:proofErr w:type="gramStart"/>
      <w:r>
        <w:rPr>
          <w:color w:val="333333"/>
        </w:rPr>
        <w:t>meets</w:t>
      </w:r>
      <w:proofErr w:type="gramEnd"/>
      <w:r>
        <w:rPr>
          <w:color w:val="333333"/>
        </w:rPr>
        <w:t xml:space="preserve"> guidance. Some M&amp;A track </w:t>
      </w:r>
      <w:proofErr w:type="gramStart"/>
      <w:r>
        <w:rPr>
          <w:color w:val="333333"/>
        </w:rPr>
        <w:t>record</w:t>
      </w:r>
      <w:proofErr w:type="gramEnd"/>
      <w:r>
        <w:rPr>
          <w:color w:val="333333"/>
        </w:rPr>
        <w:t>. Moderate insider ownership. Management has relevant industry experience.</w:t>
      </w:r>
    </w:p>
    <w:p w14:paraId="5C704352" w14:textId="77777777" w:rsidR="00146315" w:rsidRDefault="00000000">
      <w:pPr>
        <w:spacing w:after="120"/>
      </w:pPr>
      <w:r>
        <w:rPr>
          <w:b/>
          <w:bCs/>
          <w:color w:val="333333"/>
        </w:rPr>
        <w:t xml:space="preserve">Score 2–4: </w:t>
      </w:r>
      <w:r>
        <w:rPr>
          <w:color w:val="333333"/>
        </w:rPr>
        <w:t>Strategy unclear or frequently changing. Mixed track record on guidance. Questionable M&amp;A decisions. Limited insider ownership. Management turnover concerns.</w:t>
      </w:r>
    </w:p>
    <w:p w14:paraId="59D37921" w14:textId="77777777" w:rsidR="00146315" w:rsidRDefault="00000000">
      <w:pPr>
        <w:spacing w:after="120"/>
      </w:pPr>
      <w:r>
        <w:rPr>
          <w:b/>
          <w:bCs/>
          <w:color w:val="333333"/>
        </w:rPr>
        <w:t xml:space="preserve">Score 0–1: </w:t>
      </w:r>
      <w:r>
        <w:rPr>
          <w:color w:val="333333"/>
        </w:rPr>
        <w:t xml:space="preserve">No coherent strategy. Serial guidance </w:t>
      </w:r>
      <w:proofErr w:type="gramStart"/>
      <w:r>
        <w:rPr>
          <w:color w:val="333333"/>
        </w:rPr>
        <w:t>misses</w:t>
      </w:r>
      <w:proofErr w:type="gramEnd"/>
      <w:r>
        <w:rPr>
          <w:color w:val="333333"/>
        </w:rPr>
        <w:t xml:space="preserve">. </w:t>
      </w:r>
      <w:r w:rsidRPr="006F0AB9">
        <w:rPr>
          <w:color w:val="333333"/>
          <w:lang w:val="fr-FR"/>
        </w:rPr>
        <w:t xml:space="preserve">Value-destructive acquisitions. Minimal insider alignment. </w:t>
      </w:r>
      <w:r>
        <w:rPr>
          <w:color w:val="333333"/>
        </w:rPr>
        <w:t>Governance concerns.</w:t>
      </w:r>
    </w:p>
    <w:p w14:paraId="20DAC6C0" w14:textId="77777777" w:rsidR="00146315" w:rsidRDefault="00146315">
      <w:pPr>
        <w:spacing w:after="60"/>
      </w:pPr>
    </w:p>
    <w:p w14:paraId="04076C7A" w14:textId="77777777" w:rsidR="00146315" w:rsidRDefault="00000000">
      <w:pPr>
        <w:spacing w:after="120"/>
      </w:pPr>
      <w:r>
        <w:rPr>
          <w:b/>
          <w:bCs/>
          <w:color w:val="C0392B"/>
        </w:rPr>
        <w:t xml:space="preserve">Fact-Check Required: </w:t>
      </w:r>
      <w:r>
        <w:rPr>
          <w:color w:val="333333"/>
        </w:rPr>
        <w:t>Verify guidance track record from prior earnings. Confirm M&amp;A history and any impairment charges. Check insider ownership from proxy statement. Verify management tenure and industry experience. Review analyst commentary on execution credibility.</w:t>
      </w:r>
    </w:p>
    <w:p w14:paraId="2BD924B1" w14:textId="77777777" w:rsidR="00146315" w:rsidRDefault="00000000">
      <w:r>
        <w:br w:type="page"/>
      </w:r>
    </w:p>
    <w:p w14:paraId="44615FC2" w14:textId="77777777" w:rsidR="00146315" w:rsidRDefault="00000000">
      <w:pPr>
        <w:pStyle w:val="Heading1"/>
      </w:pPr>
      <w:r>
        <w:lastRenderedPageBreak/>
        <w:t>COMPOSITE SCORING &amp; CLASSIFICATION</w:t>
      </w:r>
    </w:p>
    <w:p w14:paraId="66A37DED" w14:textId="77777777" w:rsidR="00146315" w:rsidRDefault="00146315">
      <w:pPr>
        <w:spacing w:after="6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800"/>
        <w:gridCol w:w="1924"/>
        <w:gridCol w:w="1924"/>
      </w:tblGrid>
      <w:tr w:rsidR="00146315" w14:paraId="485C75C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8B4513"/>
            <w:tcMar>
              <w:top w:w="80" w:type="dxa"/>
              <w:left w:w="120" w:type="dxa"/>
              <w:bottom w:w="80" w:type="dxa"/>
              <w:right w:w="120" w:type="dxa"/>
            </w:tcMar>
          </w:tcPr>
          <w:p w14:paraId="2922CEE1" w14:textId="77777777" w:rsidR="00146315" w:rsidRDefault="00000000">
            <w:r>
              <w:rPr>
                <w:b/>
                <w:bCs/>
                <w:color w:val="FFFFFF"/>
                <w:sz w:val="18"/>
                <w:szCs w:val="18"/>
              </w:rPr>
              <w:t>Dimension</w:t>
            </w:r>
          </w:p>
        </w:tc>
        <w:tc>
          <w:tcPr>
            <w:tcW w:w="1800" w:type="dxa"/>
            <w:tcBorders>
              <w:top w:val="single" w:sz="1" w:space="0" w:color="CCCCCC"/>
              <w:left w:val="single" w:sz="1" w:space="0" w:color="CCCCCC"/>
              <w:bottom w:val="single" w:sz="1" w:space="0" w:color="CCCCCC"/>
              <w:right w:val="single" w:sz="1" w:space="0" w:color="CCCCCC"/>
            </w:tcBorders>
            <w:shd w:val="clear" w:color="auto" w:fill="8B4513"/>
            <w:tcMar>
              <w:top w:w="80" w:type="dxa"/>
              <w:left w:w="120" w:type="dxa"/>
              <w:bottom w:w="80" w:type="dxa"/>
              <w:right w:w="120" w:type="dxa"/>
            </w:tcMar>
          </w:tcPr>
          <w:p w14:paraId="37676927" w14:textId="77777777" w:rsidR="00146315" w:rsidRDefault="00000000">
            <w:r>
              <w:rPr>
                <w:b/>
                <w:bCs/>
                <w:color w:val="FFFFFF"/>
                <w:sz w:val="18"/>
                <w:szCs w:val="18"/>
              </w:rPr>
              <w:t>Weight</w:t>
            </w:r>
          </w:p>
        </w:tc>
        <w:tc>
          <w:tcPr>
            <w:tcW w:w="1924" w:type="dxa"/>
            <w:tcBorders>
              <w:top w:val="single" w:sz="1" w:space="0" w:color="CCCCCC"/>
              <w:left w:val="single" w:sz="1" w:space="0" w:color="CCCCCC"/>
              <w:bottom w:val="single" w:sz="1" w:space="0" w:color="CCCCCC"/>
              <w:right w:val="single" w:sz="1" w:space="0" w:color="CCCCCC"/>
            </w:tcBorders>
            <w:shd w:val="clear" w:color="auto" w:fill="8B4513"/>
            <w:tcMar>
              <w:top w:w="80" w:type="dxa"/>
              <w:left w:w="120" w:type="dxa"/>
              <w:bottom w:w="80" w:type="dxa"/>
              <w:right w:w="120" w:type="dxa"/>
            </w:tcMar>
          </w:tcPr>
          <w:p w14:paraId="1539C7B9" w14:textId="77777777" w:rsidR="00146315" w:rsidRDefault="00000000">
            <w:r>
              <w:rPr>
                <w:b/>
                <w:bCs/>
                <w:color w:val="FFFFFF"/>
                <w:sz w:val="18"/>
                <w:szCs w:val="18"/>
              </w:rPr>
              <w:t>Raw Score</w:t>
            </w:r>
          </w:p>
        </w:tc>
        <w:tc>
          <w:tcPr>
            <w:tcW w:w="1924" w:type="dxa"/>
            <w:tcBorders>
              <w:top w:val="single" w:sz="1" w:space="0" w:color="CCCCCC"/>
              <w:left w:val="single" w:sz="1" w:space="0" w:color="CCCCCC"/>
              <w:bottom w:val="single" w:sz="1" w:space="0" w:color="CCCCCC"/>
              <w:right w:val="single" w:sz="1" w:space="0" w:color="CCCCCC"/>
            </w:tcBorders>
            <w:shd w:val="clear" w:color="auto" w:fill="8B4513"/>
            <w:tcMar>
              <w:top w:w="80" w:type="dxa"/>
              <w:left w:w="120" w:type="dxa"/>
              <w:bottom w:w="80" w:type="dxa"/>
              <w:right w:w="120" w:type="dxa"/>
            </w:tcMar>
          </w:tcPr>
          <w:p w14:paraId="64AFD3C7" w14:textId="77777777" w:rsidR="00146315" w:rsidRDefault="00000000">
            <w:r>
              <w:rPr>
                <w:b/>
                <w:bCs/>
                <w:color w:val="FFFFFF"/>
                <w:sz w:val="18"/>
                <w:szCs w:val="18"/>
              </w:rPr>
              <w:t>Weighted</w:t>
            </w:r>
          </w:p>
        </w:tc>
      </w:tr>
      <w:tr w:rsidR="00146315" w14:paraId="738AB94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E1547" w14:textId="77777777" w:rsidR="00146315" w:rsidRDefault="00000000">
            <w:r>
              <w:rPr>
                <w:color w:val="333333"/>
                <w:sz w:val="18"/>
                <w:szCs w:val="18"/>
              </w:rPr>
              <w:t>D1: Contracted Revenue &amp; Earnings Visibility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3060F" w14:textId="77777777" w:rsidR="00146315" w:rsidRDefault="00000000">
            <w:r>
              <w:rPr>
                <w:color w:val="333333"/>
                <w:sz w:val="18"/>
                <w:szCs w:val="18"/>
              </w:rPr>
              <w:t>25%</w:t>
            </w:r>
          </w:p>
        </w:tc>
        <w:tc>
          <w:tcPr>
            <w:tcW w:w="19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C28F1" w14:textId="77777777" w:rsidR="00146315" w:rsidRDefault="00000000">
            <w:r>
              <w:rPr>
                <w:color w:val="333333"/>
                <w:sz w:val="18"/>
                <w:szCs w:val="18"/>
              </w:rPr>
              <w:t>___ / 10</w:t>
            </w:r>
          </w:p>
        </w:tc>
        <w:tc>
          <w:tcPr>
            <w:tcW w:w="19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B87EE" w14:textId="77777777" w:rsidR="00146315" w:rsidRDefault="00000000">
            <w:r>
              <w:rPr>
                <w:color w:val="333333"/>
                <w:sz w:val="18"/>
                <w:szCs w:val="18"/>
              </w:rPr>
              <w:t>___</w:t>
            </w:r>
          </w:p>
        </w:tc>
      </w:tr>
      <w:tr w:rsidR="00146315" w14:paraId="72DA6E3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2BF2064C" w14:textId="77777777" w:rsidR="00146315" w:rsidRDefault="00000000">
            <w:r>
              <w:rPr>
                <w:color w:val="333333"/>
                <w:sz w:val="18"/>
                <w:szCs w:val="18"/>
              </w:rPr>
              <w:t>D2: Fleet Quality &amp; Dispatch Economics</w:t>
            </w:r>
          </w:p>
        </w:tc>
        <w:tc>
          <w:tcPr>
            <w:tcW w:w="18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7EE86C0B" w14:textId="77777777" w:rsidR="00146315" w:rsidRDefault="00000000">
            <w:r>
              <w:rPr>
                <w:color w:val="333333"/>
                <w:sz w:val="18"/>
                <w:szCs w:val="18"/>
              </w:rPr>
              <w:t>20%</w:t>
            </w:r>
          </w:p>
        </w:tc>
        <w:tc>
          <w:tcPr>
            <w:tcW w:w="1924"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3585EB6A" w14:textId="77777777" w:rsidR="00146315" w:rsidRDefault="00000000">
            <w:r>
              <w:rPr>
                <w:color w:val="333333"/>
                <w:sz w:val="18"/>
                <w:szCs w:val="18"/>
              </w:rPr>
              <w:t>___ / 10</w:t>
            </w:r>
          </w:p>
        </w:tc>
        <w:tc>
          <w:tcPr>
            <w:tcW w:w="1924"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6DA52071" w14:textId="77777777" w:rsidR="00146315" w:rsidRDefault="00000000">
            <w:r>
              <w:rPr>
                <w:color w:val="333333"/>
                <w:sz w:val="18"/>
                <w:szCs w:val="18"/>
              </w:rPr>
              <w:t>___</w:t>
            </w:r>
          </w:p>
        </w:tc>
      </w:tr>
      <w:tr w:rsidR="00146315" w14:paraId="6A790D6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2DB78" w14:textId="77777777" w:rsidR="00146315" w:rsidRDefault="00000000">
            <w:r>
              <w:rPr>
                <w:color w:val="333333"/>
                <w:sz w:val="18"/>
                <w:szCs w:val="18"/>
              </w:rPr>
              <w:t>D3: Demand Exposure &amp; Load Growth Positioning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A59F2" w14:textId="77777777" w:rsidR="00146315" w:rsidRDefault="00000000">
            <w:r>
              <w:rPr>
                <w:color w:val="333333"/>
                <w:sz w:val="18"/>
                <w:szCs w:val="18"/>
              </w:rPr>
              <w:t>20%</w:t>
            </w:r>
          </w:p>
        </w:tc>
        <w:tc>
          <w:tcPr>
            <w:tcW w:w="19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95A1B" w14:textId="77777777" w:rsidR="00146315" w:rsidRDefault="00000000">
            <w:r>
              <w:rPr>
                <w:color w:val="333333"/>
                <w:sz w:val="18"/>
                <w:szCs w:val="18"/>
              </w:rPr>
              <w:t>___ / 10</w:t>
            </w:r>
          </w:p>
        </w:tc>
        <w:tc>
          <w:tcPr>
            <w:tcW w:w="19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27254" w14:textId="77777777" w:rsidR="00146315" w:rsidRDefault="00000000">
            <w:r>
              <w:rPr>
                <w:color w:val="333333"/>
                <w:sz w:val="18"/>
                <w:szCs w:val="18"/>
              </w:rPr>
              <w:t>___</w:t>
            </w:r>
          </w:p>
        </w:tc>
      </w:tr>
      <w:tr w:rsidR="00146315" w14:paraId="4C7AEA8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41032EA9" w14:textId="77777777" w:rsidR="00146315" w:rsidRDefault="00000000">
            <w:r>
              <w:rPr>
                <w:color w:val="333333"/>
                <w:sz w:val="18"/>
                <w:szCs w:val="18"/>
              </w:rPr>
              <w:t>D4: Balance Sheet &amp; Capital Allocation</w:t>
            </w:r>
          </w:p>
        </w:tc>
        <w:tc>
          <w:tcPr>
            <w:tcW w:w="18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3221DCDE" w14:textId="77777777" w:rsidR="00146315" w:rsidRDefault="00000000">
            <w:r>
              <w:rPr>
                <w:color w:val="333333"/>
                <w:sz w:val="18"/>
                <w:szCs w:val="18"/>
              </w:rPr>
              <w:t>20%</w:t>
            </w:r>
          </w:p>
        </w:tc>
        <w:tc>
          <w:tcPr>
            <w:tcW w:w="1924"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5822F176" w14:textId="77777777" w:rsidR="00146315" w:rsidRDefault="00000000">
            <w:r>
              <w:rPr>
                <w:color w:val="333333"/>
                <w:sz w:val="18"/>
                <w:szCs w:val="18"/>
              </w:rPr>
              <w:t>___ / 10</w:t>
            </w:r>
          </w:p>
        </w:tc>
        <w:tc>
          <w:tcPr>
            <w:tcW w:w="1924"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4F961A47" w14:textId="77777777" w:rsidR="00146315" w:rsidRDefault="00000000">
            <w:r>
              <w:rPr>
                <w:color w:val="333333"/>
                <w:sz w:val="18"/>
                <w:szCs w:val="18"/>
              </w:rPr>
              <w:t>___</w:t>
            </w:r>
          </w:p>
        </w:tc>
      </w:tr>
      <w:tr w:rsidR="00146315" w14:paraId="3A19005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47452" w14:textId="77777777" w:rsidR="00146315" w:rsidRDefault="00000000">
            <w:r>
              <w:rPr>
                <w:color w:val="333333"/>
                <w:sz w:val="18"/>
                <w:szCs w:val="18"/>
              </w:rPr>
              <w:t>D5: Management Execution &amp; Strategic Positioning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F2C81" w14:textId="77777777" w:rsidR="00146315" w:rsidRDefault="00000000">
            <w:r>
              <w:rPr>
                <w:color w:val="333333"/>
                <w:sz w:val="18"/>
                <w:szCs w:val="18"/>
              </w:rPr>
              <w:t>15%</w:t>
            </w:r>
          </w:p>
        </w:tc>
        <w:tc>
          <w:tcPr>
            <w:tcW w:w="19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B2BFB" w14:textId="77777777" w:rsidR="00146315" w:rsidRDefault="00000000">
            <w:r>
              <w:rPr>
                <w:color w:val="333333"/>
                <w:sz w:val="18"/>
                <w:szCs w:val="18"/>
              </w:rPr>
              <w:t>___ / 10</w:t>
            </w:r>
          </w:p>
        </w:tc>
        <w:tc>
          <w:tcPr>
            <w:tcW w:w="19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2EADD" w14:textId="77777777" w:rsidR="00146315" w:rsidRDefault="00000000">
            <w:r>
              <w:rPr>
                <w:color w:val="333333"/>
                <w:sz w:val="18"/>
                <w:szCs w:val="18"/>
              </w:rPr>
              <w:t>___</w:t>
            </w:r>
          </w:p>
        </w:tc>
      </w:tr>
      <w:tr w:rsidR="00146315" w14:paraId="1912B5D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8B4513"/>
            <w:tcMar>
              <w:top w:w="80" w:type="dxa"/>
              <w:left w:w="120" w:type="dxa"/>
              <w:bottom w:w="80" w:type="dxa"/>
              <w:right w:w="120" w:type="dxa"/>
            </w:tcMar>
          </w:tcPr>
          <w:p w14:paraId="6C2F048F" w14:textId="77777777" w:rsidR="00146315" w:rsidRDefault="00000000">
            <w:r>
              <w:rPr>
                <w:b/>
                <w:bCs/>
                <w:color w:val="FFFFFF"/>
                <w:sz w:val="18"/>
                <w:szCs w:val="18"/>
              </w:rPr>
              <w:t>WEIGHTED COMPOSITE</w:t>
            </w:r>
          </w:p>
        </w:tc>
        <w:tc>
          <w:tcPr>
            <w:tcW w:w="1800" w:type="dxa"/>
            <w:tcBorders>
              <w:top w:val="single" w:sz="1" w:space="0" w:color="CCCCCC"/>
              <w:left w:val="single" w:sz="1" w:space="0" w:color="CCCCCC"/>
              <w:bottom w:val="single" w:sz="1" w:space="0" w:color="CCCCCC"/>
              <w:right w:val="single" w:sz="1" w:space="0" w:color="CCCCCC"/>
            </w:tcBorders>
            <w:shd w:val="clear" w:color="auto" w:fill="8B4513"/>
            <w:tcMar>
              <w:top w:w="80" w:type="dxa"/>
              <w:left w:w="120" w:type="dxa"/>
              <w:bottom w:w="80" w:type="dxa"/>
              <w:right w:w="120" w:type="dxa"/>
            </w:tcMar>
          </w:tcPr>
          <w:p w14:paraId="62CEE4EC" w14:textId="77777777" w:rsidR="00146315" w:rsidRDefault="00000000">
            <w:r>
              <w:rPr>
                <w:b/>
                <w:bCs/>
                <w:color w:val="FFFFFF"/>
                <w:sz w:val="18"/>
                <w:szCs w:val="18"/>
              </w:rPr>
              <w:t>100%</w:t>
            </w:r>
          </w:p>
        </w:tc>
        <w:tc>
          <w:tcPr>
            <w:tcW w:w="1924" w:type="dxa"/>
            <w:tcBorders>
              <w:top w:val="single" w:sz="1" w:space="0" w:color="CCCCCC"/>
              <w:left w:val="single" w:sz="1" w:space="0" w:color="CCCCCC"/>
              <w:bottom w:val="single" w:sz="1" w:space="0" w:color="CCCCCC"/>
              <w:right w:val="single" w:sz="1" w:space="0" w:color="CCCCCC"/>
            </w:tcBorders>
            <w:shd w:val="clear" w:color="auto" w:fill="8B4513"/>
            <w:tcMar>
              <w:top w:w="80" w:type="dxa"/>
              <w:left w:w="120" w:type="dxa"/>
              <w:bottom w:w="80" w:type="dxa"/>
              <w:right w:w="120" w:type="dxa"/>
            </w:tcMar>
          </w:tcPr>
          <w:p w14:paraId="36311F0E" w14:textId="77777777" w:rsidR="00146315" w:rsidRDefault="00146315"/>
        </w:tc>
        <w:tc>
          <w:tcPr>
            <w:tcW w:w="1924" w:type="dxa"/>
            <w:tcBorders>
              <w:top w:val="single" w:sz="1" w:space="0" w:color="CCCCCC"/>
              <w:left w:val="single" w:sz="1" w:space="0" w:color="CCCCCC"/>
              <w:bottom w:val="single" w:sz="1" w:space="0" w:color="CCCCCC"/>
              <w:right w:val="single" w:sz="1" w:space="0" w:color="CCCCCC"/>
            </w:tcBorders>
            <w:shd w:val="clear" w:color="auto" w:fill="8B4513"/>
            <w:tcMar>
              <w:top w:w="80" w:type="dxa"/>
              <w:left w:w="120" w:type="dxa"/>
              <w:bottom w:w="80" w:type="dxa"/>
              <w:right w:w="120" w:type="dxa"/>
            </w:tcMar>
          </w:tcPr>
          <w:p w14:paraId="15813674" w14:textId="77777777" w:rsidR="00146315" w:rsidRDefault="00000000">
            <w:r>
              <w:rPr>
                <w:b/>
                <w:bCs/>
                <w:color w:val="FFFFFF"/>
                <w:sz w:val="18"/>
                <w:szCs w:val="18"/>
              </w:rPr>
              <w:t>___ / 10</w:t>
            </w:r>
          </w:p>
        </w:tc>
      </w:tr>
    </w:tbl>
    <w:p w14:paraId="7DD7C230" w14:textId="77777777" w:rsidR="00146315" w:rsidRDefault="00146315">
      <w:pPr>
        <w:spacing w:after="60"/>
      </w:pPr>
    </w:p>
    <w:p w14:paraId="5941A2A6" w14:textId="77777777" w:rsidR="00146315" w:rsidRDefault="00000000">
      <w:pPr>
        <w:pStyle w:val="Heading2"/>
      </w:pPr>
      <w:r>
        <w:t>Classification Bands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824"/>
        <w:gridCol w:w="3024"/>
      </w:tblGrid>
      <w:tr w:rsidR="00146315" w14:paraId="1D60A66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8B4513"/>
            <w:tcMar>
              <w:top w:w="80" w:type="dxa"/>
              <w:left w:w="120" w:type="dxa"/>
              <w:bottom w:w="80" w:type="dxa"/>
              <w:right w:w="120" w:type="dxa"/>
            </w:tcMar>
          </w:tcPr>
          <w:p w14:paraId="460993D8" w14:textId="77777777" w:rsidR="00146315" w:rsidRDefault="00000000">
            <w:r>
              <w:rPr>
                <w:b/>
                <w:bCs/>
                <w:color w:val="FFFFFF"/>
                <w:sz w:val="18"/>
                <w:szCs w:val="18"/>
              </w:rPr>
              <w:t>Composite</w:t>
            </w:r>
          </w:p>
        </w:tc>
        <w:tc>
          <w:tcPr>
            <w:tcW w:w="2200" w:type="dxa"/>
            <w:tcBorders>
              <w:top w:val="single" w:sz="1" w:space="0" w:color="CCCCCC"/>
              <w:left w:val="single" w:sz="1" w:space="0" w:color="CCCCCC"/>
              <w:bottom w:val="single" w:sz="1" w:space="0" w:color="CCCCCC"/>
              <w:right w:val="single" w:sz="1" w:space="0" w:color="CCCCCC"/>
            </w:tcBorders>
            <w:shd w:val="clear" w:color="auto" w:fill="8B4513"/>
            <w:tcMar>
              <w:top w:w="80" w:type="dxa"/>
              <w:left w:w="120" w:type="dxa"/>
              <w:bottom w:w="80" w:type="dxa"/>
              <w:right w:w="120" w:type="dxa"/>
            </w:tcMar>
          </w:tcPr>
          <w:p w14:paraId="7879A1A1" w14:textId="77777777" w:rsidR="00146315" w:rsidRDefault="00000000">
            <w:r>
              <w:rPr>
                <w:b/>
                <w:bCs/>
                <w:color w:val="FFFFFF"/>
                <w:sz w:val="18"/>
                <w:szCs w:val="18"/>
              </w:rPr>
              <w:t>Classification</w:t>
            </w:r>
          </w:p>
        </w:tc>
        <w:tc>
          <w:tcPr>
            <w:tcW w:w="2824" w:type="dxa"/>
            <w:tcBorders>
              <w:top w:val="single" w:sz="1" w:space="0" w:color="CCCCCC"/>
              <w:left w:val="single" w:sz="1" w:space="0" w:color="CCCCCC"/>
              <w:bottom w:val="single" w:sz="1" w:space="0" w:color="CCCCCC"/>
              <w:right w:val="single" w:sz="1" w:space="0" w:color="CCCCCC"/>
            </w:tcBorders>
            <w:shd w:val="clear" w:color="auto" w:fill="8B4513"/>
            <w:tcMar>
              <w:top w:w="80" w:type="dxa"/>
              <w:left w:w="120" w:type="dxa"/>
              <w:bottom w:w="80" w:type="dxa"/>
              <w:right w:w="120" w:type="dxa"/>
            </w:tcMar>
          </w:tcPr>
          <w:p w14:paraId="6D3A875C" w14:textId="77777777" w:rsidR="00146315" w:rsidRDefault="00000000">
            <w:r>
              <w:rPr>
                <w:b/>
                <w:bCs/>
                <w:color w:val="FFFFFF"/>
                <w:sz w:val="18"/>
                <w:szCs w:val="18"/>
              </w:rPr>
              <w:t>PIMI Requirement</w:t>
            </w:r>
          </w:p>
        </w:tc>
        <w:tc>
          <w:tcPr>
            <w:tcW w:w="3024" w:type="dxa"/>
            <w:tcBorders>
              <w:top w:val="single" w:sz="1" w:space="0" w:color="CCCCCC"/>
              <w:left w:val="single" w:sz="1" w:space="0" w:color="CCCCCC"/>
              <w:bottom w:val="single" w:sz="1" w:space="0" w:color="CCCCCC"/>
              <w:right w:val="single" w:sz="1" w:space="0" w:color="CCCCCC"/>
            </w:tcBorders>
            <w:shd w:val="clear" w:color="auto" w:fill="8B4513"/>
            <w:tcMar>
              <w:top w:w="80" w:type="dxa"/>
              <w:left w:w="120" w:type="dxa"/>
              <w:bottom w:w="80" w:type="dxa"/>
              <w:right w:w="120" w:type="dxa"/>
            </w:tcMar>
          </w:tcPr>
          <w:p w14:paraId="7967C795" w14:textId="77777777" w:rsidR="00146315" w:rsidRDefault="00000000">
            <w:r>
              <w:rPr>
                <w:b/>
                <w:bCs/>
                <w:color w:val="FFFFFF"/>
                <w:sz w:val="18"/>
                <w:szCs w:val="18"/>
              </w:rPr>
              <w:t>Investment Posture</w:t>
            </w:r>
          </w:p>
        </w:tc>
      </w:tr>
      <w:tr w:rsidR="00146315" w14:paraId="01C54B4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B8579" w14:textId="77777777" w:rsidR="00146315" w:rsidRDefault="00000000">
            <w:r>
              <w:rPr>
                <w:b/>
                <w:bCs/>
                <w:color w:val="333333"/>
                <w:sz w:val="18"/>
                <w:szCs w:val="18"/>
              </w:rPr>
              <w:t>8.0–10.0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C2935" w14:textId="77777777" w:rsidR="00146315" w:rsidRDefault="00000000">
            <w:r>
              <w:rPr>
                <w:b/>
                <w:bCs/>
                <w:color w:val="1B7A3D"/>
                <w:sz w:val="18"/>
                <w:szCs w:val="18"/>
              </w:rPr>
              <w:t>GRID FORTRESS</w:t>
            </w:r>
          </w:p>
        </w:tc>
        <w:tc>
          <w:tcPr>
            <w:tcW w:w="28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59D36" w14:textId="77777777" w:rsidR="00146315" w:rsidRDefault="00000000">
            <w:r>
              <w:rPr>
                <w:color w:val="333333"/>
                <w:sz w:val="18"/>
                <w:szCs w:val="18"/>
              </w:rPr>
              <w:t>PIMI ≥13 (Grid Fortress)</w:t>
            </w:r>
          </w:p>
        </w:tc>
        <w:tc>
          <w:tcPr>
            <w:tcW w:w="30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CFAFA" w14:textId="77777777" w:rsidR="00146315" w:rsidRDefault="00000000">
            <w:r>
              <w:rPr>
                <w:color w:val="333333"/>
                <w:sz w:val="18"/>
                <w:szCs w:val="18"/>
              </w:rPr>
              <w:t>Full position. Scarce, irreplaceable infrastructure with contracted earnings. Hold through commodity cycles. Requires only valuation discipline.</w:t>
            </w:r>
          </w:p>
        </w:tc>
      </w:tr>
      <w:tr w:rsidR="00146315" w14:paraId="3DF8C15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08E5790D" w14:textId="77777777" w:rsidR="00146315" w:rsidRDefault="00000000">
            <w:r>
              <w:rPr>
                <w:b/>
                <w:bCs/>
                <w:color w:val="333333"/>
                <w:sz w:val="18"/>
                <w:szCs w:val="18"/>
              </w:rPr>
              <w:t>6.0–7.9</w:t>
            </w:r>
          </w:p>
        </w:tc>
        <w:tc>
          <w:tcPr>
            <w:tcW w:w="22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6661992D" w14:textId="77777777" w:rsidR="00146315" w:rsidRDefault="00000000">
            <w:r>
              <w:rPr>
                <w:b/>
                <w:bCs/>
                <w:color w:val="2E75B6"/>
                <w:sz w:val="18"/>
                <w:szCs w:val="18"/>
              </w:rPr>
              <w:t>INFRASTRUCTURE INCUMBENT</w:t>
            </w:r>
          </w:p>
        </w:tc>
        <w:tc>
          <w:tcPr>
            <w:tcW w:w="2824"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493E3FAF" w14:textId="77777777" w:rsidR="00146315" w:rsidRDefault="00000000">
            <w:r>
              <w:rPr>
                <w:color w:val="333333"/>
                <w:sz w:val="18"/>
                <w:szCs w:val="18"/>
              </w:rPr>
              <w:t>PIMI ≥9 (Incumbent)</w:t>
            </w:r>
          </w:p>
        </w:tc>
        <w:tc>
          <w:tcPr>
            <w:tcW w:w="3024"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741E0027" w14:textId="77777777" w:rsidR="00146315" w:rsidRDefault="00000000">
            <w:r>
              <w:rPr>
                <w:color w:val="333333"/>
                <w:sz w:val="18"/>
                <w:szCs w:val="18"/>
              </w:rPr>
              <w:t>Core position. Strong asset base with some execution or balance sheet risk. Size based on valuation and contracted visibility.</w:t>
            </w:r>
          </w:p>
        </w:tc>
      </w:tr>
      <w:tr w:rsidR="00146315" w14:paraId="5891CCA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F0DE4" w14:textId="77777777" w:rsidR="00146315" w:rsidRDefault="00000000">
            <w:r>
              <w:rPr>
                <w:b/>
                <w:bCs/>
                <w:color w:val="333333"/>
                <w:sz w:val="18"/>
                <w:szCs w:val="18"/>
              </w:rPr>
              <w:t>4.0–5.9</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49608" w14:textId="77777777" w:rsidR="00146315" w:rsidRDefault="00000000">
            <w:r>
              <w:rPr>
                <w:b/>
                <w:bCs/>
                <w:color w:val="D4A017"/>
                <w:sz w:val="18"/>
                <w:szCs w:val="18"/>
              </w:rPr>
              <w:t>COMPETITIVE GENERATOR</w:t>
            </w:r>
          </w:p>
        </w:tc>
        <w:tc>
          <w:tcPr>
            <w:tcW w:w="28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C7F35" w14:textId="77777777" w:rsidR="00146315" w:rsidRDefault="00000000">
            <w:r>
              <w:rPr>
                <w:color w:val="333333"/>
                <w:sz w:val="18"/>
                <w:szCs w:val="18"/>
              </w:rPr>
              <w:t>PIMI ≥5 (Competitive)</w:t>
            </w:r>
          </w:p>
        </w:tc>
        <w:tc>
          <w:tcPr>
            <w:tcW w:w="30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8E6FA" w14:textId="77777777" w:rsidR="00146315" w:rsidRDefault="00000000">
            <w:r>
              <w:rPr>
                <w:color w:val="333333"/>
                <w:sz w:val="18"/>
                <w:szCs w:val="18"/>
              </w:rPr>
              <w:t>Smaller position. Investable at discount valuation only. Monitor merchant exposure and balance sheet closely.</w:t>
            </w:r>
          </w:p>
        </w:tc>
      </w:tr>
      <w:tr w:rsidR="00146315" w14:paraId="4A30E3C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6C65EA1A" w14:textId="77777777" w:rsidR="00146315" w:rsidRDefault="00000000">
            <w:r>
              <w:rPr>
                <w:b/>
                <w:bCs/>
                <w:color w:val="333333"/>
                <w:sz w:val="18"/>
                <w:szCs w:val="18"/>
              </w:rPr>
              <w:t>0.0–3.9</w:t>
            </w:r>
          </w:p>
        </w:tc>
        <w:tc>
          <w:tcPr>
            <w:tcW w:w="22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1CD2DECF" w14:textId="77777777" w:rsidR="00146315" w:rsidRDefault="00000000">
            <w:r>
              <w:rPr>
                <w:b/>
                <w:bCs/>
                <w:color w:val="C0392B"/>
                <w:sz w:val="18"/>
                <w:szCs w:val="18"/>
              </w:rPr>
              <w:t>PASS</w:t>
            </w:r>
          </w:p>
        </w:tc>
        <w:tc>
          <w:tcPr>
            <w:tcW w:w="2824"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60BA6C4F" w14:textId="77777777" w:rsidR="00146315" w:rsidRDefault="00000000">
            <w:r>
              <w:rPr>
                <w:color w:val="333333"/>
                <w:sz w:val="18"/>
                <w:szCs w:val="18"/>
              </w:rPr>
              <w:t>Any PIMI</w:t>
            </w:r>
          </w:p>
        </w:tc>
        <w:tc>
          <w:tcPr>
            <w:tcW w:w="3024"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6ADA0CFB" w14:textId="77777777" w:rsidR="00146315" w:rsidRDefault="00000000">
            <w:r>
              <w:rPr>
                <w:color w:val="333333"/>
                <w:sz w:val="18"/>
                <w:szCs w:val="18"/>
              </w:rPr>
              <w:t>Do not invest. Insufficient asset quality or financial profile. Revisit only if fundamental restructuring occurs.</w:t>
            </w:r>
          </w:p>
        </w:tc>
      </w:tr>
    </w:tbl>
    <w:p w14:paraId="50A041F5" w14:textId="77777777" w:rsidR="00146315" w:rsidRDefault="00146315">
      <w:pPr>
        <w:spacing w:after="60"/>
      </w:pPr>
    </w:p>
    <w:p w14:paraId="2F0F31F7" w14:textId="77777777" w:rsidR="00146315" w:rsidRDefault="00000000">
      <w:pPr>
        <w:pStyle w:val="Heading3"/>
      </w:pPr>
      <w:r>
        <w:t>Classification Override Rules</w:t>
      </w:r>
    </w:p>
    <w:p w14:paraId="74FCA206" w14:textId="77777777" w:rsidR="00146315" w:rsidRDefault="00000000">
      <w:pPr>
        <w:pStyle w:val="ListParagraph"/>
        <w:numPr>
          <w:ilvl w:val="0"/>
          <w:numId w:val="2"/>
        </w:numPr>
        <w:spacing w:after="60"/>
      </w:pPr>
      <w:r>
        <w:t>PIMI ≤ 4 caps classification at Competitive Generator regardless of dimension scores. Physical infrastructure scarcity is the foundational requirement.</w:t>
      </w:r>
    </w:p>
    <w:p w14:paraId="1AE0C375" w14:textId="77777777" w:rsidR="00146315" w:rsidRDefault="00000000">
      <w:pPr>
        <w:pStyle w:val="ListParagraph"/>
        <w:numPr>
          <w:ilvl w:val="0"/>
          <w:numId w:val="2"/>
        </w:numPr>
        <w:spacing w:after="60"/>
      </w:pPr>
      <w:r>
        <w:t>If D4 (Balance Sheet) scores ≤ 3, cap classification at Competitive Generator — overleveraged power companies have a history of value destruction through bankruptcy cycles.</w:t>
      </w:r>
    </w:p>
    <w:p w14:paraId="3BB71BF9" w14:textId="77777777" w:rsidR="00146315" w:rsidRDefault="00000000">
      <w:pPr>
        <w:pStyle w:val="ListParagraph"/>
        <w:numPr>
          <w:ilvl w:val="0"/>
          <w:numId w:val="2"/>
        </w:numPr>
        <w:spacing w:after="60"/>
      </w:pPr>
      <w:r>
        <w:t>If a company has Moat 5 (Nuclear Fleet Premium) scoring 2/2, floor classification at Infrastructure Incumbent regardless of other scores — nuclear is irreplaceable and provides a structural earnings floor.</w:t>
      </w:r>
    </w:p>
    <w:p w14:paraId="7AB8E955" w14:textId="77777777" w:rsidR="00146315" w:rsidRDefault="00000000">
      <w:r>
        <w:br w:type="page"/>
      </w:r>
    </w:p>
    <w:p w14:paraId="22DC65D4" w14:textId="77777777" w:rsidR="00146315" w:rsidRDefault="00000000">
      <w:pPr>
        <w:pStyle w:val="Heading1"/>
      </w:pPr>
      <w:r>
        <w:lastRenderedPageBreak/>
        <w:t>MODIFIERS</w:t>
      </w:r>
    </w:p>
    <w:p w14:paraId="7C3B4AE8" w14:textId="77777777" w:rsidR="00146315" w:rsidRDefault="00146315">
      <w:pPr>
        <w:spacing w:after="60"/>
      </w:pPr>
    </w:p>
    <w:p w14:paraId="09B59EC5" w14:textId="77777777" w:rsidR="00146315" w:rsidRDefault="00000000">
      <w:pPr>
        <w:pStyle w:val="Heading2"/>
      </w:pPr>
      <w:r>
        <w:t>MODIFIER A: POWER DEMAND SUPERCYCLE ALIGNMENT (PDSA)</w:t>
      </w:r>
    </w:p>
    <w:p w14:paraId="1798A20B" w14:textId="77777777" w:rsidR="00146315" w:rsidRDefault="00000000">
      <w:pPr>
        <w:spacing w:after="120"/>
      </w:pPr>
      <w:r>
        <w:rPr>
          <w:color w:val="333333"/>
        </w:rPr>
        <w:t>Adds +0.0 to +1.0 to weighted composite</w:t>
      </w:r>
    </w:p>
    <w:p w14:paraId="558D357E" w14:textId="77777777" w:rsidR="00146315" w:rsidRDefault="00146315">
      <w:pPr>
        <w:spacing w:after="60"/>
      </w:pPr>
    </w:p>
    <w:p w14:paraId="254A1724" w14:textId="77777777" w:rsidR="00146315" w:rsidRDefault="00000000">
      <w:pPr>
        <w:spacing w:after="120"/>
      </w:pPr>
      <w:r>
        <w:rPr>
          <w:color w:val="333333"/>
        </w:rPr>
        <w:t>As of February 2026, three structural electricity demand drivers are active simultaneously: (1) AI/data center buildout requiring 35-50 GW of new US capacity by 2030; (2) electrification of transport (EVs projected to add 15-20% to residential load by 2035) and industrial heating; (3) onshoring of manufacturing (CHIPS Act, IRA, reshoring). Companies aligned to multiple drivers get a premium.</w:t>
      </w:r>
    </w:p>
    <w:p w14:paraId="266676ED" w14:textId="77777777" w:rsidR="00146315" w:rsidRDefault="00146315">
      <w:pPr>
        <w:spacing w:after="6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48"/>
        <w:gridCol w:w="4800"/>
      </w:tblGrid>
      <w:tr w:rsidR="00146315" w14:paraId="657CA34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8B4513"/>
            <w:tcMar>
              <w:top w:w="80" w:type="dxa"/>
              <w:left w:w="120" w:type="dxa"/>
              <w:bottom w:w="80" w:type="dxa"/>
              <w:right w:w="120" w:type="dxa"/>
            </w:tcMar>
          </w:tcPr>
          <w:p w14:paraId="43ED3A70" w14:textId="77777777" w:rsidR="00146315" w:rsidRDefault="00000000">
            <w:r>
              <w:rPr>
                <w:b/>
                <w:bCs/>
                <w:color w:val="FFFFFF"/>
                <w:sz w:val="18"/>
                <w:szCs w:val="18"/>
              </w:rPr>
              <w:t>Alignment</w:t>
            </w:r>
          </w:p>
        </w:tc>
        <w:tc>
          <w:tcPr>
            <w:tcW w:w="1648" w:type="dxa"/>
            <w:tcBorders>
              <w:top w:val="single" w:sz="1" w:space="0" w:color="CCCCCC"/>
              <w:left w:val="single" w:sz="1" w:space="0" w:color="CCCCCC"/>
              <w:bottom w:val="single" w:sz="1" w:space="0" w:color="CCCCCC"/>
              <w:right w:val="single" w:sz="1" w:space="0" w:color="CCCCCC"/>
            </w:tcBorders>
            <w:shd w:val="clear" w:color="auto" w:fill="8B4513"/>
            <w:tcMar>
              <w:top w:w="80" w:type="dxa"/>
              <w:left w:w="120" w:type="dxa"/>
              <w:bottom w:w="80" w:type="dxa"/>
              <w:right w:w="120" w:type="dxa"/>
            </w:tcMar>
          </w:tcPr>
          <w:p w14:paraId="7EE7BA71" w14:textId="77777777" w:rsidR="00146315" w:rsidRDefault="00000000">
            <w:r>
              <w:rPr>
                <w:b/>
                <w:bCs/>
                <w:color w:val="FFFFFF"/>
                <w:sz w:val="18"/>
                <w:szCs w:val="18"/>
              </w:rPr>
              <w:t>Modifier</w:t>
            </w:r>
          </w:p>
        </w:tc>
        <w:tc>
          <w:tcPr>
            <w:tcW w:w="4800" w:type="dxa"/>
            <w:tcBorders>
              <w:top w:val="single" w:sz="1" w:space="0" w:color="CCCCCC"/>
              <w:left w:val="single" w:sz="1" w:space="0" w:color="CCCCCC"/>
              <w:bottom w:val="single" w:sz="1" w:space="0" w:color="CCCCCC"/>
              <w:right w:val="single" w:sz="1" w:space="0" w:color="CCCCCC"/>
            </w:tcBorders>
            <w:shd w:val="clear" w:color="auto" w:fill="8B4513"/>
            <w:tcMar>
              <w:top w:w="80" w:type="dxa"/>
              <w:left w:w="120" w:type="dxa"/>
              <w:bottom w:w="80" w:type="dxa"/>
              <w:right w:w="120" w:type="dxa"/>
            </w:tcMar>
          </w:tcPr>
          <w:p w14:paraId="1AE88680" w14:textId="77777777" w:rsidR="00146315" w:rsidRDefault="00000000">
            <w:r>
              <w:rPr>
                <w:b/>
                <w:bCs/>
                <w:color w:val="FFFFFF"/>
                <w:sz w:val="18"/>
                <w:szCs w:val="18"/>
              </w:rPr>
              <w:t>Description</w:t>
            </w:r>
          </w:p>
        </w:tc>
      </w:tr>
      <w:tr w:rsidR="00146315" w14:paraId="334F5CF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1DA1F" w14:textId="77777777" w:rsidR="00146315" w:rsidRDefault="00000000">
            <w:r>
              <w:rPr>
                <w:b/>
                <w:bCs/>
                <w:color w:val="333333"/>
                <w:sz w:val="18"/>
                <w:szCs w:val="18"/>
              </w:rPr>
              <w:t>Assets serve data center + electrification + onshoring demand in multiple ISO/RTOs</w:t>
            </w:r>
          </w:p>
        </w:tc>
        <w:tc>
          <w:tcPr>
            <w:tcW w:w="16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9E1F4" w14:textId="77777777" w:rsidR="00146315" w:rsidRDefault="00000000">
            <w:r>
              <w:rPr>
                <w:b/>
                <w:bCs/>
                <w:color w:val="1B7A3D"/>
                <w:sz w:val="18"/>
                <w:szCs w:val="18"/>
              </w:rPr>
              <w:t>+1.0</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E2FDF" w14:textId="77777777" w:rsidR="00146315" w:rsidRDefault="00000000">
            <w:r>
              <w:rPr>
                <w:color w:val="333333"/>
                <w:sz w:val="18"/>
                <w:szCs w:val="18"/>
              </w:rPr>
              <w:t xml:space="preserve">Maximum </w:t>
            </w:r>
            <w:proofErr w:type="spellStart"/>
            <w:r>
              <w:rPr>
                <w:color w:val="333333"/>
                <w:sz w:val="18"/>
                <w:szCs w:val="18"/>
              </w:rPr>
              <w:t>supercycle</w:t>
            </w:r>
            <w:proofErr w:type="spellEnd"/>
            <w:r>
              <w:rPr>
                <w:color w:val="333333"/>
                <w:sz w:val="18"/>
                <w:szCs w:val="18"/>
              </w:rPr>
              <w:t xml:space="preserve"> leverage. Revenue benefits from all three demand drivers simultaneously.</w:t>
            </w:r>
          </w:p>
        </w:tc>
      </w:tr>
      <w:tr w:rsidR="00146315" w14:paraId="0B6CF2C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06AD8F14" w14:textId="77777777" w:rsidR="00146315" w:rsidRDefault="00000000">
            <w:r>
              <w:rPr>
                <w:b/>
                <w:bCs/>
                <w:color w:val="333333"/>
                <w:sz w:val="18"/>
                <w:szCs w:val="18"/>
              </w:rPr>
              <w:t>Assets serve 1-2 demand drivers in primary market</w:t>
            </w:r>
          </w:p>
        </w:tc>
        <w:tc>
          <w:tcPr>
            <w:tcW w:w="1648"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4B56999A" w14:textId="77777777" w:rsidR="00146315" w:rsidRDefault="00000000">
            <w:r>
              <w:rPr>
                <w:b/>
                <w:bCs/>
                <w:color w:val="2E75B6"/>
                <w:sz w:val="18"/>
                <w:szCs w:val="18"/>
              </w:rPr>
              <w:t>+0.5</w:t>
            </w:r>
          </w:p>
        </w:tc>
        <w:tc>
          <w:tcPr>
            <w:tcW w:w="48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544F90A5" w14:textId="77777777" w:rsidR="00146315" w:rsidRDefault="00000000">
            <w:r>
              <w:rPr>
                <w:color w:val="333333"/>
                <w:sz w:val="18"/>
                <w:szCs w:val="18"/>
              </w:rPr>
              <w:t>Partial alignment. Benefits from primary demand wave but concentrated in one driver or market.</w:t>
            </w:r>
          </w:p>
        </w:tc>
      </w:tr>
      <w:tr w:rsidR="00146315" w14:paraId="0E8ADE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A2776" w14:textId="77777777" w:rsidR="00146315" w:rsidRDefault="00000000">
            <w:r>
              <w:rPr>
                <w:b/>
                <w:bCs/>
                <w:color w:val="333333"/>
                <w:sz w:val="18"/>
                <w:szCs w:val="18"/>
              </w:rPr>
              <w:t>Limited alignment with structural demand drivers</w:t>
            </w:r>
          </w:p>
        </w:tc>
        <w:tc>
          <w:tcPr>
            <w:tcW w:w="16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8C70A" w14:textId="77777777" w:rsidR="00146315" w:rsidRDefault="00000000">
            <w:r>
              <w:rPr>
                <w:b/>
                <w:bCs/>
                <w:color w:val="333333"/>
                <w:sz w:val="18"/>
                <w:szCs w:val="18"/>
              </w:rPr>
              <w:t>+0.0</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89722" w14:textId="77777777" w:rsidR="00146315" w:rsidRDefault="00000000">
            <w:r>
              <w:rPr>
                <w:color w:val="333333"/>
                <w:sz w:val="18"/>
                <w:szCs w:val="18"/>
              </w:rPr>
              <w:t xml:space="preserve">Assets </w:t>
            </w:r>
            <w:proofErr w:type="gramStart"/>
            <w:r>
              <w:rPr>
                <w:color w:val="333333"/>
                <w:sz w:val="18"/>
                <w:szCs w:val="18"/>
              </w:rPr>
              <w:t>not</w:t>
            </w:r>
            <w:proofErr w:type="gramEnd"/>
            <w:r>
              <w:rPr>
                <w:color w:val="333333"/>
                <w:sz w:val="18"/>
                <w:szCs w:val="18"/>
              </w:rPr>
              <w:t xml:space="preserve"> positioned where </w:t>
            </w:r>
            <w:proofErr w:type="spellStart"/>
            <w:r>
              <w:rPr>
                <w:color w:val="333333"/>
                <w:sz w:val="18"/>
                <w:szCs w:val="18"/>
              </w:rPr>
              <w:t>supercycle</w:t>
            </w:r>
            <w:proofErr w:type="spellEnd"/>
            <w:r>
              <w:rPr>
                <w:color w:val="333333"/>
                <w:sz w:val="18"/>
                <w:szCs w:val="18"/>
              </w:rPr>
              <w:t xml:space="preserve"> demand is concentrated.</w:t>
            </w:r>
          </w:p>
        </w:tc>
      </w:tr>
    </w:tbl>
    <w:p w14:paraId="008C6458" w14:textId="77777777" w:rsidR="00146315" w:rsidRDefault="00146315">
      <w:pPr>
        <w:spacing w:after="60"/>
      </w:pPr>
    </w:p>
    <w:p w14:paraId="24F235DF" w14:textId="77777777" w:rsidR="00146315" w:rsidRDefault="00000000">
      <w:pPr>
        <w:pStyle w:val="Heading2"/>
      </w:pPr>
      <w:r>
        <w:t>MODIFIER B: CARBON-FREE PREMIUM (CFP)</w:t>
      </w:r>
    </w:p>
    <w:p w14:paraId="7B0984CD" w14:textId="77777777" w:rsidR="00146315" w:rsidRDefault="00000000">
      <w:pPr>
        <w:spacing w:after="120"/>
      </w:pPr>
      <w:r>
        <w:rPr>
          <w:color w:val="333333"/>
        </w:rPr>
        <w:t>Adds +0.0 to +1.0 to weighted composite</w:t>
      </w:r>
    </w:p>
    <w:p w14:paraId="37389B2E" w14:textId="77777777" w:rsidR="00146315" w:rsidRDefault="00146315">
      <w:pPr>
        <w:spacing w:after="60"/>
      </w:pPr>
    </w:p>
    <w:p w14:paraId="11A608C2" w14:textId="77777777" w:rsidR="00146315" w:rsidRDefault="00000000">
      <w:pPr>
        <w:spacing w:after="120"/>
      </w:pPr>
      <w:proofErr w:type="spellStart"/>
      <w:r>
        <w:rPr>
          <w:color w:val="333333"/>
        </w:rPr>
        <w:t>Hyperscalers</w:t>
      </w:r>
      <w:proofErr w:type="spellEnd"/>
      <w:r>
        <w:rPr>
          <w:color w:val="333333"/>
        </w:rPr>
        <w:t xml:space="preserve"> and corporate buyers increasingly require 24/7 carbon-free energy (CFE) matching for sustainability commitments. Nuclear provides 24/7 CFE; renewables provide intermittent CFE; gas </w:t>
      </w:r>
      <w:proofErr w:type="gramStart"/>
      <w:r>
        <w:rPr>
          <w:color w:val="333333"/>
        </w:rPr>
        <w:t>provides firm but</w:t>
      </w:r>
      <w:proofErr w:type="gramEnd"/>
      <w:r>
        <w:rPr>
          <w:color w:val="333333"/>
        </w:rPr>
        <w:t xml:space="preserve"> carbon-emitting power. Companies with large carbon-free fleets command premium pricing from corporate buyers.</w:t>
      </w:r>
    </w:p>
    <w:p w14:paraId="29AAB42C" w14:textId="77777777" w:rsidR="00146315" w:rsidRDefault="00146315">
      <w:pPr>
        <w:spacing w:after="6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48"/>
        <w:gridCol w:w="4800"/>
      </w:tblGrid>
      <w:tr w:rsidR="00146315" w14:paraId="0F4F52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8B4513"/>
            <w:tcMar>
              <w:top w:w="80" w:type="dxa"/>
              <w:left w:w="120" w:type="dxa"/>
              <w:bottom w:w="80" w:type="dxa"/>
              <w:right w:w="120" w:type="dxa"/>
            </w:tcMar>
          </w:tcPr>
          <w:p w14:paraId="14CED095" w14:textId="77777777" w:rsidR="00146315" w:rsidRDefault="00000000">
            <w:r>
              <w:rPr>
                <w:b/>
                <w:bCs/>
                <w:color w:val="FFFFFF"/>
                <w:sz w:val="18"/>
                <w:szCs w:val="18"/>
              </w:rPr>
              <w:t>Carbon-Free Position</w:t>
            </w:r>
          </w:p>
        </w:tc>
        <w:tc>
          <w:tcPr>
            <w:tcW w:w="1648" w:type="dxa"/>
            <w:tcBorders>
              <w:top w:val="single" w:sz="1" w:space="0" w:color="CCCCCC"/>
              <w:left w:val="single" w:sz="1" w:space="0" w:color="CCCCCC"/>
              <w:bottom w:val="single" w:sz="1" w:space="0" w:color="CCCCCC"/>
              <w:right w:val="single" w:sz="1" w:space="0" w:color="CCCCCC"/>
            </w:tcBorders>
            <w:shd w:val="clear" w:color="auto" w:fill="8B4513"/>
            <w:tcMar>
              <w:top w:w="80" w:type="dxa"/>
              <w:left w:w="120" w:type="dxa"/>
              <w:bottom w:w="80" w:type="dxa"/>
              <w:right w:w="120" w:type="dxa"/>
            </w:tcMar>
          </w:tcPr>
          <w:p w14:paraId="5D249A60" w14:textId="77777777" w:rsidR="00146315" w:rsidRDefault="00000000">
            <w:r>
              <w:rPr>
                <w:b/>
                <w:bCs/>
                <w:color w:val="FFFFFF"/>
                <w:sz w:val="18"/>
                <w:szCs w:val="18"/>
              </w:rPr>
              <w:t>Modifier</w:t>
            </w:r>
          </w:p>
        </w:tc>
        <w:tc>
          <w:tcPr>
            <w:tcW w:w="4800" w:type="dxa"/>
            <w:tcBorders>
              <w:top w:val="single" w:sz="1" w:space="0" w:color="CCCCCC"/>
              <w:left w:val="single" w:sz="1" w:space="0" w:color="CCCCCC"/>
              <w:bottom w:val="single" w:sz="1" w:space="0" w:color="CCCCCC"/>
              <w:right w:val="single" w:sz="1" w:space="0" w:color="CCCCCC"/>
            </w:tcBorders>
            <w:shd w:val="clear" w:color="auto" w:fill="8B4513"/>
            <w:tcMar>
              <w:top w:w="80" w:type="dxa"/>
              <w:left w:w="120" w:type="dxa"/>
              <w:bottom w:w="80" w:type="dxa"/>
              <w:right w:w="120" w:type="dxa"/>
            </w:tcMar>
          </w:tcPr>
          <w:p w14:paraId="60434232" w14:textId="77777777" w:rsidR="00146315" w:rsidRDefault="00000000">
            <w:r>
              <w:rPr>
                <w:b/>
                <w:bCs/>
                <w:color w:val="FFFFFF"/>
                <w:sz w:val="18"/>
                <w:szCs w:val="18"/>
              </w:rPr>
              <w:t>Description</w:t>
            </w:r>
          </w:p>
        </w:tc>
      </w:tr>
      <w:tr w:rsidR="00146315" w14:paraId="111A8C1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DE121" w14:textId="77777777" w:rsidR="00146315" w:rsidRDefault="00000000">
            <w:r>
              <w:rPr>
                <w:b/>
                <w:bCs/>
                <w:color w:val="333333"/>
                <w:sz w:val="18"/>
                <w:szCs w:val="18"/>
              </w:rPr>
              <w:t>&gt;50% of generation capacity is carbon-free (nuclear, hydro, renewable)</w:t>
            </w:r>
          </w:p>
        </w:tc>
        <w:tc>
          <w:tcPr>
            <w:tcW w:w="16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291E5" w14:textId="77777777" w:rsidR="00146315" w:rsidRDefault="00000000">
            <w:r>
              <w:rPr>
                <w:b/>
                <w:bCs/>
                <w:color w:val="1B7A3D"/>
                <w:sz w:val="18"/>
                <w:szCs w:val="18"/>
              </w:rPr>
              <w:t>+1.0</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3CF0A" w14:textId="77777777" w:rsidR="00146315" w:rsidRDefault="00000000">
            <w:r>
              <w:rPr>
                <w:color w:val="333333"/>
                <w:sz w:val="18"/>
                <w:szCs w:val="18"/>
              </w:rPr>
              <w:t xml:space="preserve">Maximum CFE premium. Can supply 24/7 carbon-free power at premium pricing. </w:t>
            </w:r>
            <w:proofErr w:type="spellStart"/>
            <w:r>
              <w:rPr>
                <w:color w:val="333333"/>
                <w:sz w:val="18"/>
                <w:szCs w:val="18"/>
              </w:rPr>
              <w:t>Hyperscaler</w:t>
            </w:r>
            <w:proofErr w:type="spellEnd"/>
            <w:r>
              <w:rPr>
                <w:color w:val="333333"/>
                <w:sz w:val="18"/>
                <w:szCs w:val="18"/>
              </w:rPr>
              <w:t xml:space="preserve"> demand for CFE PPAs exceeds supply.</w:t>
            </w:r>
          </w:p>
        </w:tc>
      </w:tr>
      <w:tr w:rsidR="00146315" w14:paraId="480177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427D7047" w14:textId="77777777" w:rsidR="00146315" w:rsidRDefault="00000000">
            <w:r>
              <w:rPr>
                <w:b/>
                <w:bCs/>
                <w:color w:val="333333"/>
                <w:sz w:val="18"/>
                <w:szCs w:val="18"/>
              </w:rPr>
              <w:t>20-50% carbon-free with carbon-free expansion plan</w:t>
            </w:r>
          </w:p>
        </w:tc>
        <w:tc>
          <w:tcPr>
            <w:tcW w:w="1648"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61491B6C" w14:textId="77777777" w:rsidR="00146315" w:rsidRDefault="00000000">
            <w:r>
              <w:rPr>
                <w:b/>
                <w:bCs/>
                <w:color w:val="2E75B6"/>
                <w:sz w:val="18"/>
                <w:szCs w:val="18"/>
              </w:rPr>
              <w:t>+0.5</w:t>
            </w:r>
          </w:p>
        </w:tc>
        <w:tc>
          <w:tcPr>
            <w:tcW w:w="48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4CADF0F3" w14:textId="77777777" w:rsidR="00146315" w:rsidRDefault="00000000">
            <w:r>
              <w:rPr>
                <w:color w:val="333333"/>
                <w:sz w:val="18"/>
                <w:szCs w:val="18"/>
              </w:rPr>
              <w:t>Partial CFE capability. Can serve some corporate CFE demand. Carbon-free fleet growing.</w:t>
            </w:r>
          </w:p>
        </w:tc>
      </w:tr>
      <w:tr w:rsidR="00146315" w14:paraId="1983B78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78E7D" w14:textId="77777777" w:rsidR="00146315" w:rsidRDefault="00000000">
            <w:r>
              <w:rPr>
                <w:b/>
                <w:bCs/>
                <w:color w:val="333333"/>
                <w:sz w:val="18"/>
                <w:szCs w:val="18"/>
              </w:rPr>
              <w:t>&lt;20% carbon-free generation</w:t>
            </w:r>
          </w:p>
        </w:tc>
        <w:tc>
          <w:tcPr>
            <w:tcW w:w="16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24F4A" w14:textId="77777777" w:rsidR="00146315" w:rsidRDefault="00000000">
            <w:r>
              <w:rPr>
                <w:b/>
                <w:bCs/>
                <w:color w:val="333333"/>
                <w:sz w:val="18"/>
                <w:szCs w:val="18"/>
              </w:rPr>
              <w:t>+0.0</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8A9B8" w14:textId="77777777" w:rsidR="00146315" w:rsidRDefault="00000000">
            <w:r>
              <w:rPr>
                <w:color w:val="333333"/>
                <w:sz w:val="18"/>
                <w:szCs w:val="18"/>
              </w:rPr>
              <w:t xml:space="preserve">Primarily fossil fleet. </w:t>
            </w:r>
            <w:proofErr w:type="gramStart"/>
            <w:r>
              <w:rPr>
                <w:color w:val="333333"/>
                <w:sz w:val="18"/>
                <w:szCs w:val="18"/>
              </w:rPr>
              <w:t>Cannot</w:t>
            </w:r>
            <w:proofErr w:type="gramEnd"/>
            <w:r>
              <w:rPr>
                <w:color w:val="333333"/>
                <w:sz w:val="18"/>
                <w:szCs w:val="18"/>
              </w:rPr>
              <w:t xml:space="preserve"> serve corporate CFE demand at premium pricing. May face increasing regulatory and market headwinds.</w:t>
            </w:r>
          </w:p>
        </w:tc>
      </w:tr>
    </w:tbl>
    <w:p w14:paraId="6D24C561" w14:textId="77777777" w:rsidR="00146315" w:rsidRDefault="00000000">
      <w:r>
        <w:br w:type="page"/>
      </w:r>
    </w:p>
    <w:p w14:paraId="36B50670" w14:textId="77777777" w:rsidR="00146315" w:rsidRDefault="00000000">
      <w:pPr>
        <w:pStyle w:val="Heading1"/>
      </w:pPr>
      <w:r>
        <w:lastRenderedPageBreak/>
        <w:t>VALUATION GATES</w:t>
      </w:r>
    </w:p>
    <w:p w14:paraId="59C4B540" w14:textId="77777777" w:rsidR="00146315" w:rsidRDefault="00000000">
      <w:pPr>
        <w:spacing w:after="120"/>
      </w:pPr>
      <w:r>
        <w:rPr>
          <w:color w:val="333333"/>
        </w:rPr>
        <w:t>Power companies trade on different multiples depending on their fleet composition, contracted visibility, and growth profile. The relevant metrics are EV/EBITDA, P/E, FCF yield, and EV/kW (which measures the replacement cost of the generation fleet).</w:t>
      </w:r>
    </w:p>
    <w:p w14:paraId="6A6A4BCA" w14:textId="77777777" w:rsidR="00146315" w:rsidRDefault="00146315">
      <w:pPr>
        <w:spacing w:after="6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700"/>
        <w:gridCol w:w="1700"/>
        <w:gridCol w:w="1724"/>
        <w:gridCol w:w="1724"/>
      </w:tblGrid>
      <w:tr w:rsidR="00146315" w14:paraId="1BA511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8B4513"/>
            <w:tcMar>
              <w:top w:w="80" w:type="dxa"/>
              <w:left w:w="120" w:type="dxa"/>
              <w:bottom w:w="80" w:type="dxa"/>
              <w:right w:w="120" w:type="dxa"/>
            </w:tcMar>
          </w:tcPr>
          <w:p w14:paraId="0AEA61AC" w14:textId="77777777" w:rsidR="00146315" w:rsidRDefault="00000000">
            <w:r>
              <w:rPr>
                <w:b/>
                <w:bCs/>
                <w:color w:val="FFFFFF"/>
                <w:sz w:val="18"/>
                <w:szCs w:val="18"/>
              </w:rPr>
              <w:t>Classification</w:t>
            </w:r>
          </w:p>
        </w:tc>
        <w:tc>
          <w:tcPr>
            <w:tcW w:w="1700" w:type="dxa"/>
            <w:tcBorders>
              <w:top w:val="single" w:sz="1" w:space="0" w:color="CCCCCC"/>
              <w:left w:val="single" w:sz="1" w:space="0" w:color="CCCCCC"/>
              <w:bottom w:val="single" w:sz="1" w:space="0" w:color="CCCCCC"/>
              <w:right w:val="single" w:sz="1" w:space="0" w:color="CCCCCC"/>
            </w:tcBorders>
            <w:shd w:val="clear" w:color="auto" w:fill="8B4513"/>
            <w:tcMar>
              <w:top w:w="80" w:type="dxa"/>
              <w:left w:w="120" w:type="dxa"/>
              <w:bottom w:w="80" w:type="dxa"/>
              <w:right w:w="120" w:type="dxa"/>
            </w:tcMar>
          </w:tcPr>
          <w:p w14:paraId="5CB1BC6E" w14:textId="77777777" w:rsidR="00146315" w:rsidRDefault="00000000">
            <w:r>
              <w:rPr>
                <w:b/>
                <w:bCs/>
                <w:color w:val="FFFFFF"/>
                <w:sz w:val="18"/>
                <w:szCs w:val="18"/>
              </w:rPr>
              <w:t>Max EV/EBITDA</w:t>
            </w:r>
          </w:p>
        </w:tc>
        <w:tc>
          <w:tcPr>
            <w:tcW w:w="1700" w:type="dxa"/>
            <w:tcBorders>
              <w:top w:val="single" w:sz="1" w:space="0" w:color="CCCCCC"/>
              <w:left w:val="single" w:sz="1" w:space="0" w:color="CCCCCC"/>
              <w:bottom w:val="single" w:sz="1" w:space="0" w:color="CCCCCC"/>
              <w:right w:val="single" w:sz="1" w:space="0" w:color="CCCCCC"/>
            </w:tcBorders>
            <w:shd w:val="clear" w:color="auto" w:fill="8B4513"/>
            <w:tcMar>
              <w:top w:w="80" w:type="dxa"/>
              <w:left w:w="120" w:type="dxa"/>
              <w:bottom w:w="80" w:type="dxa"/>
              <w:right w:w="120" w:type="dxa"/>
            </w:tcMar>
          </w:tcPr>
          <w:p w14:paraId="2996A39A" w14:textId="77777777" w:rsidR="00146315" w:rsidRDefault="00000000">
            <w:r>
              <w:rPr>
                <w:b/>
                <w:bCs/>
                <w:color w:val="FFFFFF"/>
                <w:sz w:val="18"/>
                <w:szCs w:val="18"/>
              </w:rPr>
              <w:t>Max P/E (NTM)</w:t>
            </w:r>
          </w:p>
        </w:tc>
        <w:tc>
          <w:tcPr>
            <w:tcW w:w="1724" w:type="dxa"/>
            <w:tcBorders>
              <w:top w:val="single" w:sz="1" w:space="0" w:color="CCCCCC"/>
              <w:left w:val="single" w:sz="1" w:space="0" w:color="CCCCCC"/>
              <w:bottom w:val="single" w:sz="1" w:space="0" w:color="CCCCCC"/>
              <w:right w:val="single" w:sz="1" w:space="0" w:color="CCCCCC"/>
            </w:tcBorders>
            <w:shd w:val="clear" w:color="auto" w:fill="8B4513"/>
            <w:tcMar>
              <w:top w:w="80" w:type="dxa"/>
              <w:left w:w="120" w:type="dxa"/>
              <w:bottom w:w="80" w:type="dxa"/>
              <w:right w:w="120" w:type="dxa"/>
            </w:tcMar>
          </w:tcPr>
          <w:p w14:paraId="130F040B" w14:textId="77777777" w:rsidR="00146315" w:rsidRDefault="00000000">
            <w:r>
              <w:rPr>
                <w:b/>
                <w:bCs/>
                <w:color w:val="FFFFFF"/>
                <w:sz w:val="18"/>
                <w:szCs w:val="18"/>
              </w:rPr>
              <w:t>Min FCF Yield</w:t>
            </w:r>
          </w:p>
        </w:tc>
        <w:tc>
          <w:tcPr>
            <w:tcW w:w="1724" w:type="dxa"/>
            <w:tcBorders>
              <w:top w:val="single" w:sz="1" w:space="0" w:color="CCCCCC"/>
              <w:left w:val="single" w:sz="1" w:space="0" w:color="CCCCCC"/>
              <w:bottom w:val="single" w:sz="1" w:space="0" w:color="CCCCCC"/>
              <w:right w:val="single" w:sz="1" w:space="0" w:color="CCCCCC"/>
            </w:tcBorders>
            <w:shd w:val="clear" w:color="auto" w:fill="8B4513"/>
            <w:tcMar>
              <w:top w:w="80" w:type="dxa"/>
              <w:left w:w="120" w:type="dxa"/>
              <w:bottom w:w="80" w:type="dxa"/>
              <w:right w:w="120" w:type="dxa"/>
            </w:tcMar>
          </w:tcPr>
          <w:p w14:paraId="421ADD35" w14:textId="77777777" w:rsidR="00146315" w:rsidRDefault="00000000">
            <w:r>
              <w:rPr>
                <w:b/>
                <w:bCs/>
                <w:color w:val="FFFFFF"/>
                <w:sz w:val="18"/>
                <w:szCs w:val="18"/>
              </w:rPr>
              <w:t>Max EV/kW</w:t>
            </w:r>
          </w:p>
        </w:tc>
      </w:tr>
      <w:tr w:rsidR="00146315" w14:paraId="3BE739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C12EB" w14:textId="77777777" w:rsidR="00146315" w:rsidRDefault="00000000">
            <w:r>
              <w:rPr>
                <w:b/>
                <w:bCs/>
                <w:color w:val="1B7A3D"/>
                <w:sz w:val="18"/>
                <w:szCs w:val="18"/>
              </w:rPr>
              <w:t>Grid Fortress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E918B" w14:textId="77777777" w:rsidR="00146315" w:rsidRDefault="00000000">
            <w:r>
              <w:rPr>
                <w:color w:val="333333"/>
                <w:sz w:val="18"/>
                <w:szCs w:val="18"/>
              </w:rPr>
              <w:t>18x</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268FA" w14:textId="77777777" w:rsidR="00146315" w:rsidRDefault="00000000">
            <w:r>
              <w:rPr>
                <w:color w:val="333333"/>
                <w:sz w:val="18"/>
                <w:szCs w:val="18"/>
              </w:rPr>
              <w:t>30x</w:t>
            </w:r>
          </w:p>
        </w:tc>
        <w:tc>
          <w:tcPr>
            <w:tcW w:w="17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1EC61" w14:textId="77777777" w:rsidR="00146315" w:rsidRDefault="00000000">
            <w:r>
              <w:rPr>
                <w:color w:val="333333"/>
                <w:sz w:val="18"/>
                <w:szCs w:val="18"/>
              </w:rPr>
              <w:t>3.0%</w:t>
            </w:r>
          </w:p>
        </w:tc>
        <w:tc>
          <w:tcPr>
            <w:tcW w:w="17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60980" w14:textId="77777777" w:rsidR="00146315" w:rsidRDefault="00000000">
            <w:r>
              <w:rPr>
                <w:color w:val="333333"/>
                <w:sz w:val="18"/>
                <w:szCs w:val="18"/>
              </w:rPr>
              <w:t>$1,500/kW</w:t>
            </w:r>
          </w:p>
        </w:tc>
      </w:tr>
      <w:tr w:rsidR="00146315" w14:paraId="21A55C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30899711" w14:textId="77777777" w:rsidR="00146315" w:rsidRDefault="00000000">
            <w:r>
              <w:rPr>
                <w:b/>
                <w:bCs/>
                <w:color w:val="2E75B6"/>
                <w:sz w:val="18"/>
                <w:szCs w:val="18"/>
              </w:rPr>
              <w:t>Infrastructure Incumbent</w:t>
            </w:r>
          </w:p>
        </w:tc>
        <w:tc>
          <w:tcPr>
            <w:tcW w:w="17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29753C99" w14:textId="77777777" w:rsidR="00146315" w:rsidRDefault="00000000">
            <w:r>
              <w:rPr>
                <w:color w:val="333333"/>
                <w:sz w:val="18"/>
                <w:szCs w:val="18"/>
              </w:rPr>
              <w:t>14x</w:t>
            </w:r>
          </w:p>
        </w:tc>
        <w:tc>
          <w:tcPr>
            <w:tcW w:w="17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11A26FC2" w14:textId="77777777" w:rsidR="00146315" w:rsidRDefault="00000000">
            <w:r>
              <w:rPr>
                <w:color w:val="333333"/>
                <w:sz w:val="18"/>
                <w:szCs w:val="18"/>
              </w:rPr>
              <w:t>22x</w:t>
            </w:r>
          </w:p>
        </w:tc>
        <w:tc>
          <w:tcPr>
            <w:tcW w:w="1724"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1FA62578" w14:textId="77777777" w:rsidR="00146315" w:rsidRDefault="00000000">
            <w:r>
              <w:rPr>
                <w:color w:val="333333"/>
                <w:sz w:val="18"/>
                <w:szCs w:val="18"/>
              </w:rPr>
              <w:t>4.0%</w:t>
            </w:r>
          </w:p>
        </w:tc>
        <w:tc>
          <w:tcPr>
            <w:tcW w:w="1724"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43F824B7" w14:textId="77777777" w:rsidR="00146315" w:rsidRDefault="00000000">
            <w:r>
              <w:rPr>
                <w:color w:val="333333"/>
                <w:sz w:val="18"/>
                <w:szCs w:val="18"/>
              </w:rPr>
              <w:t>$1,000/kW</w:t>
            </w:r>
          </w:p>
        </w:tc>
      </w:tr>
      <w:tr w:rsidR="00146315" w14:paraId="17FC3E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EAA3A" w14:textId="77777777" w:rsidR="00146315" w:rsidRDefault="00000000">
            <w:r>
              <w:rPr>
                <w:b/>
                <w:bCs/>
                <w:color w:val="D4A017"/>
                <w:sz w:val="18"/>
                <w:szCs w:val="18"/>
              </w:rPr>
              <w:t>Competitive Generator</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55887" w14:textId="77777777" w:rsidR="00146315" w:rsidRDefault="00000000">
            <w:r>
              <w:rPr>
                <w:color w:val="333333"/>
                <w:sz w:val="18"/>
                <w:szCs w:val="18"/>
              </w:rPr>
              <w:t>8x</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1E445" w14:textId="77777777" w:rsidR="00146315" w:rsidRDefault="00000000">
            <w:r>
              <w:rPr>
                <w:color w:val="333333"/>
                <w:sz w:val="18"/>
                <w:szCs w:val="18"/>
              </w:rPr>
              <w:t>14x</w:t>
            </w:r>
          </w:p>
        </w:tc>
        <w:tc>
          <w:tcPr>
            <w:tcW w:w="17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F11DE" w14:textId="77777777" w:rsidR="00146315" w:rsidRDefault="00000000">
            <w:r>
              <w:rPr>
                <w:color w:val="333333"/>
                <w:sz w:val="18"/>
                <w:szCs w:val="18"/>
              </w:rPr>
              <w:t>7.0%</w:t>
            </w:r>
          </w:p>
        </w:tc>
        <w:tc>
          <w:tcPr>
            <w:tcW w:w="17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D5395" w14:textId="77777777" w:rsidR="00146315" w:rsidRDefault="00000000">
            <w:r>
              <w:rPr>
                <w:color w:val="333333"/>
                <w:sz w:val="18"/>
                <w:szCs w:val="18"/>
              </w:rPr>
              <w:t>$600/kW</w:t>
            </w:r>
          </w:p>
        </w:tc>
      </w:tr>
    </w:tbl>
    <w:p w14:paraId="42E7C736" w14:textId="77777777" w:rsidR="00146315" w:rsidRDefault="00146315">
      <w:pPr>
        <w:spacing w:after="60"/>
      </w:pPr>
    </w:p>
    <w:p w14:paraId="50D232F1" w14:textId="77777777" w:rsidR="00146315" w:rsidRDefault="00000000">
      <w:pPr>
        <w:pStyle w:val="Heading3"/>
      </w:pPr>
      <w:r>
        <w:t>Valuation Gate Exceptions</w:t>
      </w:r>
    </w:p>
    <w:p w14:paraId="2AF9169A" w14:textId="77777777" w:rsidR="00146315" w:rsidRDefault="00000000">
      <w:pPr>
        <w:pStyle w:val="ListParagraph"/>
        <w:numPr>
          <w:ilvl w:val="0"/>
          <w:numId w:val="2"/>
        </w:numPr>
        <w:spacing w:after="60"/>
      </w:pPr>
      <w:r>
        <w:t xml:space="preserve">Nuclear fleet premium: Companies with &gt;50% nuclear generation may exceed standard EV/EBITDA gates by 1.5x because nuclear assets are functionally irreplaceable and trade on replacement cost, </w:t>
      </w:r>
      <w:proofErr w:type="gramStart"/>
      <w:r>
        <w:t>not earnings</w:t>
      </w:r>
      <w:proofErr w:type="gramEnd"/>
      <w:r>
        <w:t xml:space="preserve"> multiples. Use EV/kW as the primary gate for nuclear-heavy companies.</w:t>
      </w:r>
    </w:p>
    <w:p w14:paraId="30E4DDA0" w14:textId="77777777" w:rsidR="00146315" w:rsidRDefault="00000000">
      <w:pPr>
        <w:pStyle w:val="ListParagraph"/>
        <w:numPr>
          <w:ilvl w:val="0"/>
          <w:numId w:val="2"/>
        </w:numPr>
        <w:spacing w:after="60"/>
      </w:pPr>
      <w:r>
        <w:t>Contracted growth: Companies with signed long-term data center PPAs providing &gt;20% revenue growth visibility may exceed EV/EBITDA gates by 1.25x, because contracted growth warrants a premium over merchant earnings.</w:t>
      </w:r>
    </w:p>
    <w:p w14:paraId="57170822" w14:textId="77777777" w:rsidR="00146315" w:rsidRDefault="00000000">
      <w:pPr>
        <w:pStyle w:val="ListParagraph"/>
        <w:numPr>
          <w:ilvl w:val="0"/>
          <w:numId w:val="2"/>
        </w:numPr>
        <w:spacing w:after="60"/>
      </w:pPr>
      <w:r>
        <w:t>Post-acquisition deleveraging: Companies that recently completed transformative acquisitions (NRG/LS Power) will temporarily appear overleveraged. If the company has a credible deleveraging plan with timeline &lt;24 months, apply the target leverage ratio for D4 scoring rather than current ratio.</w:t>
      </w:r>
    </w:p>
    <w:p w14:paraId="299FE55B" w14:textId="77777777" w:rsidR="00146315" w:rsidRDefault="00000000">
      <w:r>
        <w:br w:type="page"/>
      </w:r>
    </w:p>
    <w:p w14:paraId="762EA833" w14:textId="77777777" w:rsidR="00146315" w:rsidRDefault="00000000">
      <w:pPr>
        <w:pStyle w:val="Heading1"/>
      </w:pPr>
      <w:r>
        <w:lastRenderedPageBreak/>
        <w:t>SPECIAL CONSIDERATIONS</w:t>
      </w:r>
    </w:p>
    <w:p w14:paraId="76F7AC0D" w14:textId="77777777" w:rsidR="00146315" w:rsidRDefault="00146315">
      <w:pPr>
        <w:spacing w:after="60"/>
      </w:pPr>
    </w:p>
    <w:p w14:paraId="169074EC" w14:textId="77777777" w:rsidR="00146315" w:rsidRDefault="00000000">
      <w:pPr>
        <w:pStyle w:val="Heading2"/>
      </w:pPr>
      <w:r>
        <w:t>The Nuclear Scarcity Thesis</w:t>
      </w:r>
    </w:p>
    <w:p w14:paraId="3EE24180" w14:textId="77777777" w:rsidR="00146315" w:rsidRDefault="00000000">
      <w:pPr>
        <w:spacing w:after="120"/>
      </w:pPr>
      <w:r>
        <w:rPr>
          <w:color w:val="333333"/>
        </w:rPr>
        <w:t xml:space="preserve">Nuclear generation is the most structurally scarce asset class in US power. No new nuclear capacity is likely to come online in the US before the mid-2030s (excluding SMRs, which face their own development timelines). Existing nuclear plants are receiving 20-year license extensions. The Nuclear Production Tax Credit (PTC) provides a floor price of ~$43.75/MWh. </w:t>
      </w:r>
      <w:proofErr w:type="spellStart"/>
      <w:r>
        <w:rPr>
          <w:color w:val="333333"/>
        </w:rPr>
        <w:t>Hyperscalers</w:t>
      </w:r>
      <w:proofErr w:type="spellEnd"/>
      <w:r>
        <w:rPr>
          <w:color w:val="333333"/>
        </w:rPr>
        <w:t xml:space="preserve"> are signing 20-year nuclear PPAs at premium pricing. Constellation Energy (21 GW nuclear, ~90% carbon-free) is the purest expression of this thesis. The framework captures this through Moat 5 and the CFP modifier, but analysts should recognize that nuclear scarcity may justify multiples well above historical norms.</w:t>
      </w:r>
    </w:p>
    <w:p w14:paraId="08F79515" w14:textId="77777777" w:rsidR="00146315" w:rsidRDefault="00146315">
      <w:pPr>
        <w:spacing w:after="60"/>
      </w:pPr>
    </w:p>
    <w:p w14:paraId="1D1F0858" w14:textId="77777777" w:rsidR="00146315" w:rsidRDefault="00000000">
      <w:pPr>
        <w:pStyle w:val="Heading2"/>
      </w:pPr>
      <w:r>
        <w:t>ERCOT vs. PJM Market Dynamics</w:t>
      </w:r>
    </w:p>
    <w:p w14:paraId="4A8FD6E8" w14:textId="77777777" w:rsidR="00146315" w:rsidRDefault="00000000">
      <w:pPr>
        <w:spacing w:after="120"/>
      </w:pPr>
      <w:r>
        <w:rPr>
          <w:color w:val="333333"/>
        </w:rPr>
        <w:t>ERCOT (Texas) is an energy-only market with no capacity payments — generators are compensated only for energy produced and ancillary services. This creates higher price volatility but also higher scarcity pricing during peak demand. PJM has a capacity market that provides baseline revenue for available capacity. Companies with assets in both markets have natural diversification. ERCOT expertise is particularly valuable because the market's unique structure (no capacity market, limited interconnection with other grids, independent operation) creates operational knowledge moats that out-of-state competitors cannot easily replicate.</w:t>
      </w:r>
    </w:p>
    <w:p w14:paraId="0B34724D" w14:textId="77777777" w:rsidR="00146315" w:rsidRDefault="00146315">
      <w:pPr>
        <w:spacing w:after="60"/>
      </w:pPr>
    </w:p>
    <w:p w14:paraId="7611BCA6" w14:textId="77777777" w:rsidR="00146315" w:rsidRDefault="00000000">
      <w:pPr>
        <w:pStyle w:val="Heading2"/>
      </w:pPr>
      <w:r>
        <w:t>The Overbuild Risk</w:t>
      </w:r>
    </w:p>
    <w:p w14:paraId="217F33DA" w14:textId="77777777" w:rsidR="00146315" w:rsidRDefault="00000000">
      <w:pPr>
        <w:spacing w:after="120"/>
      </w:pPr>
      <w:r>
        <w:rPr>
          <w:color w:val="333333"/>
        </w:rPr>
        <w:t>The bull case for power demand is widely understood and heavily invested. If data center buildout slows, AI compute efficiency improves faster than expected, or grid interconnection queues clear faster than projected, the current scarcity could reverse into oversupply. This is the classic commodity cycle risk. The framework's emphasis on contracted revenue (D1) and balance sheet strength (D4) is designed to identify companies that can survive an overbuild scenario — those with long-term contracts, integrated retail load, and manageable leverage. Pure merchant generators without contracts or hedges are most vulnerable.</w:t>
      </w:r>
    </w:p>
    <w:p w14:paraId="27F4FC4D" w14:textId="77777777" w:rsidR="00146315" w:rsidRDefault="00146315">
      <w:pPr>
        <w:spacing w:after="60"/>
      </w:pPr>
    </w:p>
    <w:p w14:paraId="7C7FE219" w14:textId="77777777" w:rsidR="00146315" w:rsidRDefault="00000000">
      <w:pPr>
        <w:pStyle w:val="Heading2"/>
      </w:pPr>
      <w:r>
        <w:t>Regulated vs. Deregulated Companies</w:t>
      </w:r>
    </w:p>
    <w:p w14:paraId="5111C7E6" w14:textId="77777777" w:rsidR="00146315" w:rsidRDefault="00000000">
      <w:pPr>
        <w:spacing w:after="120"/>
      </w:pPr>
      <w:r>
        <w:rPr>
          <w:color w:val="333333"/>
        </w:rPr>
        <w:t>This framework is designed primarily for companies operating in deregulated markets (ERCOT, PJM, NYISO, NEISO) where generation revenue is market-based. Regulated utilities (Duke, Southern Company, Dominion) operate under a fundamentally different model — they earn a regulated rate of return on their asset base, which provides earnings stability but caps upside. For regulated utilities with significant generation assets, consider using this framework for the generation segment only, and evaluate the regulated distribution/transmission business separately.</w:t>
      </w:r>
    </w:p>
    <w:p w14:paraId="322EB545" w14:textId="77777777" w:rsidR="00146315" w:rsidRDefault="00146315">
      <w:pPr>
        <w:spacing w:after="60"/>
      </w:pPr>
    </w:p>
    <w:p w14:paraId="44ECF56D" w14:textId="77777777" w:rsidR="00146315" w:rsidRDefault="00000000">
      <w:pPr>
        <w:pStyle w:val="Heading2"/>
      </w:pPr>
      <w:r>
        <w:t>Fuel Supply Chain Companies</w:t>
      </w:r>
    </w:p>
    <w:p w14:paraId="51903CE0" w14:textId="77777777" w:rsidR="00146315" w:rsidRDefault="00000000">
      <w:pPr>
        <w:spacing w:after="120"/>
      </w:pPr>
      <w:r>
        <w:rPr>
          <w:color w:val="333333"/>
        </w:rPr>
        <w:lastRenderedPageBreak/>
        <w:t>Uranium miners (Cameco, Kazatomprom), uranium enrichment (Centrus), and nuclear fuel fabrication companies are derivative plays on the nuclear scarcity thesis. They don't own generation assets and don't fit the PIMI moat structure directly. However, they benefit from the same structural dynamics — nuclear fleet extension and new builds require fuel supply. These companies may warrant a separate commodity/supply chain framework or may be evaluated as thematic adjacencies to nuclear fleet operators.</w:t>
      </w:r>
    </w:p>
    <w:p w14:paraId="257C34E5" w14:textId="77777777" w:rsidR="00146315" w:rsidRDefault="00000000">
      <w:r>
        <w:br w:type="page"/>
      </w:r>
    </w:p>
    <w:p w14:paraId="2905EEAA" w14:textId="77777777" w:rsidR="00146315" w:rsidRDefault="00000000">
      <w:pPr>
        <w:pStyle w:val="Heading1"/>
      </w:pPr>
      <w:r>
        <w:lastRenderedPageBreak/>
        <w:t>MANDATORY VERIFICATION PROTOCOL</w:t>
      </w:r>
    </w:p>
    <w:p w14:paraId="63A1AF72" w14:textId="77777777" w:rsidR="00146315" w:rsidRDefault="00000000">
      <w:pPr>
        <w:spacing w:after="120"/>
      </w:pPr>
      <w:r>
        <w:rPr>
          <w:color w:val="333333"/>
        </w:rPr>
        <w:t>Every analysis produced with this framework is subject to the standard verification pass. Energy infrastructure-specific verification priorities:</w:t>
      </w:r>
    </w:p>
    <w:p w14:paraId="4CD49163" w14:textId="77777777" w:rsidR="00146315" w:rsidRDefault="00146315">
      <w:pPr>
        <w:spacing w:after="60"/>
      </w:pPr>
    </w:p>
    <w:p w14:paraId="11DA6F2A" w14:textId="77777777" w:rsidR="00146315" w:rsidRDefault="00000000">
      <w:pPr>
        <w:pStyle w:val="ListParagraph"/>
        <w:numPr>
          <w:ilvl w:val="0"/>
          <w:numId w:val="3"/>
        </w:numPr>
        <w:spacing w:after="60"/>
      </w:pPr>
      <w:r>
        <w:t>Fleet data: Verify total capacity (MW/GW), fuel mix, and geographic distribution from 10-K or investor fact sheet. Confirm plant ages and remaining economic life estimates.</w:t>
      </w:r>
    </w:p>
    <w:p w14:paraId="03E75CD4" w14:textId="77777777" w:rsidR="00146315" w:rsidRDefault="00000000">
      <w:pPr>
        <w:pStyle w:val="ListParagraph"/>
        <w:numPr>
          <w:ilvl w:val="0"/>
          <w:numId w:val="3"/>
        </w:numPr>
        <w:spacing w:after="60"/>
      </w:pPr>
      <w:r>
        <w:t xml:space="preserve">Contracted position: Verify hedge book disclosure from earnings presentation. Confirm PPA portfolio, tenor, and </w:t>
      </w:r>
      <w:proofErr w:type="gramStart"/>
      <w:r>
        <w:t>counterparty</w:t>
      </w:r>
      <w:proofErr w:type="gramEnd"/>
      <w:r>
        <w:t xml:space="preserve"> from investor materials. Distinguish between signed contracts, LOIs, and pipeline.</w:t>
      </w:r>
    </w:p>
    <w:p w14:paraId="5DE0D7D4" w14:textId="77777777" w:rsidR="00146315" w:rsidRDefault="00000000">
      <w:pPr>
        <w:pStyle w:val="ListParagraph"/>
        <w:numPr>
          <w:ilvl w:val="0"/>
          <w:numId w:val="3"/>
        </w:numPr>
        <w:spacing w:after="60"/>
      </w:pPr>
      <w:r>
        <w:t>Balance sheet: Verify net debt / EBITDA from latest quarter. Confirm credit rating and outlook. Check debt maturity schedule for near-term walls. Verify any recent acquisition financing terms.</w:t>
      </w:r>
    </w:p>
    <w:p w14:paraId="15C4BD4E" w14:textId="77777777" w:rsidR="00146315" w:rsidRDefault="00000000">
      <w:pPr>
        <w:pStyle w:val="ListParagraph"/>
        <w:numPr>
          <w:ilvl w:val="0"/>
          <w:numId w:val="3"/>
        </w:numPr>
        <w:spacing w:after="60"/>
      </w:pPr>
      <w:r>
        <w:t>Market positioning: Verify ISO/RTO market participation from 10-K. Confirm data center contract announcements from press releases. Check interconnection queue status from ISO/RTO public databases.</w:t>
      </w:r>
    </w:p>
    <w:p w14:paraId="379F1248" w14:textId="77777777" w:rsidR="00146315" w:rsidRDefault="00000000">
      <w:pPr>
        <w:pStyle w:val="ListParagraph"/>
        <w:numPr>
          <w:ilvl w:val="0"/>
          <w:numId w:val="3"/>
        </w:numPr>
        <w:spacing w:after="60"/>
      </w:pPr>
      <w:r>
        <w:t>Regulatory: Verify any pending regulatory proceedings (PUCT, FERC, state PUCs). Check for material litigation or environmental compliance obligations. Confirm nuclear license status and expiration dates from NRC database.</w:t>
      </w:r>
    </w:p>
    <w:p w14:paraId="6C8D2FCB" w14:textId="77777777" w:rsidR="00146315" w:rsidRDefault="00000000">
      <w:pPr>
        <w:pStyle w:val="ListParagraph"/>
        <w:numPr>
          <w:ilvl w:val="0"/>
          <w:numId w:val="3"/>
        </w:numPr>
        <w:spacing w:after="60"/>
      </w:pPr>
      <w:r>
        <w:t>Capital allocation: Verify share repurchase history from cash flow statement. Confirm dividend track record. Check insider ownership and recent insider transactions from Form 4 filings.</w:t>
      </w:r>
    </w:p>
    <w:p w14:paraId="7F6F5E34" w14:textId="77777777" w:rsidR="00146315" w:rsidRDefault="00000000">
      <w:r>
        <w:br w:type="page"/>
      </w:r>
    </w:p>
    <w:p w14:paraId="6E7DDA9D" w14:textId="77777777" w:rsidR="00146315" w:rsidRDefault="00000000">
      <w:pPr>
        <w:pStyle w:val="Heading1"/>
      </w:pPr>
      <w:r>
        <w:lastRenderedPageBreak/>
        <w:t>FRAMEWORK INTEGRATION WITH EXISTING TOOLKIT</w:t>
      </w:r>
    </w:p>
    <w:p w14:paraId="6D389E43" w14:textId="77777777" w:rsidR="00146315" w:rsidRDefault="00146315">
      <w:pPr>
        <w:spacing w:after="6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448"/>
      </w:tblGrid>
      <w:tr w:rsidR="00146315" w14:paraId="3BAEF1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8B4513"/>
            <w:tcMar>
              <w:top w:w="80" w:type="dxa"/>
              <w:left w:w="120" w:type="dxa"/>
              <w:bottom w:w="80" w:type="dxa"/>
              <w:right w:w="120" w:type="dxa"/>
            </w:tcMar>
          </w:tcPr>
          <w:p w14:paraId="301C5977" w14:textId="77777777" w:rsidR="00146315" w:rsidRDefault="00000000">
            <w:r>
              <w:rPr>
                <w:b/>
                <w:bCs/>
                <w:color w:val="FFFFFF"/>
                <w:sz w:val="18"/>
                <w:szCs w:val="18"/>
              </w:rPr>
              <w:t>Company Type</w:t>
            </w:r>
          </w:p>
        </w:tc>
        <w:tc>
          <w:tcPr>
            <w:tcW w:w="2800" w:type="dxa"/>
            <w:tcBorders>
              <w:top w:val="single" w:sz="1" w:space="0" w:color="CCCCCC"/>
              <w:left w:val="single" w:sz="1" w:space="0" w:color="CCCCCC"/>
              <w:bottom w:val="single" w:sz="1" w:space="0" w:color="CCCCCC"/>
              <w:right w:val="single" w:sz="1" w:space="0" w:color="CCCCCC"/>
            </w:tcBorders>
            <w:shd w:val="clear" w:color="auto" w:fill="8B4513"/>
            <w:tcMar>
              <w:top w:w="80" w:type="dxa"/>
              <w:left w:w="120" w:type="dxa"/>
              <w:bottom w:w="80" w:type="dxa"/>
              <w:right w:w="120" w:type="dxa"/>
            </w:tcMar>
          </w:tcPr>
          <w:p w14:paraId="4AA0FE13" w14:textId="77777777" w:rsidR="00146315" w:rsidRDefault="00000000">
            <w:r>
              <w:rPr>
                <w:b/>
                <w:bCs/>
                <w:color w:val="FFFFFF"/>
                <w:sz w:val="18"/>
                <w:szCs w:val="18"/>
              </w:rPr>
              <w:t>Framework</w:t>
            </w:r>
          </w:p>
        </w:tc>
        <w:tc>
          <w:tcPr>
            <w:tcW w:w="4448" w:type="dxa"/>
            <w:tcBorders>
              <w:top w:val="single" w:sz="1" w:space="0" w:color="CCCCCC"/>
              <w:left w:val="single" w:sz="1" w:space="0" w:color="CCCCCC"/>
              <w:bottom w:val="single" w:sz="1" w:space="0" w:color="CCCCCC"/>
              <w:right w:val="single" w:sz="1" w:space="0" w:color="CCCCCC"/>
            </w:tcBorders>
            <w:shd w:val="clear" w:color="auto" w:fill="8B4513"/>
            <w:tcMar>
              <w:top w:w="80" w:type="dxa"/>
              <w:left w:w="120" w:type="dxa"/>
              <w:bottom w:w="80" w:type="dxa"/>
              <w:right w:w="120" w:type="dxa"/>
            </w:tcMar>
          </w:tcPr>
          <w:p w14:paraId="1D40028F" w14:textId="77777777" w:rsidR="00146315" w:rsidRDefault="00000000">
            <w:r>
              <w:rPr>
                <w:b/>
                <w:bCs/>
                <w:color w:val="FFFFFF"/>
                <w:sz w:val="18"/>
                <w:szCs w:val="18"/>
              </w:rPr>
              <w:t>Routing Logic</w:t>
            </w:r>
          </w:p>
        </w:tc>
      </w:tr>
      <w:tr w:rsidR="00146315" w14:paraId="47B901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D4FBB" w14:textId="77777777" w:rsidR="00146315" w:rsidRDefault="00000000">
            <w:r>
              <w:rPr>
                <w:b/>
                <w:bCs/>
                <w:color w:val="333333"/>
                <w:sz w:val="18"/>
                <w:szCs w:val="18"/>
              </w:rPr>
              <w:t>Pure SaaS / cloud software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891DF" w14:textId="77777777" w:rsidR="00146315" w:rsidRDefault="00000000">
            <w:r>
              <w:rPr>
                <w:color w:val="333333"/>
                <w:sz w:val="18"/>
                <w:szCs w:val="18"/>
              </w:rPr>
              <w:t>SaaS Antifragility v2.0</w:t>
            </w:r>
          </w:p>
        </w:tc>
        <w:tc>
          <w:tcPr>
            <w:tcW w:w="44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10927" w14:textId="77777777" w:rsidR="00146315" w:rsidRDefault="00000000">
            <w:r>
              <w:rPr>
                <w:color w:val="333333"/>
                <w:sz w:val="18"/>
                <w:szCs w:val="18"/>
              </w:rPr>
              <w:t>AI disruption risk is the primary analytical question.</w:t>
            </w:r>
          </w:p>
        </w:tc>
      </w:tr>
      <w:tr w:rsidR="00146315" w14:paraId="6570EA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1F86C6C7" w14:textId="77777777" w:rsidR="00146315" w:rsidRDefault="00000000">
            <w:r>
              <w:rPr>
                <w:b/>
                <w:bCs/>
                <w:color w:val="333333"/>
                <w:sz w:val="18"/>
                <w:szCs w:val="18"/>
              </w:rPr>
              <w:t>Data infrastructure / platforms</w:t>
            </w:r>
          </w:p>
        </w:tc>
        <w:tc>
          <w:tcPr>
            <w:tcW w:w="28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108487B4" w14:textId="77777777" w:rsidR="00146315" w:rsidRDefault="00000000">
            <w:r>
              <w:rPr>
                <w:color w:val="333333"/>
                <w:sz w:val="18"/>
                <w:szCs w:val="18"/>
              </w:rPr>
              <w:t>Data Infrastructure v1.0</w:t>
            </w:r>
          </w:p>
        </w:tc>
        <w:tc>
          <w:tcPr>
            <w:tcW w:w="4448"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4756BBD6" w14:textId="77777777" w:rsidR="00146315" w:rsidRDefault="00000000">
            <w:r>
              <w:rPr>
                <w:color w:val="333333"/>
                <w:sz w:val="18"/>
                <w:szCs w:val="18"/>
              </w:rPr>
              <w:t>Data moat durability and consumption economics.</w:t>
            </w:r>
          </w:p>
        </w:tc>
      </w:tr>
      <w:tr w:rsidR="00146315" w14:paraId="6BBB0F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FBC62" w14:textId="77777777" w:rsidR="00146315" w:rsidRDefault="00000000">
            <w:r>
              <w:rPr>
                <w:b/>
                <w:bCs/>
                <w:color w:val="333333"/>
                <w:sz w:val="18"/>
                <w:szCs w:val="18"/>
              </w:rPr>
              <w:t>Defense / aerospace hardware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ADDAF" w14:textId="77777777" w:rsidR="00146315" w:rsidRDefault="00000000">
            <w:r>
              <w:rPr>
                <w:color w:val="333333"/>
                <w:sz w:val="18"/>
                <w:szCs w:val="18"/>
              </w:rPr>
              <w:t>Defense &amp; Aerospace v1.0</w:t>
            </w:r>
          </w:p>
        </w:tc>
        <w:tc>
          <w:tcPr>
            <w:tcW w:w="44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537F" w14:textId="77777777" w:rsidR="00146315" w:rsidRDefault="00000000">
            <w:r>
              <w:rPr>
                <w:color w:val="333333"/>
                <w:sz w:val="18"/>
                <w:szCs w:val="18"/>
              </w:rPr>
              <w:t>Procurement lock-in, backlog quality, budget positioning.</w:t>
            </w:r>
          </w:p>
        </w:tc>
      </w:tr>
      <w:tr w:rsidR="00146315" w14:paraId="04BA2C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0251251E" w14:textId="77777777" w:rsidR="00146315" w:rsidRDefault="00000000">
            <w:r>
              <w:rPr>
                <w:b/>
                <w:bCs/>
                <w:color w:val="333333"/>
                <w:sz w:val="18"/>
                <w:szCs w:val="18"/>
              </w:rPr>
              <w:t>Power generation / energy infra</w:t>
            </w:r>
          </w:p>
        </w:tc>
        <w:tc>
          <w:tcPr>
            <w:tcW w:w="28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7E0991B0" w14:textId="77777777" w:rsidR="00146315" w:rsidRDefault="00000000">
            <w:r>
              <w:rPr>
                <w:color w:val="333333"/>
                <w:sz w:val="18"/>
                <w:szCs w:val="18"/>
              </w:rPr>
              <w:t>Energy Infrastructure v1.0 (this)</w:t>
            </w:r>
          </w:p>
        </w:tc>
        <w:tc>
          <w:tcPr>
            <w:tcW w:w="4448"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50270A12" w14:textId="77777777" w:rsidR="00146315" w:rsidRDefault="00000000">
            <w:r>
              <w:rPr>
                <w:color w:val="333333"/>
                <w:sz w:val="18"/>
                <w:szCs w:val="18"/>
              </w:rPr>
              <w:t>Physical scarcity, fleet economics, contracted visibility, demand exposure.</w:t>
            </w:r>
          </w:p>
        </w:tc>
      </w:tr>
      <w:tr w:rsidR="00146315" w14:paraId="32C6D5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BD4C9" w14:textId="77777777" w:rsidR="00146315" w:rsidRDefault="00000000">
            <w:r>
              <w:rPr>
                <w:b/>
                <w:bCs/>
                <w:color w:val="333333"/>
                <w:sz w:val="18"/>
                <w:szCs w:val="18"/>
              </w:rPr>
              <w:t>Pre-revenue biotech</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F2B51" w14:textId="77777777" w:rsidR="00146315" w:rsidRDefault="00000000">
            <w:r>
              <w:rPr>
                <w:color w:val="333333"/>
                <w:sz w:val="18"/>
                <w:szCs w:val="18"/>
              </w:rPr>
              <w:t>Three-Layer Filter</w:t>
            </w:r>
          </w:p>
        </w:tc>
        <w:tc>
          <w:tcPr>
            <w:tcW w:w="44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D857D" w14:textId="77777777" w:rsidR="00146315" w:rsidRDefault="00000000">
            <w:r>
              <w:rPr>
                <w:color w:val="333333"/>
                <w:sz w:val="18"/>
                <w:szCs w:val="18"/>
              </w:rPr>
              <w:t>Clinical pipeline, regulatory pathway, platform value.</w:t>
            </w:r>
          </w:p>
        </w:tc>
      </w:tr>
      <w:tr w:rsidR="00146315" w14:paraId="4A801C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1100B382" w14:textId="77777777" w:rsidR="00146315" w:rsidRDefault="00000000">
            <w:r>
              <w:rPr>
                <w:b/>
                <w:bCs/>
                <w:color w:val="333333"/>
                <w:sz w:val="18"/>
                <w:szCs w:val="18"/>
              </w:rPr>
              <w:t>Consumer / luxury brands</w:t>
            </w:r>
          </w:p>
        </w:tc>
        <w:tc>
          <w:tcPr>
            <w:tcW w:w="2800"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62F32B49" w14:textId="77777777" w:rsidR="00146315" w:rsidRDefault="00000000">
            <w:r>
              <w:rPr>
                <w:color w:val="333333"/>
                <w:sz w:val="18"/>
                <w:szCs w:val="18"/>
              </w:rPr>
              <w:t>Not yet built</w:t>
            </w:r>
          </w:p>
        </w:tc>
        <w:tc>
          <w:tcPr>
            <w:tcW w:w="4448" w:type="dxa"/>
            <w:tcBorders>
              <w:top w:val="single" w:sz="1" w:space="0" w:color="CCCCCC"/>
              <w:left w:val="single" w:sz="1" w:space="0" w:color="CCCCCC"/>
              <w:bottom w:val="single" w:sz="1" w:space="0" w:color="CCCCCC"/>
              <w:right w:val="single" w:sz="1" w:space="0" w:color="CCCCCC"/>
            </w:tcBorders>
            <w:shd w:val="clear" w:color="auto" w:fill="FDF5E6"/>
            <w:tcMar>
              <w:top w:w="80" w:type="dxa"/>
              <w:left w:w="120" w:type="dxa"/>
              <w:bottom w:w="80" w:type="dxa"/>
              <w:right w:w="120" w:type="dxa"/>
            </w:tcMar>
          </w:tcPr>
          <w:p w14:paraId="25D07E0A" w14:textId="77777777" w:rsidR="00146315" w:rsidRDefault="00000000">
            <w:r>
              <w:rPr>
                <w:color w:val="333333"/>
                <w:sz w:val="18"/>
                <w:szCs w:val="18"/>
              </w:rPr>
              <w:t>Brand equity, licensing, discretionary spending dynamics.</w:t>
            </w:r>
          </w:p>
        </w:tc>
      </w:tr>
    </w:tbl>
    <w:p w14:paraId="2FCE5BEF" w14:textId="77777777" w:rsidR="00146315" w:rsidRDefault="00146315">
      <w:pPr>
        <w:spacing w:after="60"/>
      </w:pPr>
    </w:p>
    <w:p w14:paraId="1AA9A25D" w14:textId="77777777" w:rsidR="00146315" w:rsidRDefault="00146315">
      <w:pPr>
        <w:spacing w:after="60"/>
      </w:pPr>
    </w:p>
    <w:p w14:paraId="78C688A6" w14:textId="77777777" w:rsidR="00146315" w:rsidRDefault="00000000">
      <w:pPr>
        <w:spacing w:after="80"/>
        <w:jc w:val="center"/>
      </w:pPr>
      <w:r>
        <w:rPr>
          <w:b/>
          <w:bCs/>
          <w:color w:val="8B4513"/>
          <w:sz w:val="20"/>
          <w:szCs w:val="20"/>
        </w:rPr>
        <w:t>Energy Infrastructure &amp; Power Generation Investment Framework v1.0</w:t>
      </w:r>
    </w:p>
    <w:p w14:paraId="7375315A" w14:textId="77777777" w:rsidR="00146315" w:rsidRDefault="00000000">
      <w:pPr>
        <w:spacing w:after="80"/>
        <w:jc w:val="center"/>
      </w:pPr>
      <w:r>
        <w:rPr>
          <w:color w:val="666666"/>
          <w:sz w:val="20"/>
          <w:szCs w:val="20"/>
        </w:rPr>
        <w:t>February 2026</w:t>
      </w:r>
    </w:p>
    <w:p w14:paraId="71F33D02" w14:textId="77777777" w:rsidR="00146315" w:rsidRDefault="00000000">
      <w:pPr>
        <w:spacing w:after="80"/>
        <w:jc w:val="center"/>
      </w:pPr>
      <w:r>
        <w:rPr>
          <w:i/>
          <w:iCs/>
          <w:color w:val="888888"/>
          <w:sz w:val="18"/>
          <w:szCs w:val="18"/>
        </w:rPr>
        <w:t>All analyses produced with this framework are subject to mandatory verification pass per standard protocol.</w:t>
      </w:r>
    </w:p>
    <w:sectPr w:rsidR="00146315">
      <w:headerReference w:type="default" r:id="rId7"/>
      <w:footerReference w:type="default" r:id="rId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CBE2D" w14:textId="77777777" w:rsidR="007A26F7" w:rsidRDefault="007A26F7">
      <w:r>
        <w:separator/>
      </w:r>
    </w:p>
  </w:endnote>
  <w:endnote w:type="continuationSeparator" w:id="0">
    <w:p w14:paraId="2C527098" w14:textId="77777777" w:rsidR="007A26F7" w:rsidRDefault="007A2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52BB0" w14:textId="77777777" w:rsidR="00146315" w:rsidRDefault="00000000">
    <w:pPr>
      <w:pBdr>
        <w:top w:val="single" w:sz="4" w:space="4" w:color="CCCCCC"/>
      </w:pBdr>
      <w:jc w:val="center"/>
    </w:pPr>
    <w:r>
      <w:rPr>
        <w:color w:val="999999"/>
        <w:sz w:val="16"/>
        <w:szCs w:val="16"/>
      </w:rPr>
      <w:t>Confidential - For Investment Research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B6A38" w14:textId="77777777" w:rsidR="007A26F7" w:rsidRDefault="007A26F7">
      <w:r>
        <w:separator/>
      </w:r>
    </w:p>
  </w:footnote>
  <w:footnote w:type="continuationSeparator" w:id="0">
    <w:p w14:paraId="4BB53F68" w14:textId="77777777" w:rsidR="007A26F7" w:rsidRDefault="007A26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73192" w14:textId="77777777" w:rsidR="00146315" w:rsidRDefault="00000000">
    <w:pPr>
      <w:pBdr>
        <w:bottom w:val="single" w:sz="4" w:space="4" w:color="8B4513"/>
      </w:pBdr>
    </w:pPr>
    <w:r>
      <w:rPr>
        <w:i/>
        <w:iCs/>
        <w:color w:val="999999"/>
        <w:sz w:val="16"/>
        <w:szCs w:val="16"/>
      </w:rPr>
      <w:t>Energy Infrastructure &amp; Power Generation Investment Framework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4628B"/>
    <w:multiLevelType w:val="hybridMultilevel"/>
    <w:tmpl w:val="4E8CC298"/>
    <w:lvl w:ilvl="0" w:tplc="F980292A">
      <w:start w:val="1"/>
      <w:numFmt w:val="decimal"/>
      <w:lvlText w:val="%1."/>
      <w:lvlJc w:val="left"/>
      <w:pPr>
        <w:ind w:left="720" w:hanging="360"/>
      </w:pPr>
    </w:lvl>
    <w:lvl w:ilvl="1" w:tplc="918E62B8">
      <w:numFmt w:val="decimal"/>
      <w:lvlText w:val=""/>
      <w:lvlJc w:val="left"/>
    </w:lvl>
    <w:lvl w:ilvl="2" w:tplc="A22C1966">
      <w:numFmt w:val="decimal"/>
      <w:lvlText w:val=""/>
      <w:lvlJc w:val="left"/>
    </w:lvl>
    <w:lvl w:ilvl="3" w:tplc="D41CC954">
      <w:numFmt w:val="decimal"/>
      <w:lvlText w:val=""/>
      <w:lvlJc w:val="left"/>
    </w:lvl>
    <w:lvl w:ilvl="4" w:tplc="465ECFD2">
      <w:numFmt w:val="decimal"/>
      <w:lvlText w:val=""/>
      <w:lvlJc w:val="left"/>
    </w:lvl>
    <w:lvl w:ilvl="5" w:tplc="5C687138">
      <w:numFmt w:val="decimal"/>
      <w:lvlText w:val=""/>
      <w:lvlJc w:val="left"/>
    </w:lvl>
    <w:lvl w:ilvl="6" w:tplc="0B3C529C">
      <w:numFmt w:val="decimal"/>
      <w:lvlText w:val=""/>
      <w:lvlJc w:val="left"/>
    </w:lvl>
    <w:lvl w:ilvl="7" w:tplc="AE5A2FF6">
      <w:numFmt w:val="decimal"/>
      <w:lvlText w:val=""/>
      <w:lvlJc w:val="left"/>
    </w:lvl>
    <w:lvl w:ilvl="8" w:tplc="69DC8364">
      <w:numFmt w:val="decimal"/>
      <w:lvlText w:val=""/>
      <w:lvlJc w:val="left"/>
    </w:lvl>
  </w:abstractNum>
  <w:abstractNum w:abstractNumId="1" w15:restartNumberingAfterBreak="0">
    <w:nsid w:val="4CAF210A"/>
    <w:multiLevelType w:val="hybridMultilevel"/>
    <w:tmpl w:val="43D22EF4"/>
    <w:lvl w:ilvl="0" w:tplc="A4CA85C4">
      <w:start w:val="1"/>
      <w:numFmt w:val="bullet"/>
      <w:lvlText w:val="●"/>
      <w:lvlJc w:val="left"/>
      <w:pPr>
        <w:ind w:left="720" w:hanging="360"/>
      </w:pPr>
    </w:lvl>
    <w:lvl w:ilvl="1" w:tplc="1FD80778">
      <w:start w:val="1"/>
      <w:numFmt w:val="bullet"/>
      <w:lvlText w:val="○"/>
      <w:lvlJc w:val="left"/>
      <w:pPr>
        <w:ind w:left="1440" w:hanging="360"/>
      </w:pPr>
    </w:lvl>
    <w:lvl w:ilvl="2" w:tplc="E92CCC12">
      <w:start w:val="1"/>
      <w:numFmt w:val="bullet"/>
      <w:lvlText w:val="■"/>
      <w:lvlJc w:val="left"/>
      <w:pPr>
        <w:ind w:left="2160" w:hanging="360"/>
      </w:pPr>
    </w:lvl>
    <w:lvl w:ilvl="3" w:tplc="660C46EC">
      <w:start w:val="1"/>
      <w:numFmt w:val="bullet"/>
      <w:lvlText w:val="●"/>
      <w:lvlJc w:val="left"/>
      <w:pPr>
        <w:ind w:left="2880" w:hanging="360"/>
      </w:pPr>
    </w:lvl>
    <w:lvl w:ilvl="4" w:tplc="5C36F66E">
      <w:start w:val="1"/>
      <w:numFmt w:val="bullet"/>
      <w:lvlText w:val="○"/>
      <w:lvlJc w:val="left"/>
      <w:pPr>
        <w:ind w:left="3600" w:hanging="360"/>
      </w:pPr>
    </w:lvl>
    <w:lvl w:ilvl="5" w:tplc="6AD60252">
      <w:start w:val="1"/>
      <w:numFmt w:val="bullet"/>
      <w:lvlText w:val="■"/>
      <w:lvlJc w:val="left"/>
      <w:pPr>
        <w:ind w:left="4320" w:hanging="360"/>
      </w:pPr>
    </w:lvl>
    <w:lvl w:ilvl="6" w:tplc="86D64EF8">
      <w:start w:val="1"/>
      <w:numFmt w:val="bullet"/>
      <w:lvlText w:val="●"/>
      <w:lvlJc w:val="left"/>
      <w:pPr>
        <w:ind w:left="5040" w:hanging="360"/>
      </w:pPr>
    </w:lvl>
    <w:lvl w:ilvl="7" w:tplc="D54418AC">
      <w:start w:val="1"/>
      <w:numFmt w:val="bullet"/>
      <w:lvlText w:val="●"/>
      <w:lvlJc w:val="left"/>
      <w:pPr>
        <w:ind w:left="5760" w:hanging="360"/>
      </w:pPr>
    </w:lvl>
    <w:lvl w:ilvl="8" w:tplc="C88C6012">
      <w:start w:val="1"/>
      <w:numFmt w:val="bullet"/>
      <w:lvlText w:val="●"/>
      <w:lvlJc w:val="left"/>
      <w:pPr>
        <w:ind w:left="6480" w:hanging="360"/>
      </w:pPr>
    </w:lvl>
  </w:abstractNum>
  <w:abstractNum w:abstractNumId="2" w15:restartNumberingAfterBreak="0">
    <w:nsid w:val="7A9D2079"/>
    <w:multiLevelType w:val="hybridMultilevel"/>
    <w:tmpl w:val="109A57DE"/>
    <w:lvl w:ilvl="0" w:tplc="3D56929C">
      <w:start w:val="1"/>
      <w:numFmt w:val="bullet"/>
      <w:lvlText w:val="•"/>
      <w:lvlJc w:val="left"/>
      <w:pPr>
        <w:ind w:left="720" w:hanging="360"/>
      </w:pPr>
    </w:lvl>
    <w:lvl w:ilvl="1" w:tplc="0F2AFE3A">
      <w:numFmt w:val="decimal"/>
      <w:lvlText w:val=""/>
      <w:lvlJc w:val="left"/>
    </w:lvl>
    <w:lvl w:ilvl="2" w:tplc="7FCA0D82">
      <w:numFmt w:val="decimal"/>
      <w:lvlText w:val=""/>
      <w:lvlJc w:val="left"/>
    </w:lvl>
    <w:lvl w:ilvl="3" w:tplc="8E0260FE">
      <w:numFmt w:val="decimal"/>
      <w:lvlText w:val=""/>
      <w:lvlJc w:val="left"/>
    </w:lvl>
    <w:lvl w:ilvl="4" w:tplc="85CA3B8A">
      <w:numFmt w:val="decimal"/>
      <w:lvlText w:val=""/>
      <w:lvlJc w:val="left"/>
    </w:lvl>
    <w:lvl w:ilvl="5" w:tplc="AC20E480">
      <w:numFmt w:val="decimal"/>
      <w:lvlText w:val=""/>
      <w:lvlJc w:val="left"/>
    </w:lvl>
    <w:lvl w:ilvl="6" w:tplc="9C6A2FF0">
      <w:numFmt w:val="decimal"/>
      <w:lvlText w:val=""/>
      <w:lvlJc w:val="left"/>
    </w:lvl>
    <w:lvl w:ilvl="7" w:tplc="8D9ADB42">
      <w:numFmt w:val="decimal"/>
      <w:lvlText w:val=""/>
      <w:lvlJc w:val="left"/>
    </w:lvl>
    <w:lvl w:ilvl="8" w:tplc="33746EC8">
      <w:numFmt w:val="decimal"/>
      <w:lvlText w:val=""/>
      <w:lvlJc w:val="left"/>
    </w:lvl>
  </w:abstractNum>
  <w:num w:numId="1" w16cid:durableId="584385318">
    <w:abstractNumId w:val="1"/>
    <w:lvlOverride w:ilvl="0">
      <w:startOverride w:val="1"/>
    </w:lvlOverride>
  </w:num>
  <w:num w:numId="2" w16cid:durableId="1750076762">
    <w:abstractNumId w:val="2"/>
    <w:lvlOverride w:ilvl="0">
      <w:startOverride w:val="1"/>
    </w:lvlOverride>
  </w:num>
  <w:num w:numId="3" w16cid:durableId="16327052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315"/>
    <w:rsid w:val="00146315"/>
    <w:rsid w:val="006F0AB9"/>
    <w:rsid w:val="007A26F7"/>
    <w:rsid w:val="007B6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AF126"/>
  <w15:docId w15:val="{11248923-826F-4DE9-8D4D-EBD4CB4FC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8B4513"/>
      <w:sz w:val="36"/>
      <w:szCs w:val="36"/>
    </w:rPr>
  </w:style>
  <w:style w:type="paragraph" w:styleId="Heading2">
    <w:name w:val="heading 2"/>
    <w:uiPriority w:val="9"/>
    <w:unhideWhenUsed/>
    <w:qFormat/>
    <w:pPr>
      <w:spacing w:before="240" w:after="160"/>
      <w:outlineLvl w:val="1"/>
    </w:pPr>
    <w:rPr>
      <w:b/>
      <w:bCs/>
      <w:color w:val="8B4513"/>
      <w:sz w:val="28"/>
      <w:szCs w:val="28"/>
    </w:rPr>
  </w:style>
  <w:style w:type="paragraph" w:styleId="Heading3">
    <w:name w:val="heading 3"/>
    <w:uiPriority w:val="9"/>
    <w:unhideWhenUsed/>
    <w:qFormat/>
    <w:pPr>
      <w:spacing w:before="20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4043</Words>
  <Characters>25672</Characters>
  <Application>Microsoft Office Word</Application>
  <DocSecurity>0</DocSecurity>
  <Lines>696</Lines>
  <Paragraphs>277</Paragraphs>
  <ScaleCrop>false</ScaleCrop>
  <Company/>
  <LinksUpToDate>false</LinksUpToDate>
  <CharactersWithSpaces>29431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ampsson ampsson</cp:lastModifiedBy>
  <cp:revision>2</cp:revision>
  <dcterms:created xsi:type="dcterms:W3CDTF">2026-02-25T01:04:00Z</dcterms:created>
  <dcterms:modified xsi:type="dcterms:W3CDTF">2026-02-25T01:04:00Z</dcterms:modified>
</cp:coreProperties>
</file>