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D36B" w14:textId="77777777" w:rsidR="008C05B8" w:rsidRDefault="00000000">
      <w:pPr>
        <w:spacing w:before="3000"/>
        <w:jc w:val="center"/>
      </w:pPr>
      <w:r>
        <w:rPr>
          <w:b/>
          <w:bCs/>
          <w:color w:val="1B3A5C"/>
          <w:sz w:val="48"/>
          <w:szCs w:val="48"/>
        </w:rPr>
        <w:t>ROBINHOOD MARKETS (HOOD)</w:t>
      </w:r>
    </w:p>
    <w:p w14:paraId="714A74BA" w14:textId="77777777" w:rsidR="008C05B8" w:rsidRDefault="00000000">
      <w:pPr>
        <w:spacing w:after="200"/>
        <w:jc w:val="center"/>
      </w:pPr>
      <w:r>
        <w:rPr>
          <w:color w:val="2E5984"/>
          <w:sz w:val="32"/>
          <w:szCs w:val="32"/>
        </w:rPr>
        <w:t>Fintech Moat Antifragility Analysis</w:t>
      </w:r>
    </w:p>
    <w:p w14:paraId="506D0100" w14:textId="77777777" w:rsidR="008C05B8" w:rsidRDefault="00000000">
      <w:pPr>
        <w:spacing w:after="100"/>
        <w:jc w:val="center"/>
      </w:pPr>
      <w:r>
        <w:rPr>
          <w:color w:val="666666"/>
        </w:rPr>
        <w:t>Adapted from the Stoffel-</w:t>
      </w:r>
      <w:proofErr w:type="spellStart"/>
      <w:r>
        <w:rPr>
          <w:color w:val="666666"/>
        </w:rPr>
        <w:t>Feroldi</w:t>
      </w:r>
      <w:proofErr w:type="spellEnd"/>
      <w:r>
        <w:rPr>
          <w:color w:val="666666"/>
        </w:rPr>
        <w:t xml:space="preserve"> × Bustamante Data Infrastructure</w:t>
      </w:r>
    </w:p>
    <w:p w14:paraId="00CC398A" w14:textId="77777777" w:rsidR="008C05B8" w:rsidRDefault="00000000">
      <w:pPr>
        <w:spacing w:after="100"/>
        <w:jc w:val="center"/>
      </w:pPr>
      <w:r>
        <w:rPr>
          <w:color w:val="666666"/>
        </w:rPr>
        <w:t>Antifragility Framework v1.0 for Consumer Fintech / Brokerage</w:t>
      </w:r>
    </w:p>
    <w:p w14:paraId="35C8231F" w14:textId="77777777" w:rsidR="008C05B8" w:rsidRDefault="00000000">
      <w:pPr>
        <w:spacing w:after="400"/>
        <w:jc w:val="center"/>
      </w:pPr>
      <w:r>
        <w:rPr>
          <w:color w:val="888888"/>
          <w:sz w:val="22"/>
          <w:szCs w:val="22"/>
        </w:rPr>
        <w:t>March 10, 2026</w:t>
      </w:r>
    </w:p>
    <w:p w14:paraId="59F83ABF" w14:textId="77777777" w:rsidR="008C05B8" w:rsidRDefault="00000000">
      <w:pPr>
        <w:spacing w:after="200"/>
        <w:jc w:val="center"/>
      </w:pPr>
      <w:r>
        <w:rPr>
          <w:b/>
          <w:bCs/>
          <w:sz w:val="22"/>
          <w:szCs w:val="22"/>
        </w:rPr>
        <w:t>Current Price: $79.15 | Market Cap: $71.3B | EV/Revenue (LTM): ~19x</w:t>
      </w:r>
    </w:p>
    <w:p w14:paraId="22F29891" w14:textId="77777777" w:rsidR="008C05B8" w:rsidRDefault="00000000">
      <w:r>
        <w:br w:type="page"/>
      </w:r>
    </w:p>
    <w:p w14:paraId="4FD3AAB9" w14:textId="77777777" w:rsidR="008C05B8" w:rsidRDefault="00000000">
      <w:pPr>
        <w:pStyle w:val="Heading1"/>
      </w:pPr>
      <w:r>
        <w:lastRenderedPageBreak/>
        <w:t>FRAMEWORK ADAPTATION: WHY FINTECH REQUIRES A DIFFERENT LENS</w:t>
      </w:r>
    </w:p>
    <w:p w14:paraId="06494FF4" w14:textId="77777777" w:rsidR="008C05B8" w:rsidRDefault="00000000">
      <w:pPr>
        <w:spacing w:after="120"/>
      </w:pPr>
      <w:r>
        <w:t xml:space="preserve">Your Data Infrastructure Antifragility Framework (Stage 1 + Stage 2) was purpose-built for companies whose moats come from regulatory designation (named in law), benchmark pricing authority, contributed data networks, passive capital gravity, and historical depth. Robinhood Markets (HOOD) </w:t>
      </w:r>
      <w:proofErr w:type="gramStart"/>
      <w:r>
        <w:t>is</w:t>
      </w:r>
      <w:proofErr w:type="gramEnd"/>
      <w:r>
        <w:t xml:space="preserve"> none of these things. It is a consumer-facing fintech brokerage platform. Its moats are categorically different.</w:t>
      </w:r>
    </w:p>
    <w:p w14:paraId="458D07D3" w14:textId="77777777" w:rsidR="008C05B8" w:rsidRDefault="00000000">
      <w:pPr>
        <w:spacing w:after="120"/>
      </w:pPr>
      <w:r>
        <w:t>The adaptation preserves your framework’s architecture (5-moat taxonomy → 4-dimension scoring → modifiers → valuation gate → scenario modeling → verdict) but replaces the moat types and dimensions with ones calibrated for fintech/brokerage economics:</w:t>
      </w:r>
    </w:p>
    <w:p w14:paraId="4E720EBB" w14:textId="77777777" w:rsidR="008C05B8" w:rsidRDefault="00000000">
      <w:pPr>
        <w:spacing w:before="200" w:after="120"/>
      </w:pPr>
      <w:r>
        <w:rPr>
          <w:b/>
          <w:bCs/>
          <w:color w:val="3A7CA5"/>
          <w:sz w:val="22"/>
          <w:szCs w:val="22"/>
        </w:rPr>
        <w:t>Original Data Infrastructure Moats → Adapted Fintech Moats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C05B8" w14:paraId="28B2BB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8ABF70D" w14:textId="77777777" w:rsidR="008C05B8" w:rsidRDefault="00000000">
            <w:r>
              <w:rPr>
                <w:b/>
                <w:bCs/>
                <w:color w:val="FFFFFF"/>
              </w:rPr>
              <w:t>Data Infrastructure Moat</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315C67" w14:textId="77777777" w:rsidR="008C05B8" w:rsidRDefault="00000000">
            <w:r>
              <w:rPr>
                <w:b/>
                <w:bCs/>
                <w:color w:val="FFFFFF"/>
              </w:rPr>
              <w:t>Fintech/Brokerage Equivalent</w:t>
            </w:r>
          </w:p>
        </w:tc>
      </w:tr>
      <w:tr w:rsidR="008C05B8" w14:paraId="4E6A56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CF0BE9" w14:textId="77777777" w:rsidR="008C05B8" w:rsidRDefault="00000000">
            <w:r>
              <w:t>Regulatory Designation (Named in Law)</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08ECA0" w14:textId="77777777" w:rsidR="008C05B8" w:rsidRDefault="00000000">
            <w:r>
              <w:t>Regulatory Licensing &amp; Compliance Barrier (Broker-dealer, SIPC, money transmitter, crypto licenses)</w:t>
            </w:r>
          </w:p>
        </w:tc>
      </w:tr>
      <w:tr w:rsidR="008C05B8" w14:paraId="054874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DAB35" w14:textId="77777777" w:rsidR="008C05B8" w:rsidRDefault="00000000">
            <w:r>
              <w:t>Benchmark Pricing Authority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7CE" w14:textId="77777777" w:rsidR="008C05B8" w:rsidRDefault="00000000">
            <w:r>
              <w:t>Payment for Order Flow / Market-Making Position (contractual revenue embedded in market structure)</w:t>
            </w:r>
          </w:p>
        </w:tc>
      </w:tr>
      <w:tr w:rsidR="008C05B8" w14:paraId="2CBA08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B2C3B5" w14:textId="77777777" w:rsidR="008C05B8" w:rsidRDefault="00000000">
            <w:r>
              <w:t>Contributed Data Network</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0AE32D" w14:textId="77777777" w:rsidR="008C05B8" w:rsidRDefault="00000000">
            <w:r>
              <w:t>Customer Data Flywheel &amp; Behavioral Lock-in (cross-product engagement, financial identity)</w:t>
            </w:r>
          </w:p>
        </w:tc>
      </w:tr>
      <w:tr w:rsidR="008C05B8" w14:paraId="3DE666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2119" w14:textId="77777777" w:rsidR="008C05B8" w:rsidRDefault="00000000">
            <w:r>
              <w:t>Passive Capital Gravity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FC0DA" w14:textId="77777777" w:rsidR="008C05B8" w:rsidRDefault="00000000">
            <w:r>
              <w:t>Asset Gravity &amp; Net Deposit Momentum (compounding AUC/NII as balances grow)</w:t>
            </w:r>
          </w:p>
        </w:tc>
      </w:tr>
      <w:tr w:rsidR="008C05B8" w14:paraId="6AA820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EF8298" w14:textId="77777777" w:rsidR="008C05B8" w:rsidRDefault="00000000">
            <w:r>
              <w:t>Historical Depth</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71ED43" w14:textId="77777777" w:rsidR="008C05B8" w:rsidRDefault="00000000">
            <w:r>
              <w:t>Brand Franchise &amp; Generational Positioning (cultural imprint on Gen Z/Millennial cohort)</w:t>
            </w:r>
          </w:p>
        </w:tc>
      </w:tr>
    </w:tbl>
    <w:p w14:paraId="4EFB2215" w14:textId="77777777" w:rsidR="008C05B8" w:rsidRDefault="008C05B8">
      <w:pPr>
        <w:spacing w:after="120"/>
      </w:pPr>
    </w:p>
    <w:p w14:paraId="13575C2B" w14:textId="77777777" w:rsidR="008C05B8" w:rsidRDefault="00000000">
      <w:pPr>
        <w:spacing w:after="120"/>
      </w:pPr>
      <w:r>
        <w:t>The scoring dimensions are similarly adapted: Legal &amp; Regulatory Fortress becomes Regulatory Licensing &amp; Compliance Moat; Data Non-Replicability becomes Customer Stickiness &amp; Switching Costs; Business Model &amp; AI Adaptability stays but is recalibrated for fintech; Market Structure &amp; Competitive Position stays but is calibrated for brokerage.</w:t>
      </w:r>
    </w:p>
    <w:p w14:paraId="19779D9D" w14:textId="77777777" w:rsidR="008C05B8" w:rsidRDefault="00000000">
      <w:r>
        <w:br w:type="page"/>
      </w:r>
    </w:p>
    <w:p w14:paraId="1CE64829" w14:textId="77777777" w:rsidR="008C05B8" w:rsidRDefault="00000000">
      <w:pPr>
        <w:pStyle w:val="Heading1"/>
      </w:pPr>
      <w:r>
        <w:lastRenderedPageBreak/>
        <w:t>STAGE 1: FINTECH MOAT TAXONOMY PRE-SCREEN</w:t>
      </w:r>
    </w:p>
    <w:p w14:paraId="496B023E" w14:textId="77777777" w:rsidR="008C05B8" w:rsidRDefault="00000000">
      <w:pPr>
        <w:pStyle w:val="Heading2"/>
      </w:pPr>
      <w:r>
        <w:t>Company Overview</w:t>
      </w:r>
    </w:p>
    <w:p w14:paraId="2941EAF4" w14:textId="77777777" w:rsidR="008C05B8" w:rsidRDefault="00000000">
      <w:pPr>
        <w:spacing w:after="120"/>
      </w:pPr>
      <w:r>
        <w:rPr>
          <w:b/>
          <w:bCs/>
        </w:rPr>
        <w:t xml:space="preserve">Company: </w:t>
      </w:r>
      <w:r>
        <w:t>Robinhood Markets, Inc. (NASDAQ: HOOD)</w:t>
      </w:r>
    </w:p>
    <w:p w14:paraId="60DF51BB" w14:textId="77777777" w:rsidR="008C05B8" w:rsidRDefault="00000000">
      <w:pPr>
        <w:spacing w:after="120"/>
      </w:pPr>
      <w:r>
        <w:rPr>
          <w:b/>
          <w:bCs/>
        </w:rPr>
        <w:t xml:space="preserve">Core Products: </w:t>
      </w:r>
      <w:r>
        <w:t>Commission-free equity, options, crypto, and futures trading; Robinhood Gold subscription ($5/</w:t>
      </w:r>
      <w:proofErr w:type="spellStart"/>
      <w:r>
        <w:t>mo</w:t>
      </w:r>
      <w:proofErr w:type="spellEnd"/>
      <w:r>
        <w:t>); Robinhood Retirement (IRA with 1-3% match); Robinhood Gold Card (3% cashback credit card); Robinhood Banking; Prediction Markets; Robinhood Strategies (digital advisory); Robinhood Legend (active trader platform)</w:t>
      </w:r>
    </w:p>
    <w:p w14:paraId="724F4A86" w14:textId="77777777" w:rsidR="008C05B8" w:rsidRDefault="00000000">
      <w:pPr>
        <w:spacing w:after="120"/>
      </w:pPr>
      <w:r>
        <w:rPr>
          <w:b/>
          <w:bCs/>
        </w:rPr>
        <w:t xml:space="preserve">Revenue Model: </w:t>
      </w:r>
      <w:r>
        <w:t>Hybrid — Transaction-based (PFOF, crypto spread, options/equities rebates), Net Interest Income (margin lending, cash sweep, securities lending), Subscription (Gold), Advisory fees</w:t>
      </w:r>
    </w:p>
    <w:p w14:paraId="66EADD7B" w14:textId="77777777" w:rsidR="008C05B8" w:rsidRDefault="00000000">
      <w:pPr>
        <w:spacing w:after="120"/>
      </w:pPr>
      <w:r>
        <w:rPr>
          <w:b/>
          <w:bCs/>
        </w:rPr>
        <w:t xml:space="preserve">FY2025 Revenue: </w:t>
      </w:r>
      <w:r>
        <w:t>$4.5B (+52% YoY). Net Income: $1.9B. Diluted EPS: $2.05. Adjusted EBITDA: $2.5B (56% margin).</w:t>
      </w:r>
    </w:p>
    <w:p w14:paraId="5B3F999D" w14:textId="77777777" w:rsidR="008C05B8" w:rsidRDefault="00000000">
      <w:pPr>
        <w:spacing w:after="120"/>
      </w:pPr>
      <w:proofErr w:type="gramStart"/>
      <w:r>
        <w:rPr>
          <w:b/>
          <w:bCs/>
        </w:rPr>
        <w:t>Funded Customers</w:t>
      </w:r>
      <w:proofErr w:type="gramEnd"/>
      <w:r>
        <w:rPr>
          <w:b/>
          <w:bCs/>
        </w:rPr>
        <w:t xml:space="preserve">: </w:t>
      </w:r>
      <w:r>
        <w:t>27.0 million. Investment Accounts: 28.4 million. Gold Subscribers: 4.2 million (+58% YoY).</w:t>
      </w:r>
    </w:p>
    <w:p w14:paraId="31F50563" w14:textId="77777777" w:rsidR="008C05B8" w:rsidRDefault="00000000">
      <w:pPr>
        <w:spacing w:after="120"/>
      </w:pPr>
      <w:r>
        <w:rPr>
          <w:b/>
          <w:bCs/>
        </w:rPr>
        <w:t xml:space="preserve">Total Platform Assets: </w:t>
      </w:r>
      <w:r>
        <w:t>$324B (+68% YoY). Net Deposits: $68.1B in 2025 (35% asset growth rate).</w:t>
      </w:r>
    </w:p>
    <w:p w14:paraId="1FDC6947" w14:textId="77777777" w:rsidR="008C05B8" w:rsidRDefault="00000000">
      <w:pPr>
        <w:spacing w:after="120"/>
      </w:pPr>
      <w:r>
        <w:rPr>
          <w:b/>
          <w:bCs/>
        </w:rPr>
        <w:t xml:space="preserve">CEO: </w:t>
      </w:r>
      <w:r>
        <w:t>Vladimir Tenev (co-founder). CFO: Shiv Verma.</w:t>
      </w:r>
    </w:p>
    <w:p w14:paraId="65BF991D" w14:textId="77777777" w:rsidR="008C05B8" w:rsidRDefault="00000000">
      <w:r>
        <w:br w:type="page"/>
      </w:r>
    </w:p>
    <w:p w14:paraId="0261E2F4" w14:textId="77777777" w:rsidR="008C05B8" w:rsidRDefault="00000000">
      <w:pPr>
        <w:pStyle w:val="Heading2"/>
      </w:pPr>
      <w:r>
        <w:lastRenderedPageBreak/>
        <w:t>MOAT TYPE 1: REGULATORY LICENSING &amp; COMPLIANCE BARRIER</w:t>
      </w:r>
    </w:p>
    <w:p w14:paraId="004C4FF6" w14:textId="77777777" w:rsidR="008C05B8" w:rsidRDefault="00000000">
      <w:pPr>
        <w:spacing w:after="120"/>
      </w:pPr>
      <w:r>
        <w:rPr>
          <w:i/>
          <w:iCs/>
          <w:color w:val="888888"/>
        </w:rPr>
        <w:t>Equivalent to: Regulatory Designation (Data Infra Framework)</w:t>
      </w:r>
    </w:p>
    <w:p w14:paraId="0AA42F05" w14:textId="77777777" w:rsidR="008C05B8" w:rsidRDefault="00000000">
      <w:pPr>
        <w:spacing w:after="120"/>
      </w:pPr>
      <w:r>
        <w:t>LLM/AI Impact: NOT DIRECTLY RELEVANT — this is a traditional financial regulatory barrier</w:t>
      </w:r>
    </w:p>
    <w:p w14:paraId="57AC8217" w14:textId="77777777" w:rsidR="008C05B8" w:rsidRDefault="00000000">
      <w:pPr>
        <w:spacing w:before="200" w:after="120"/>
      </w:pPr>
      <w:r>
        <w:rPr>
          <w:b/>
          <w:bCs/>
          <w:color w:val="3A7CA5"/>
          <w:sz w:val="22"/>
          <w:szCs w:val="22"/>
        </w:rPr>
        <w:t>Assessment</w:t>
      </w:r>
    </w:p>
    <w:p w14:paraId="10078D8D" w14:textId="77777777" w:rsidR="008C05B8" w:rsidRDefault="00000000">
      <w:pPr>
        <w:spacing w:after="120"/>
      </w:pPr>
      <w:r>
        <w:t xml:space="preserve">Robinhood operates through two SEC-registered broker-dealer subsidiaries (Robinhood Financial LLC and Robinhood Securities LLC), both FINRA members and SIPC-insured. Robinhood Securities serves as the clearing broker. Robinhood Crypto LLC </w:t>
      </w:r>
      <w:proofErr w:type="gramStart"/>
      <w:r>
        <w:t>operates</w:t>
      </w:r>
      <w:proofErr w:type="gramEnd"/>
      <w:r>
        <w:t xml:space="preserve"> crypto trading but is NOT a FINRA member or SIPC-insured entity.</w:t>
      </w:r>
    </w:p>
    <w:p w14:paraId="0CCE0D2D" w14:textId="77777777" w:rsidR="008C05B8" w:rsidRDefault="00000000">
      <w:pPr>
        <w:spacing w:after="120"/>
      </w:pPr>
      <w:r>
        <w:t>The broker-dealer licensing barrier is real but not rare. There are approximately 3,400 FINRA-registered broker-dealers in the US. The barrier to entry is meaningful (capital requirements, compliance infrastructure, regulatory examinations) but not a moat in the way NRSRO designation is for credit rating agencies. Any well-capitalized fintech (</w:t>
      </w:r>
      <w:proofErr w:type="spellStart"/>
      <w:r>
        <w:t>Webull</w:t>
      </w:r>
      <w:proofErr w:type="spellEnd"/>
      <w:r>
        <w:t xml:space="preserve">, SoFi, Public.com) can and has obtained </w:t>
      </w:r>
      <w:proofErr w:type="gramStart"/>
      <w:r>
        <w:t>broker</w:t>
      </w:r>
      <w:proofErr w:type="gramEnd"/>
      <w:r>
        <w:t>-dealer registration.</w:t>
      </w:r>
    </w:p>
    <w:p w14:paraId="57DC3E9A" w14:textId="77777777" w:rsidR="008C05B8" w:rsidRDefault="00000000">
      <w:pPr>
        <w:spacing w:after="120"/>
      </w:pPr>
      <w:r>
        <w:t>Robinhood’s regulatory history is a net negative: $65M SEC penalty (2020), $70M FINRA fine (2021), $30M NYDFS penalty (2022), $45M SEC penalty (Jan 2025), $29.75M FINRA fine (2025). This pattern of repeated enforcement actions suggests a compliance culture that treats fines as a cost of doing business rather than a signal to strengthen controls.</w:t>
      </w:r>
    </w:p>
    <w:p w14:paraId="375A902F" w14:textId="77777777" w:rsidR="008C05B8" w:rsidRDefault="00000000">
      <w:pPr>
        <w:spacing w:before="200" w:after="120"/>
      </w:pPr>
      <w:r>
        <w:rPr>
          <w:b/>
          <w:bCs/>
          <w:color w:val="3A7CA5"/>
          <w:sz w:val="22"/>
          <w:szCs w:val="22"/>
        </w:rPr>
        <w:t>Scoring</w:t>
      </w:r>
    </w:p>
    <w:p w14:paraId="285A26AE" w14:textId="77777777" w:rsidR="008C05B8" w:rsidRDefault="00000000">
      <w:pPr>
        <w:spacing w:after="120"/>
      </w:pPr>
      <w:r>
        <w:rPr>
          <w:b/>
          <w:bCs/>
        </w:rPr>
        <w:t xml:space="preserve">Regulatory Licensing Level: </w:t>
      </w:r>
      <w:r>
        <w:t>Level 1 — Industry Participant (No Legal Force)</w:t>
      </w:r>
    </w:p>
    <w:p w14:paraId="258A9F41" w14:textId="77777777" w:rsidR="008C05B8" w:rsidRDefault="00000000">
      <w:pPr>
        <w:spacing w:after="120"/>
      </w:pPr>
      <w:r>
        <w:t>Robinhood holds standard broker-dealer licenses. It has no regulatory designation, no named-in-law status, no NRSRO equivalent. The licenses are necessary to operate but do not create a competitive moat. Multiple competitors hold identical licenses. The only regulatory moat in brokerage is scale-driven: the cost of compliance at $324B AUC is more efficiently absorbed than at $10B AUC, but this is a scale economy, not a regulatory designation.</w:t>
      </w:r>
    </w:p>
    <w:p w14:paraId="520C4360" w14:textId="77777777" w:rsidR="008C05B8" w:rsidRDefault="00000000">
      <w:pPr>
        <w:spacing w:after="120"/>
      </w:pPr>
      <w:r>
        <w:rPr>
          <w:b/>
          <w:bCs/>
        </w:rPr>
        <w:t xml:space="preserve">Disruption Path: </w:t>
      </w:r>
      <w:r>
        <w:t xml:space="preserve">A new fintech can obtain broker-dealer registration in 6-18 months with sufficient capital and legal infrastructure. </w:t>
      </w:r>
      <w:proofErr w:type="spellStart"/>
      <w:r>
        <w:t>Webull</w:t>
      </w:r>
      <w:proofErr w:type="spellEnd"/>
      <w:r>
        <w:t xml:space="preserve">, Public.com, and </w:t>
      </w:r>
      <w:proofErr w:type="spellStart"/>
      <w:r>
        <w:t>Moomoo</w:t>
      </w:r>
      <w:proofErr w:type="spellEnd"/>
      <w:r>
        <w:t xml:space="preserve"> have all done this.</w:t>
      </w:r>
    </w:p>
    <w:p w14:paraId="3B818DA5" w14:textId="77777777" w:rsidR="008C05B8" w:rsidRDefault="00000000">
      <w:r>
        <w:br w:type="page"/>
      </w:r>
    </w:p>
    <w:p w14:paraId="7423CFA0" w14:textId="77777777" w:rsidR="008C05B8" w:rsidRDefault="00000000">
      <w:pPr>
        <w:pStyle w:val="Heading2"/>
      </w:pPr>
      <w:r>
        <w:lastRenderedPageBreak/>
        <w:t>MOAT TYPE 2: PAYMENT FOR ORDER FLOW / MARKET-MAKING POSITION</w:t>
      </w:r>
    </w:p>
    <w:p w14:paraId="1CE1216B" w14:textId="77777777" w:rsidR="008C05B8" w:rsidRDefault="00000000">
      <w:pPr>
        <w:spacing w:after="120"/>
      </w:pPr>
      <w:r>
        <w:rPr>
          <w:i/>
          <w:iCs/>
          <w:color w:val="888888"/>
        </w:rPr>
        <w:t>Equivalent to: Benchmark Pricing Authority (Data Infra Framework)</w:t>
      </w:r>
    </w:p>
    <w:p w14:paraId="03CBB5C1" w14:textId="77777777" w:rsidR="008C05B8" w:rsidRDefault="00000000">
      <w:pPr>
        <w:spacing w:before="200" w:after="120"/>
      </w:pPr>
      <w:r>
        <w:rPr>
          <w:b/>
          <w:bCs/>
          <w:color w:val="3A7CA5"/>
          <w:sz w:val="22"/>
          <w:szCs w:val="22"/>
        </w:rPr>
        <w:t>Assessment</w:t>
      </w:r>
    </w:p>
    <w:p w14:paraId="39086336" w14:textId="77777777" w:rsidR="008C05B8" w:rsidRDefault="00000000">
      <w:pPr>
        <w:spacing w:after="120"/>
      </w:pPr>
      <w:r>
        <w:t>PFOF is Robinhood’s original business model innovation: routing customer equity and options orders to market makers (Citadel Securities, Virtu Financial) in exchange for payments. This revenue is structurally embedded in US equity market microstructure, but it is NOT contractually mandated like a benchmark price. It exists because market makers find it profitable to pay for retail order flow.</w:t>
      </w:r>
    </w:p>
    <w:p w14:paraId="11D2EE01" w14:textId="77777777" w:rsidR="008C05B8" w:rsidRDefault="00000000">
      <w:pPr>
        <w:spacing w:after="120"/>
      </w:pPr>
      <w:r>
        <w:t>PFOF regulatory risk has materially declined. The SEC under Chair Gary Gensler proposed an order competition rule that could have effectively banned PFOF. Under Chair Paul Atkins (appointed 2025), this rule was withdrawn as part of a broader rollback of pending market structure proposals. PFOF appears safe for the foreseeable future under the current regulatory regime.</w:t>
      </w:r>
    </w:p>
    <w:p w14:paraId="6401589B" w14:textId="77777777" w:rsidR="008C05B8" w:rsidRDefault="00000000">
      <w:pPr>
        <w:spacing w:after="120"/>
      </w:pPr>
      <w:r>
        <w:t>However, PFOF is a declining share of Robinhood’s total revenue. As of late 2025, traditional equity PFOF represents only approximately 5% of total revenue. Options rebates and crypto spread/rebates are larger contributors. The company’s revenue has diversified significantly away from PFOF dependency.</w:t>
      </w:r>
    </w:p>
    <w:p w14:paraId="22B10DA6" w14:textId="77777777" w:rsidR="008C05B8" w:rsidRDefault="00000000">
      <w:pPr>
        <w:spacing w:before="200" w:after="120"/>
      </w:pPr>
      <w:r>
        <w:rPr>
          <w:b/>
          <w:bCs/>
          <w:color w:val="3A7CA5"/>
          <w:sz w:val="22"/>
          <w:szCs w:val="22"/>
        </w:rPr>
        <w:t>Revenue Composition (FY2025 Approximate)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8C05B8" w14:paraId="5B1636F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655CE3" w14:textId="77777777" w:rsidR="008C05B8" w:rsidRDefault="00000000">
            <w:r>
              <w:rPr>
                <w:b/>
                <w:bCs/>
                <w:color w:val="FFFFFF"/>
              </w:rPr>
              <w:t>Revenue Stream</w:t>
            </w:r>
          </w:p>
        </w:tc>
        <w:tc>
          <w:tcPr>
            <w:tcW w:w="2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A96A86" w14:textId="77777777" w:rsidR="008C05B8" w:rsidRDefault="00000000">
            <w:r>
              <w:rPr>
                <w:b/>
                <w:bCs/>
                <w:color w:val="FFFFFF"/>
              </w:rPr>
              <w:t>Est. FY2025</w:t>
            </w:r>
          </w:p>
        </w:tc>
        <w:tc>
          <w:tcPr>
            <w:tcW w:w="2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686C79" w14:textId="77777777" w:rsidR="008C05B8" w:rsidRDefault="00000000">
            <w:r>
              <w:rPr>
                <w:b/>
                <w:bCs/>
                <w:color w:val="FFFFFF"/>
              </w:rPr>
              <w:t>% of Total</w:t>
            </w:r>
          </w:p>
        </w:tc>
      </w:tr>
      <w:tr w:rsidR="008C05B8" w14:paraId="24876EE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47C033" w14:textId="77777777" w:rsidR="008C05B8" w:rsidRDefault="00000000">
            <w:r>
              <w:t>Options transaction revenue</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A56B40" w14:textId="77777777" w:rsidR="008C05B8" w:rsidRDefault="00000000">
            <w:r>
              <w:t>~$1.05B</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104081" w14:textId="77777777" w:rsidR="008C05B8" w:rsidRDefault="00000000">
            <w:r>
              <w:t>~23%</w:t>
            </w:r>
          </w:p>
        </w:tc>
      </w:tr>
      <w:tr w:rsidR="008C05B8" w14:paraId="14D2A1C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760AC" w14:textId="77777777" w:rsidR="008C05B8" w:rsidRDefault="00000000">
            <w:r>
              <w:t>Crypto transaction revenue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99DF" w14:textId="77777777" w:rsidR="008C05B8" w:rsidRDefault="00000000">
            <w:r>
              <w:t>~$900M</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FF5BA" w14:textId="77777777" w:rsidR="008C05B8" w:rsidRDefault="00000000">
            <w:r>
              <w:t>~20%</w:t>
            </w:r>
          </w:p>
        </w:tc>
      </w:tr>
      <w:tr w:rsidR="008C05B8" w14:paraId="3E49F50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946A5D" w14:textId="77777777" w:rsidR="008C05B8" w:rsidRDefault="00000000">
            <w:r>
              <w:t>Equities transaction revenue</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C1584A" w14:textId="77777777" w:rsidR="008C05B8" w:rsidRDefault="00000000">
            <w:r>
              <w:t>~$280M</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64D4F1" w14:textId="77777777" w:rsidR="008C05B8" w:rsidRDefault="00000000">
            <w:r>
              <w:t>~6%</w:t>
            </w:r>
          </w:p>
        </w:tc>
      </w:tr>
      <w:tr w:rsidR="008C05B8" w14:paraId="09F844F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9A7FE" w14:textId="77777777" w:rsidR="008C05B8" w:rsidRDefault="00000000">
            <w:r>
              <w:t xml:space="preserve">Other transaction (futures, prediction </w:t>
            </w:r>
            <w:proofErr w:type="spellStart"/>
            <w:r>
              <w:t>mkts</w:t>
            </w:r>
            <w:proofErr w:type="spellEnd"/>
            <w:r>
              <w:t>, interchange)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E99AF" w14:textId="77777777" w:rsidR="008C05B8" w:rsidRDefault="00000000">
            <w:r>
              <w:t>~$280M</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AA352" w14:textId="77777777" w:rsidR="008C05B8" w:rsidRDefault="00000000">
            <w:r>
              <w:t>~6%</w:t>
            </w:r>
          </w:p>
        </w:tc>
      </w:tr>
      <w:tr w:rsidR="008C05B8" w14:paraId="7199F1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7AE98A" w14:textId="77777777" w:rsidR="008C05B8" w:rsidRDefault="00000000">
            <w:r>
              <w:t>Net Interest Revenue</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5E07E2" w14:textId="77777777" w:rsidR="008C05B8" w:rsidRDefault="00000000">
            <w:r>
              <w:t>~$1.51B</w:t>
            </w:r>
          </w:p>
        </w:tc>
        <w:tc>
          <w:tcPr>
            <w:tcW w:w="2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613E26" w14:textId="77777777" w:rsidR="008C05B8" w:rsidRDefault="00000000">
            <w:r>
              <w:t>~34%</w:t>
            </w:r>
          </w:p>
        </w:tc>
      </w:tr>
      <w:tr w:rsidR="008C05B8" w14:paraId="2E1399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29018" w14:textId="77777777" w:rsidR="008C05B8" w:rsidRDefault="00000000">
            <w:r>
              <w:t>Other (Gold subscriptions, advisory)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EC567" w14:textId="77777777" w:rsidR="008C05B8" w:rsidRDefault="00000000">
            <w:r>
              <w:t>~$480M</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7F4B5" w14:textId="77777777" w:rsidR="008C05B8" w:rsidRDefault="00000000">
            <w:r>
              <w:t>~11%</w:t>
            </w:r>
          </w:p>
        </w:tc>
      </w:tr>
      <w:tr w:rsidR="008C05B8" w14:paraId="2397BE1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107A819" w14:textId="77777777" w:rsidR="008C05B8" w:rsidRDefault="00000000">
            <w:r>
              <w:t>TOTAL</w:t>
            </w:r>
          </w:p>
        </w:tc>
        <w:tc>
          <w:tcPr>
            <w:tcW w:w="26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DC8A677" w14:textId="77777777" w:rsidR="008C05B8" w:rsidRDefault="00000000">
            <w:r>
              <w:t>~$4.5B</w:t>
            </w:r>
          </w:p>
        </w:tc>
        <w:tc>
          <w:tcPr>
            <w:tcW w:w="26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5A705D5" w14:textId="77777777" w:rsidR="008C05B8" w:rsidRDefault="00000000">
            <w:r>
              <w:t>100%</w:t>
            </w:r>
          </w:p>
        </w:tc>
      </w:tr>
    </w:tbl>
    <w:p w14:paraId="0F63EF4B" w14:textId="77777777" w:rsidR="008C05B8" w:rsidRDefault="008C05B8">
      <w:pPr>
        <w:spacing w:after="120"/>
      </w:pPr>
    </w:p>
    <w:p w14:paraId="07DFC48D" w14:textId="77777777" w:rsidR="008C05B8" w:rsidRDefault="00000000">
      <w:pPr>
        <w:spacing w:after="120"/>
      </w:pPr>
      <w:r>
        <w:rPr>
          <w:b/>
          <w:bCs/>
        </w:rPr>
        <w:t xml:space="preserve">Key Insight: </w:t>
      </w:r>
      <w:r>
        <w:t xml:space="preserve">Robinhood is no longer a PFOF company. It is a diversified financial services platform where Net Interest Income (34%) is the single largest revenue stream, followed by options (23%) and crypto (20%). This diversification is </w:t>
      </w:r>
      <w:proofErr w:type="gramStart"/>
      <w:r>
        <w:t>a structural</w:t>
      </w:r>
      <w:proofErr w:type="gramEnd"/>
      <w:r>
        <w:t xml:space="preserve"> positive.</w:t>
      </w:r>
    </w:p>
    <w:p w14:paraId="2E840075" w14:textId="77777777" w:rsidR="008C05B8" w:rsidRDefault="00000000">
      <w:r>
        <w:br w:type="page"/>
      </w:r>
    </w:p>
    <w:p w14:paraId="19125AED" w14:textId="77777777" w:rsidR="008C05B8" w:rsidRDefault="00000000">
      <w:pPr>
        <w:pStyle w:val="Heading2"/>
      </w:pPr>
      <w:r>
        <w:lastRenderedPageBreak/>
        <w:t>MOAT TYPE 3: CUSTOMER DATA FLYWHEEL &amp; BEHAVIORAL LOCK-IN</w:t>
      </w:r>
    </w:p>
    <w:p w14:paraId="70370871" w14:textId="77777777" w:rsidR="008C05B8" w:rsidRDefault="00000000">
      <w:pPr>
        <w:spacing w:after="120"/>
      </w:pPr>
      <w:r>
        <w:rPr>
          <w:i/>
          <w:iCs/>
          <w:color w:val="888888"/>
        </w:rPr>
        <w:t>Equivalent to: Contributed Data Network (Data Infra Framework)</w:t>
      </w:r>
    </w:p>
    <w:p w14:paraId="0A4BC8CC" w14:textId="77777777" w:rsidR="008C05B8" w:rsidRDefault="00000000">
      <w:pPr>
        <w:spacing w:before="200" w:after="120"/>
      </w:pPr>
      <w:r>
        <w:rPr>
          <w:b/>
          <w:bCs/>
          <w:color w:val="3A7CA5"/>
          <w:sz w:val="22"/>
          <w:szCs w:val="22"/>
        </w:rPr>
        <w:t>Assessment</w:t>
      </w:r>
    </w:p>
    <w:p w14:paraId="1862E366" w14:textId="77777777" w:rsidR="008C05B8" w:rsidRDefault="00000000">
      <w:pPr>
        <w:spacing w:after="120"/>
      </w:pPr>
      <w:r>
        <w:t>Robinhood’s strongest emerging moat is its multi-product financial ecosystem creating behavioral lock-in. This is not a contributed data network in the traditional sense (industry participants pooling competitive intelligence). Instead, it is a consumer-facing data flywheel where each product a customer uses increases the switching cost:</w:t>
      </w:r>
    </w:p>
    <w:p w14:paraId="24BA76C1" w14:textId="77777777" w:rsidR="008C05B8" w:rsidRDefault="00000000">
      <w:pPr>
        <w:pStyle w:val="ListParagraph"/>
        <w:numPr>
          <w:ilvl w:val="0"/>
          <w:numId w:val="2"/>
        </w:numPr>
        <w:spacing w:after="80"/>
      </w:pPr>
      <w:r>
        <w:t>Brokerage account (equities, options, crypto, futures) — transferring positions requires ACATS, tax lot migration, and loss of historical performance data</w:t>
      </w:r>
    </w:p>
    <w:p w14:paraId="206A9485" w14:textId="77777777" w:rsidR="008C05B8" w:rsidRDefault="00000000">
      <w:pPr>
        <w:pStyle w:val="ListParagraph"/>
        <w:numPr>
          <w:ilvl w:val="0"/>
          <w:numId w:val="2"/>
        </w:numPr>
        <w:spacing w:after="80"/>
      </w:pPr>
      <w:r>
        <w:t xml:space="preserve">Retirement account (IRA with 1-3% </w:t>
      </w:r>
      <w:proofErr w:type="gramStart"/>
      <w:r>
        <w:t>match) —</w:t>
      </w:r>
      <w:proofErr w:type="gramEnd"/>
      <w:r>
        <w:t xml:space="preserve"> $20B+ in IRA AUC creates long-duration lock-in; losing the match incentive is a real switching cost</w:t>
      </w:r>
    </w:p>
    <w:p w14:paraId="33D073F4" w14:textId="77777777" w:rsidR="008C05B8" w:rsidRDefault="00000000">
      <w:pPr>
        <w:pStyle w:val="ListParagraph"/>
        <w:numPr>
          <w:ilvl w:val="0"/>
          <w:numId w:val="2"/>
        </w:numPr>
        <w:spacing w:after="80"/>
      </w:pPr>
      <w:r>
        <w:t>Gold subscription ($5/</w:t>
      </w:r>
      <w:proofErr w:type="spellStart"/>
      <w:proofErr w:type="gramStart"/>
      <w:r>
        <w:t>mo</w:t>
      </w:r>
      <w:proofErr w:type="spellEnd"/>
      <w:r>
        <w:t>) —</w:t>
      </w:r>
      <w:proofErr w:type="gramEnd"/>
      <w:r>
        <w:t xml:space="preserve"> 4.2M subscribers with higher interest rates, Morningstar research, Level II data, larger instant deposits</w:t>
      </w:r>
    </w:p>
    <w:p w14:paraId="5EFD35F9" w14:textId="77777777" w:rsidR="008C05B8" w:rsidRDefault="00000000">
      <w:pPr>
        <w:pStyle w:val="ListParagraph"/>
        <w:numPr>
          <w:ilvl w:val="0"/>
          <w:numId w:val="2"/>
        </w:numPr>
        <w:spacing w:after="80"/>
      </w:pPr>
      <w:r>
        <w:t xml:space="preserve">Gold Card (3% </w:t>
      </w:r>
      <w:proofErr w:type="gramStart"/>
      <w:r>
        <w:t>cashback) —</w:t>
      </w:r>
      <w:proofErr w:type="gramEnd"/>
      <w:r>
        <w:t xml:space="preserve"> 300K+ cardholders issued as of Q3 2025 with 2M+ on waitlist. Credit card relationships are among the stickiest consumer financial products</w:t>
      </w:r>
    </w:p>
    <w:p w14:paraId="330C8599" w14:textId="77777777" w:rsidR="008C05B8" w:rsidRDefault="00000000">
      <w:pPr>
        <w:pStyle w:val="ListParagraph"/>
        <w:numPr>
          <w:ilvl w:val="0"/>
          <w:numId w:val="2"/>
        </w:numPr>
        <w:spacing w:after="80"/>
      </w:pPr>
      <w:r>
        <w:t>Robinhood Banking — early-stage rollout with ~$100M in balances as of Q4 2025 (nascent but growing)</w:t>
      </w:r>
    </w:p>
    <w:p w14:paraId="026E06E4" w14:textId="77777777" w:rsidR="008C05B8" w:rsidRDefault="00000000">
      <w:pPr>
        <w:pStyle w:val="ListParagraph"/>
        <w:numPr>
          <w:ilvl w:val="0"/>
          <w:numId w:val="2"/>
        </w:numPr>
        <w:spacing w:after="80"/>
      </w:pPr>
      <w:r>
        <w:t>Robinhood Strategies (</w:t>
      </w:r>
      <w:proofErr w:type="gramStart"/>
      <w:r>
        <w:t>advisory) —</w:t>
      </w:r>
      <w:proofErr w:type="gramEnd"/>
      <w:r>
        <w:t xml:space="preserve"> $500M+ AUM, 100K+ customers</w:t>
      </w:r>
    </w:p>
    <w:p w14:paraId="520B172B" w14:textId="77777777" w:rsidR="008C05B8" w:rsidRDefault="008C05B8">
      <w:pPr>
        <w:spacing w:after="120"/>
      </w:pPr>
    </w:p>
    <w:p w14:paraId="0E84AB43" w14:textId="77777777" w:rsidR="008C05B8" w:rsidRDefault="00000000">
      <w:pPr>
        <w:spacing w:after="120"/>
      </w:pPr>
      <w:r>
        <w:t xml:space="preserve">The </w:t>
      </w:r>
      <w:proofErr w:type="spellStart"/>
      <w:r>
        <w:t>SuperApp</w:t>
      </w:r>
      <w:proofErr w:type="spellEnd"/>
      <w:r>
        <w:t xml:space="preserve"> strategy is explicitly designed to raise switching costs. A customer who has a brokerage account, IRA, credit card, and bank account with Robinhood faces a dramatically higher switching cost than a customer with only a trading account. The 11 businesses with $100M+ annualized revenue each represent an additional thread of engagement.</w:t>
      </w:r>
    </w:p>
    <w:p w14:paraId="12AADD45" w14:textId="77777777" w:rsidR="008C05B8" w:rsidRDefault="00000000">
      <w:pPr>
        <w:spacing w:after="120"/>
      </w:pPr>
      <w:r>
        <w:rPr>
          <w:b/>
          <w:bCs/>
        </w:rPr>
        <w:t xml:space="preserve">Customer Data Score: 2/3 (Moderate). </w:t>
      </w:r>
      <w:r>
        <w:t>The data flywheel is real but still early. The multi-product engagement is growing rapidly (Gold subscribers +58% YoY) but the banking and advisory products are nascent. The IRA match is the most structurally sticky product — customers would forfeit real money by leaving. However, Robinhood does not sit on a structurally non-replicable dataset like Verisk’s insurance claims data. Its competitive advantage is in the breadth of product engagement, not in proprietary data assets.</w:t>
      </w:r>
    </w:p>
    <w:p w14:paraId="3FF74ED2" w14:textId="77777777" w:rsidR="008C05B8" w:rsidRDefault="00000000">
      <w:r>
        <w:br w:type="page"/>
      </w:r>
    </w:p>
    <w:p w14:paraId="0D97B552" w14:textId="77777777" w:rsidR="008C05B8" w:rsidRDefault="00000000">
      <w:pPr>
        <w:pStyle w:val="Heading2"/>
      </w:pPr>
      <w:r>
        <w:lastRenderedPageBreak/>
        <w:t>MOAT TYPE 4: ASSET GRAVITY &amp; NET DEPOSIT MOMENTUM</w:t>
      </w:r>
    </w:p>
    <w:p w14:paraId="1013B4E7" w14:textId="77777777" w:rsidR="008C05B8" w:rsidRDefault="00000000">
      <w:pPr>
        <w:spacing w:after="120"/>
      </w:pPr>
      <w:r>
        <w:rPr>
          <w:i/>
          <w:iCs/>
          <w:color w:val="888888"/>
        </w:rPr>
        <w:t>Equivalent to: Passive Capital Gravity (Data Infra Framework)</w:t>
      </w:r>
    </w:p>
    <w:p w14:paraId="5F0FB88A" w14:textId="77777777" w:rsidR="008C05B8" w:rsidRDefault="00000000">
      <w:pPr>
        <w:spacing w:before="200" w:after="120"/>
      </w:pPr>
      <w:r>
        <w:rPr>
          <w:b/>
          <w:bCs/>
          <w:color w:val="3A7CA5"/>
          <w:sz w:val="22"/>
          <w:szCs w:val="22"/>
        </w:rPr>
        <w:t>Assessment</w:t>
      </w:r>
    </w:p>
    <w:p w14:paraId="79276FEE" w14:textId="77777777" w:rsidR="008C05B8" w:rsidRDefault="00000000">
      <w:pPr>
        <w:spacing w:after="120"/>
      </w:pPr>
      <w:r>
        <w:t xml:space="preserve">This is the fintech equivalent of the index licensing moat: as assets accumulate on the platform, the company earns more net interest income and the customer’s switching cost increases. Unlike index licensing (where the moat deepens automatically with passive AUM flows), </w:t>
      </w:r>
      <w:proofErr w:type="gramStart"/>
      <w:r>
        <w:t>Robinhood’s asset</w:t>
      </w:r>
      <w:proofErr w:type="gramEnd"/>
      <w:r>
        <w:t xml:space="preserve"> gravity requires active customer engagement and competitive interest rates.</w:t>
      </w:r>
    </w:p>
    <w:p w14:paraId="78FDE994" w14:textId="77777777" w:rsidR="008C05B8" w:rsidRDefault="00000000">
      <w:pPr>
        <w:spacing w:after="120"/>
      </w:pPr>
      <w:r>
        <w:t>The numbers are impressive: $324B in total platform assets (+68% YoY), $68.1B in net deposits during 2025 (35% growth rate), and Retirement AUC exceeding $20B. Net interest revenue reached $1.51B in FY2025 — this is essentially the company’s equivalent of index licensing fees, earned passively on customer balances.</w:t>
      </w:r>
    </w:p>
    <w:p w14:paraId="3FF6D72A" w14:textId="77777777" w:rsidR="008C05B8" w:rsidRDefault="00000000">
      <w:pPr>
        <w:spacing w:after="120"/>
      </w:pPr>
      <w:r>
        <w:t xml:space="preserve">However, this moat is interest-rate sensitive. In a rate-cutting cycle, cash sweep yields decline and the 5% APY offered to </w:t>
      </w:r>
      <w:proofErr w:type="gramStart"/>
      <w:r>
        <w:t>Gold</w:t>
      </w:r>
      <w:proofErr w:type="gramEnd"/>
      <w:r>
        <w:t xml:space="preserve"> subscribers </w:t>
      </w:r>
      <w:proofErr w:type="gramStart"/>
      <w:r>
        <w:t>becomes</w:t>
      </w:r>
      <w:proofErr w:type="gramEnd"/>
      <w:r>
        <w:t xml:space="preserve"> expensive to maintain. Margin interest income also compresses. Robinhood has partially hedged this by growing securities lending revenue, but NII remains the most macro-sensitive revenue stream.</w:t>
      </w:r>
    </w:p>
    <w:p w14:paraId="7BA93E98" w14:textId="77777777" w:rsidR="008C05B8" w:rsidRDefault="00000000">
      <w:pPr>
        <w:spacing w:after="120"/>
      </w:pPr>
      <w:r>
        <w:rPr>
          <w:b/>
          <w:bCs/>
        </w:rPr>
        <w:t xml:space="preserve">Asset Gravity Assessment: Moderate. </w:t>
      </w:r>
      <w:r>
        <w:t>Assets are growing rapidly and NII is compounding, but the moat is rate-dependent and competitively vulnerable. Schwab ($9.9T in client assets), Fidelity (~$14.1T), and Vanguard (~$10T) dwarf Robinhood’s $324B. Robinhood is winning incremental deposits from younger cohorts but remains a small player in absolute terms.</w:t>
      </w:r>
    </w:p>
    <w:p w14:paraId="26D35358" w14:textId="77777777" w:rsidR="008C05B8" w:rsidRDefault="00000000">
      <w:r>
        <w:br w:type="page"/>
      </w:r>
    </w:p>
    <w:p w14:paraId="14310FD8" w14:textId="77777777" w:rsidR="008C05B8" w:rsidRDefault="00000000">
      <w:pPr>
        <w:pStyle w:val="Heading2"/>
      </w:pPr>
      <w:r>
        <w:lastRenderedPageBreak/>
        <w:t>MOAT TYPE 5: BRAND FRANCHISE &amp; GENERATIONAL POSITIONING</w:t>
      </w:r>
    </w:p>
    <w:p w14:paraId="39397FC6" w14:textId="77777777" w:rsidR="008C05B8" w:rsidRDefault="00000000">
      <w:pPr>
        <w:spacing w:after="120"/>
      </w:pPr>
      <w:r>
        <w:rPr>
          <w:i/>
          <w:iCs/>
          <w:color w:val="888888"/>
        </w:rPr>
        <w:t>Equivalent to: Historical Depth (Data Infra Framework)</w:t>
      </w:r>
    </w:p>
    <w:p w14:paraId="6DE7B282" w14:textId="77777777" w:rsidR="008C05B8" w:rsidRDefault="00000000">
      <w:pPr>
        <w:spacing w:before="200" w:after="120"/>
      </w:pPr>
      <w:r>
        <w:rPr>
          <w:b/>
          <w:bCs/>
          <w:color w:val="3A7CA5"/>
          <w:sz w:val="22"/>
          <w:szCs w:val="22"/>
        </w:rPr>
        <w:t>Assessment</w:t>
      </w:r>
    </w:p>
    <w:p w14:paraId="6CB80E6C" w14:textId="77777777" w:rsidR="008C05B8" w:rsidRDefault="00000000">
      <w:pPr>
        <w:spacing w:after="120"/>
      </w:pPr>
      <w:r>
        <w:t xml:space="preserve">Robinhood’s brand is its most underappreciated moat. For an entire generation of investors (Gen Z and younger Millennials), Robinhood WAS their introduction to investing. The company effectively defined what a brokerage looks like for the mobile-first generation. This cultural imprint is analogous to Bloomberg’s hold on fixed income professionals — not legally </w:t>
      </w:r>
      <w:proofErr w:type="gramStart"/>
      <w:r>
        <w:t>mandated, but</w:t>
      </w:r>
      <w:proofErr w:type="gramEnd"/>
      <w:r>
        <w:t xml:space="preserve"> deeply embedded in behavioral patterns.</w:t>
      </w:r>
    </w:p>
    <w:p w14:paraId="6C0E4655" w14:textId="77777777" w:rsidR="008C05B8" w:rsidRDefault="00000000">
      <w:pPr>
        <w:spacing w:after="120"/>
      </w:pPr>
      <w:r>
        <w:t>The brand survived an existential crisis (GameStop/January 2021 trading restrictions, subsequent Congressional hearings, and class action lawsuits) and has emerged stronger. The turnaround from meme-stock gateway to profitable financial platform is complete: institutional ownership rose from 45% to 68% over two years, and 27M funded customers represent genuine scale.</w:t>
      </w:r>
    </w:p>
    <w:p w14:paraId="7AAD29E1" w14:textId="77777777" w:rsidR="008C05B8" w:rsidRDefault="00000000">
      <w:pPr>
        <w:spacing w:after="120"/>
      </w:pPr>
      <w:r>
        <w:t>The “Great Wealth Transfer” ($84T transferring from Boomers to younger generations over the next decade) is the macro tailwind. Robinhood is the default platform for the generation receiving this wealth. Legacy brokers (Schwab, Fidelity) retain the Boomer assets today but face a structural challenge in attracting the next generation.</w:t>
      </w:r>
    </w:p>
    <w:p w14:paraId="602C9871" w14:textId="77777777" w:rsidR="008C05B8" w:rsidRDefault="00000000">
      <w:pPr>
        <w:spacing w:after="120"/>
      </w:pPr>
      <w:r>
        <w:rPr>
          <w:b/>
          <w:bCs/>
        </w:rPr>
        <w:t xml:space="preserve">Brand Score: 2/3 (Moderate). </w:t>
      </w:r>
      <w:r>
        <w:t>Strong generational brand affinity with the under-40 cohort. Not a moat with legal force, but a genuine behavioral advantage. Risk: brand loyalty in financial services is weaker than in consumer products. A single platform outage during a market crash, or a security breach, could damage the brand disproportionately.</w:t>
      </w:r>
    </w:p>
    <w:p w14:paraId="29E1230F" w14:textId="77777777" w:rsidR="008C05B8" w:rsidRDefault="00000000">
      <w:r>
        <w:br w:type="page"/>
      </w:r>
    </w:p>
    <w:p w14:paraId="3D0AC187" w14:textId="77777777" w:rsidR="008C05B8" w:rsidRDefault="00000000">
      <w:pPr>
        <w:pStyle w:val="Heading2"/>
      </w:pPr>
      <w:r>
        <w:lastRenderedPageBreak/>
        <w:t>THREE-QUESTION SCORE (Fintech Adaptation)</w:t>
      </w:r>
    </w:p>
    <w:p w14:paraId="60AF3208" w14:textId="77777777" w:rsidR="008C05B8" w:rsidRDefault="00000000">
      <w:pPr>
        <w:spacing w:after="120"/>
      </w:pPr>
      <w:r>
        <w:t>The Data Infrastructure Framework uses three binary questions to pre-screen moat quality. Here is the adapted version for fintech:</w:t>
      </w:r>
    </w:p>
    <w:p w14:paraId="3C1F3C84" w14:textId="77777777" w:rsidR="008C05B8" w:rsidRDefault="00000000">
      <w:pPr>
        <w:spacing w:after="120"/>
      </w:pPr>
      <w:r>
        <w:rPr>
          <w:b/>
          <w:bCs/>
        </w:rPr>
        <w:t xml:space="preserve">Q1: Does this company’s product have legal or regulatory force — i.e., is it referenced by name in statute, regulation, or </w:t>
      </w:r>
      <w:proofErr w:type="gramStart"/>
      <w:r>
        <w:rPr>
          <w:b/>
          <w:bCs/>
        </w:rPr>
        <w:t>standard-form</w:t>
      </w:r>
      <w:proofErr w:type="gramEnd"/>
      <w:r>
        <w:rPr>
          <w:b/>
          <w:bCs/>
        </w:rPr>
        <w:t xml:space="preserve"> contracts? </w:t>
      </w:r>
    </w:p>
    <w:p w14:paraId="1561651A" w14:textId="77777777" w:rsidR="008C05B8" w:rsidRDefault="00000000">
      <w:pPr>
        <w:spacing w:after="120"/>
      </w:pPr>
      <w:r>
        <w:rPr>
          <w:b/>
          <w:bCs/>
        </w:rPr>
        <w:t xml:space="preserve">Answer: No. </w:t>
      </w:r>
      <w:r>
        <w:t>Robinhood holds standard broker-dealer licenses that are necessary to operate but create no unique regulatory advantage. No statute or regulation names Robinhood specifically. PFOF revenue is embedded in market microstructure but is not contractually mandated.</w:t>
      </w:r>
    </w:p>
    <w:p w14:paraId="5470656B" w14:textId="77777777" w:rsidR="008C05B8" w:rsidRDefault="00000000">
      <w:pPr>
        <w:spacing w:after="120"/>
      </w:pPr>
      <w:r>
        <w:rPr>
          <w:b/>
          <w:bCs/>
        </w:rPr>
        <w:t xml:space="preserve">Q2: Does this company sit on proprietary data or customer relationships that cannot be replicated, licensed, or synthesized by a competitor? </w:t>
      </w:r>
    </w:p>
    <w:p w14:paraId="76EFA4F1" w14:textId="77777777" w:rsidR="008C05B8" w:rsidRDefault="00000000">
      <w:pPr>
        <w:spacing w:after="120"/>
      </w:pPr>
      <w:r>
        <w:rPr>
          <w:b/>
          <w:bCs/>
        </w:rPr>
        <w:t xml:space="preserve">Answer: Partial. </w:t>
      </w:r>
      <w:r>
        <w:t xml:space="preserve">The multi-product engagement flywheel (brokerage + IRA + credit card + banking + advisory) creates meaningful switching costs for engaged customers. But the individual data assets are not structurally non-replicable. A well-funded competitor (SoFi, </w:t>
      </w:r>
      <w:proofErr w:type="spellStart"/>
      <w:r>
        <w:t>Webull</w:t>
      </w:r>
      <w:proofErr w:type="spellEnd"/>
      <w:r>
        <w:t>) could theoretically replicate the product suite. The moat is in the breadth of engagement, not in proprietary data.</w:t>
      </w:r>
    </w:p>
    <w:p w14:paraId="6297A10B" w14:textId="77777777" w:rsidR="008C05B8" w:rsidRDefault="00000000">
      <w:pPr>
        <w:spacing w:after="120"/>
      </w:pPr>
      <w:r>
        <w:rPr>
          <w:b/>
          <w:bCs/>
        </w:rPr>
        <w:t xml:space="preserve">Q3: Is this company’s revenue structurally embedded in financial market infrastructure such that displacement requires system-wide coordination? </w:t>
      </w:r>
    </w:p>
    <w:p w14:paraId="6E0A079F" w14:textId="77777777" w:rsidR="008C05B8" w:rsidRDefault="00000000">
      <w:pPr>
        <w:spacing w:after="120"/>
      </w:pPr>
      <w:r>
        <w:rPr>
          <w:b/>
          <w:bCs/>
        </w:rPr>
        <w:t xml:space="preserve">Answer: Partial. </w:t>
      </w:r>
      <w:r>
        <w:t xml:space="preserve">PFOF revenue depends on market </w:t>
      </w:r>
      <w:proofErr w:type="gramStart"/>
      <w:r>
        <w:t>maker</w:t>
      </w:r>
      <w:proofErr w:type="gramEnd"/>
      <w:r>
        <w:t xml:space="preserve"> willingness to pay for retail order flow, which is embedded in US market structure. NII depends on the Fed funds rate, which is systemic. But neither of these constitutes structural embedding in the way that index licensing or credit ratings do. Robinhood could be displaced customer-by-customer without requiring system-wide coordination.</w:t>
      </w:r>
    </w:p>
    <w:p w14:paraId="11D35CCB" w14:textId="77777777" w:rsidR="008C05B8" w:rsidRDefault="00000000">
      <w:pPr>
        <w:spacing w:after="120"/>
      </w:pPr>
      <w:r>
        <w:rPr>
          <w:b/>
          <w:bCs/>
        </w:rPr>
        <w:t xml:space="preserve">Three-Question Score: 0.5 / 3 </w:t>
      </w:r>
      <w:r>
        <w:t>(No + Partial + Partial, weighted to reflect partial answers at 0.25 each)</w:t>
      </w:r>
    </w:p>
    <w:p w14:paraId="749B9F4D" w14:textId="77777777" w:rsidR="008C05B8" w:rsidRDefault="00000000">
      <w:r>
        <w:br w:type="page"/>
      </w:r>
    </w:p>
    <w:p w14:paraId="113B38B9" w14:textId="77777777" w:rsidR="008C05B8" w:rsidRDefault="00000000">
      <w:pPr>
        <w:pStyle w:val="Heading2"/>
      </w:pPr>
      <w:r>
        <w:lastRenderedPageBreak/>
        <w:t>PRE-SCREEN VERDICT</w:t>
      </w:r>
    </w:p>
    <w:p w14:paraId="27FBCC7A" w14:textId="77777777" w:rsidR="008C05B8" w:rsidRDefault="00000000">
      <w:pPr>
        <w:spacing w:after="120"/>
      </w:pPr>
      <w:r>
        <w:t>Based on the adapted 5-Moat Taxonomy and Three-Question Score of 0.5/3:</w:t>
      </w:r>
    </w:p>
    <w:p w14:paraId="01E031CD" w14:textId="77777777" w:rsidR="008C05B8" w:rsidRDefault="00000000">
      <w:pPr>
        <w:spacing w:after="120"/>
      </w:pPr>
      <w:r>
        <w:rPr>
          <w:b/>
          <w:bCs/>
        </w:rPr>
        <w:t xml:space="preserve">Verdict: Proceed to Stage 2 with LOW-to-MEDIUM confidence in defensibility. </w:t>
      </w:r>
    </w:p>
    <w:p w14:paraId="10E331E9" w14:textId="77777777" w:rsidR="008C05B8" w:rsidRDefault="00000000">
      <w:pPr>
        <w:spacing w:after="120"/>
      </w:pPr>
      <w:r>
        <w:t>Robinhood has no regulatory designation moat. Its competitive advantages are real but conventional: brand, scale, multi-product engagement, and generational positioning. These are quality business attributes, not structural moats in the framework’s sense. The company is a high-quality growth franchise operating in a competitive market, not a regulated monopoly or data infrastructure fortress.</w:t>
      </w:r>
    </w:p>
    <w:p w14:paraId="76FE601B" w14:textId="77777777" w:rsidR="008C05B8" w:rsidRDefault="00000000">
      <w:pPr>
        <w:spacing w:after="120"/>
      </w:pPr>
      <w:r>
        <w:rPr>
          <w:b/>
          <w:bCs/>
        </w:rPr>
        <w:t xml:space="preserve">Stage 2 Starting Posture: </w:t>
      </w:r>
      <w:r>
        <w:t>Approach with skepticism. Require evidence of durable competitive advantage, not narrative. The pre-screen suggests this is likely a Transitional or Robust classification at best, not Antifragile. The absence of regulatory designation or structural embedding means the ceiling is limited.</w:t>
      </w:r>
    </w:p>
    <w:p w14:paraId="17B9DFF3" w14:textId="77777777" w:rsidR="008C05B8" w:rsidRDefault="00000000">
      <w:r>
        <w:br w:type="page"/>
      </w:r>
    </w:p>
    <w:p w14:paraId="50D135BB" w14:textId="77777777" w:rsidR="008C05B8" w:rsidRDefault="00000000">
      <w:pPr>
        <w:pStyle w:val="Heading1"/>
      </w:pPr>
      <w:r>
        <w:lastRenderedPageBreak/>
        <w:t>STAGE 2: FINTECH ANTIFRAGILITY ASSESSMENT</w:t>
      </w:r>
    </w:p>
    <w:p w14:paraId="05073994" w14:textId="77777777" w:rsidR="008C05B8" w:rsidRDefault="00000000">
      <w:pPr>
        <w:pStyle w:val="Heading2"/>
      </w:pPr>
      <w:r>
        <w:t>DIMENSION 1: REGULATORY LICENSING &amp; COMPLIANCE MOAT</w:t>
      </w:r>
    </w:p>
    <w:p w14:paraId="013892CC" w14:textId="77777777" w:rsidR="008C05B8" w:rsidRDefault="00000000">
      <w:pPr>
        <w:spacing w:after="120"/>
      </w:pPr>
      <w:r>
        <w:rPr>
          <w:b/>
          <w:bCs/>
        </w:rPr>
        <w:t xml:space="preserve">Weight: 20% of composite </w:t>
      </w:r>
      <w:r>
        <w:t>(reduced from 30% in Data Infra Framework because fintech broker-dealer licensing is not a structural moat)</w:t>
      </w:r>
    </w:p>
    <w:p w14:paraId="72646024" w14:textId="77777777" w:rsidR="008C05B8" w:rsidRDefault="00000000">
      <w:pPr>
        <w:spacing w:after="120"/>
      </w:pPr>
      <w:r>
        <w:t>Robinhood holds all required licenses (SEC-registered broker-dealer, FINRA member, SIPC-insured, state money transmitter licenses). Robinhood Securities operates as the self-clearing broker, which is a meaningful operational advantage: it eliminates third-party clearing costs, enables faster product launches, and provides better economics on securities lending. Approximately 10% of FINRA-registered broker-dealers self-clear, so this is a meaningful but not rare capability.</w:t>
      </w:r>
    </w:p>
    <w:p w14:paraId="0FC94296" w14:textId="77777777" w:rsidR="008C05B8" w:rsidRDefault="00000000">
      <w:pPr>
        <w:spacing w:after="120"/>
      </w:pPr>
      <w:r>
        <w:t xml:space="preserve">The regulatory environment has </w:t>
      </w:r>
      <w:proofErr w:type="gramStart"/>
      <w:r>
        <w:t>turned</w:t>
      </w:r>
      <w:proofErr w:type="gramEnd"/>
      <w:r>
        <w:t xml:space="preserve"> favorable: SEC Chair Atkins is pro-innovation, the PFOF order competition rule was withdrawn, and crypto regulation is moving toward clarity rather than restriction. Robinhood’s ability to offer crypto trading within the same platform as equities and options is a competitive advantage that traditional brokers have been slow to replicate due to regulatory caution. Schwab is not expected to launch spot Bitcoin/Ethereum trading until mid-2026.</w:t>
      </w:r>
    </w:p>
    <w:p w14:paraId="370C3D19" w14:textId="77777777" w:rsidR="008C05B8" w:rsidRDefault="00000000">
      <w:pPr>
        <w:spacing w:after="120"/>
      </w:pPr>
      <w:r>
        <w:t xml:space="preserve">However, the repeated enforcement actions ($210M+ in fines since 2020) suggest that Robinhood’s regulatory moat is </w:t>
      </w:r>
      <w:proofErr w:type="gramStart"/>
      <w:r>
        <w:t>actually a</w:t>
      </w:r>
      <w:proofErr w:type="gramEnd"/>
      <w:r>
        <w:t xml:space="preserve"> net negative — the company operates on the edge of compliance rather than building regulatory excellence as a competitive advantage. Compare this to Schwab or Fidelity, which have far cleaner regulatory records.</w:t>
      </w:r>
    </w:p>
    <w:p w14:paraId="6B90C24B" w14:textId="77777777" w:rsidR="008C05B8" w:rsidRDefault="00000000">
      <w:pPr>
        <w:spacing w:after="120"/>
      </w:pPr>
      <w:r>
        <w:rPr>
          <w:b/>
          <w:bCs/>
        </w:rPr>
        <w:t xml:space="preserve">Dimension 1 </w:t>
      </w:r>
      <w:proofErr w:type="gramStart"/>
      <w:r>
        <w:rPr>
          <w:b/>
          <w:bCs/>
        </w:rPr>
        <w:t>Score</w:t>
      </w:r>
      <w:proofErr w:type="gramEnd"/>
      <w:r>
        <w:rPr>
          <w:b/>
          <w:bCs/>
        </w:rPr>
        <w:t xml:space="preserve">: 4 / 10. </w:t>
      </w:r>
      <w:r>
        <w:t>Standard licensing, self-clearing advantage, favorable regulatory tailwinds, but no unique regulatory designation and a troubled compliance history. The licenses are table stakes, not a moat.</w:t>
      </w:r>
    </w:p>
    <w:p w14:paraId="2B7AABC3" w14:textId="77777777" w:rsidR="008C05B8" w:rsidRDefault="00000000">
      <w:r>
        <w:br w:type="page"/>
      </w:r>
    </w:p>
    <w:p w14:paraId="1C1C1CB4" w14:textId="77777777" w:rsidR="008C05B8" w:rsidRDefault="00000000">
      <w:pPr>
        <w:pStyle w:val="Heading2"/>
      </w:pPr>
      <w:r>
        <w:lastRenderedPageBreak/>
        <w:t>DIMENSION 2: CUSTOMER STICKINESS &amp; SWITCHING COSTS</w:t>
      </w:r>
    </w:p>
    <w:p w14:paraId="7D85D617" w14:textId="77777777" w:rsidR="008C05B8" w:rsidRDefault="00000000">
      <w:pPr>
        <w:spacing w:after="120"/>
      </w:pPr>
      <w:r>
        <w:rPr>
          <w:b/>
          <w:bCs/>
        </w:rPr>
        <w:t xml:space="preserve">Weight: 30% of composite </w:t>
      </w:r>
      <w:r>
        <w:t xml:space="preserve">(elevated because customer retention is the primary </w:t>
      </w:r>
      <w:proofErr w:type="gramStart"/>
      <w:r>
        <w:t>moat</w:t>
      </w:r>
      <w:proofErr w:type="gramEnd"/>
      <w:r>
        <w:t xml:space="preserve"> for consumer fintech)</w:t>
      </w:r>
    </w:p>
    <w:p w14:paraId="1273331C" w14:textId="77777777" w:rsidR="008C05B8" w:rsidRDefault="00000000">
      <w:pPr>
        <w:spacing w:before="200" w:after="120"/>
      </w:pPr>
      <w:r>
        <w:rPr>
          <w:b/>
          <w:bCs/>
          <w:color w:val="3A7CA5"/>
          <w:sz w:val="22"/>
          <w:szCs w:val="22"/>
        </w:rPr>
        <w:t>Multi-Product Engagement Analysis</w:t>
      </w:r>
    </w:p>
    <w:p w14:paraId="687C6B4C" w14:textId="77777777" w:rsidR="008C05B8" w:rsidRDefault="00000000">
      <w:pPr>
        <w:spacing w:after="120"/>
      </w:pPr>
      <w:r>
        <w:t xml:space="preserve">Robinhood’s </w:t>
      </w:r>
      <w:proofErr w:type="spellStart"/>
      <w:r>
        <w:t>SuperApp</w:t>
      </w:r>
      <w:proofErr w:type="spellEnd"/>
      <w:r>
        <w:t xml:space="preserve"> strategy is producing measurable results:</w:t>
      </w:r>
    </w:p>
    <w:p w14:paraId="082D304F" w14:textId="77777777" w:rsidR="008C05B8" w:rsidRDefault="00000000">
      <w:pPr>
        <w:pStyle w:val="ListParagraph"/>
        <w:numPr>
          <w:ilvl w:val="0"/>
          <w:numId w:val="2"/>
        </w:numPr>
        <w:spacing w:after="80"/>
      </w:pPr>
      <w:r>
        <w:t>27.0M funded customers (+7% YoY), 28.4M investment accounts (+8% YoY)</w:t>
      </w:r>
    </w:p>
    <w:p w14:paraId="48A2F72D" w14:textId="77777777" w:rsidR="008C05B8" w:rsidRDefault="00000000">
      <w:pPr>
        <w:pStyle w:val="ListParagraph"/>
        <w:numPr>
          <w:ilvl w:val="0"/>
          <w:numId w:val="2"/>
        </w:numPr>
        <w:spacing w:after="80"/>
      </w:pPr>
      <w:r>
        <w:t>4.2M Gold subscribers (+58% YoY) at $5/month = ~$252M annualized subscription revenue</w:t>
      </w:r>
    </w:p>
    <w:p w14:paraId="2EF16732" w14:textId="77777777" w:rsidR="008C05B8" w:rsidRDefault="00000000">
      <w:pPr>
        <w:pStyle w:val="ListParagraph"/>
        <w:numPr>
          <w:ilvl w:val="0"/>
          <w:numId w:val="2"/>
        </w:numPr>
        <w:spacing w:after="80"/>
      </w:pPr>
      <w:r>
        <w:t xml:space="preserve">ARPU of $191 (+16% </w:t>
      </w:r>
      <w:proofErr w:type="gramStart"/>
      <w:r>
        <w:t>YoY) —</w:t>
      </w:r>
      <w:proofErr w:type="gramEnd"/>
      <w:r>
        <w:t xml:space="preserve"> monetization per customer is improving steadily</w:t>
      </w:r>
    </w:p>
    <w:p w14:paraId="7E10A793" w14:textId="77777777" w:rsidR="008C05B8" w:rsidRDefault="00000000">
      <w:pPr>
        <w:pStyle w:val="ListParagraph"/>
        <w:numPr>
          <w:ilvl w:val="0"/>
          <w:numId w:val="2"/>
        </w:numPr>
        <w:spacing w:after="80"/>
      </w:pPr>
      <w:r>
        <w:t>11 business lines with $100M+ annualized revenue each — diversification is real</w:t>
      </w:r>
    </w:p>
    <w:p w14:paraId="5FF9BE5E" w14:textId="77777777" w:rsidR="008C05B8" w:rsidRDefault="00000000">
      <w:pPr>
        <w:pStyle w:val="ListParagraph"/>
        <w:numPr>
          <w:ilvl w:val="0"/>
          <w:numId w:val="2"/>
        </w:numPr>
        <w:spacing w:after="80"/>
      </w:pPr>
      <w:r>
        <w:t>$68.1B in net deposits (</w:t>
      </w:r>
      <w:proofErr w:type="gramStart"/>
      <w:r>
        <w:t>2025) —</w:t>
      </w:r>
      <w:proofErr w:type="gramEnd"/>
      <w:r>
        <w:t xml:space="preserve"> customers are consolidating financial assets onto the platform</w:t>
      </w:r>
    </w:p>
    <w:p w14:paraId="0B0901AE" w14:textId="77777777" w:rsidR="008C05B8" w:rsidRDefault="00000000">
      <w:pPr>
        <w:pStyle w:val="ListParagraph"/>
        <w:numPr>
          <w:ilvl w:val="0"/>
          <w:numId w:val="2"/>
        </w:numPr>
        <w:spacing w:after="80"/>
      </w:pPr>
      <w:r>
        <w:t>Retirement AUC &gt;$20B, Robinhood Strategies AUM &gt;$500M — long-duration, sticky assets</w:t>
      </w:r>
    </w:p>
    <w:p w14:paraId="73922868" w14:textId="77777777" w:rsidR="008C05B8" w:rsidRDefault="008C05B8">
      <w:pPr>
        <w:spacing w:after="120"/>
      </w:pPr>
    </w:p>
    <w:p w14:paraId="49250076" w14:textId="77777777" w:rsidR="008C05B8" w:rsidRDefault="00000000">
      <w:pPr>
        <w:spacing w:before="200" w:after="120"/>
      </w:pPr>
      <w:r>
        <w:rPr>
          <w:b/>
          <w:bCs/>
          <w:color w:val="3A7CA5"/>
          <w:sz w:val="22"/>
          <w:szCs w:val="22"/>
        </w:rPr>
        <w:t>Switching Cost Assessment</w:t>
      </w:r>
    </w:p>
    <w:p w14:paraId="2B8F9140" w14:textId="77777777" w:rsidR="008C05B8" w:rsidRDefault="00000000">
      <w:pPr>
        <w:spacing w:after="120"/>
      </w:pPr>
      <w:r>
        <w:t>The switching cost varies dramatically by customer type. A customer with only a brokerage account faces low switching costs (ACATS transfer takes 3-5 days; Robinhood historically resisted ACATS requests, which resulted in a FINRA fine). But a customer with an IRA (losing the 1-3% match), Gold subscription (losing 5% APY and Gold Card), credit card, and banking has material switching costs.</w:t>
      </w:r>
    </w:p>
    <w:p w14:paraId="3DC40AAF" w14:textId="77777777" w:rsidR="008C05B8" w:rsidRDefault="00000000">
      <w:pPr>
        <w:spacing w:after="120"/>
      </w:pPr>
      <w:r>
        <w:t>The critical weakness: MAU declined by 1.9M YoY to 13.0M in Q4 2025, even as funded customers grew. This means engagement intensity is declining even as the customer base grows. 27M funded customers but only 13M MAU implies 14M dormant accounts — a 52% dormancy rate. Dormant customers have zero switching costs.</w:t>
      </w:r>
    </w:p>
    <w:p w14:paraId="24DAAB86" w14:textId="77777777" w:rsidR="008C05B8" w:rsidRDefault="00000000">
      <w:pPr>
        <w:spacing w:after="120"/>
      </w:pPr>
      <w:r>
        <w:rPr>
          <w:b/>
          <w:bCs/>
        </w:rPr>
        <w:t xml:space="preserve">Dimension 2 </w:t>
      </w:r>
      <w:proofErr w:type="gramStart"/>
      <w:r>
        <w:rPr>
          <w:b/>
          <w:bCs/>
        </w:rPr>
        <w:t>Score</w:t>
      </w:r>
      <w:proofErr w:type="gramEnd"/>
      <w:r>
        <w:rPr>
          <w:b/>
          <w:bCs/>
        </w:rPr>
        <w:t xml:space="preserve">: 6 / 10. </w:t>
      </w:r>
      <w:r>
        <w:t>Strong multi-product flywheel for engaged customers, but high dormancy rate undermines the aggregate switching cost story. The IRA match and Gold Card are genuine retention tools. Net deposit momentum is excellent. But 52% of accounts are dormant and could churn without friction.</w:t>
      </w:r>
    </w:p>
    <w:p w14:paraId="73F3063F" w14:textId="77777777" w:rsidR="008C05B8" w:rsidRDefault="00000000">
      <w:r>
        <w:br w:type="page"/>
      </w:r>
    </w:p>
    <w:p w14:paraId="4D43A588" w14:textId="77777777" w:rsidR="008C05B8" w:rsidRDefault="00000000">
      <w:pPr>
        <w:pStyle w:val="Heading2"/>
      </w:pPr>
      <w:r>
        <w:lastRenderedPageBreak/>
        <w:t>DIMENSION 3: BUSINESS MODEL &amp; AI ADAPTABILITY</w:t>
      </w:r>
    </w:p>
    <w:p w14:paraId="37323BFB" w14:textId="77777777" w:rsidR="008C05B8" w:rsidRDefault="00000000">
      <w:pPr>
        <w:spacing w:after="120"/>
      </w:pPr>
      <w:r>
        <w:rPr>
          <w:b/>
          <w:bCs/>
        </w:rPr>
        <w:t xml:space="preserve">Weight: 25% of composite </w:t>
      </w:r>
      <w:r>
        <w:t>(elevated from 20% in Data Infra Framework because AI is actively reshaping fintech distribution)</w:t>
      </w:r>
    </w:p>
    <w:p w14:paraId="1D33E367" w14:textId="77777777" w:rsidR="008C05B8" w:rsidRDefault="00000000">
      <w:pPr>
        <w:spacing w:before="200" w:after="120"/>
      </w:pPr>
      <w:r>
        <w:rPr>
          <w:b/>
          <w:bCs/>
          <w:color w:val="3A7CA5"/>
          <w:sz w:val="22"/>
          <w:szCs w:val="22"/>
        </w:rPr>
        <w:t>AI Strategy: Cortex</w:t>
      </w:r>
    </w:p>
    <w:p w14:paraId="6AA7AA60" w14:textId="77777777" w:rsidR="008C05B8" w:rsidRDefault="00000000">
      <w:pPr>
        <w:spacing w:after="120"/>
      </w:pPr>
      <w:r>
        <w:t xml:space="preserve">Robinhood has launched Cortex, an AI-powered investing assistant exclusive to </w:t>
      </w:r>
      <w:proofErr w:type="gramStart"/>
      <w:r>
        <w:t>Gold</w:t>
      </w:r>
      <w:proofErr w:type="gramEnd"/>
      <w:r>
        <w:t xml:space="preserve"> subscribers. Current features include Cortex Digests (AI-generated stock and portfolio insights sourced from real-time market data, analyst reports, and research reports). Upcoming features include Cortex Assistant (digital advisor that can conduct research and adjust account settings) and Cortex for Legend (conversational interface for chart building and technical scans).</w:t>
      </w:r>
    </w:p>
    <w:p w14:paraId="3D401B69" w14:textId="77777777" w:rsidR="008C05B8" w:rsidRDefault="00000000">
      <w:pPr>
        <w:spacing w:after="120"/>
      </w:pPr>
      <w:r>
        <w:t xml:space="preserve">The strategic vision is ambitious: Cortex as a fully autonomous interface across the Robinhood ecosystem that analyzes positions, surfaces insights, and executes trades. This positions Robinhood as an AI-enhanced platform rather than an AI-disrupted one. If executed well, Cortex could become the primary interface through which customers interact with their financial lives — reducing the need for third-party research tools, </w:t>
      </w:r>
      <w:proofErr w:type="spellStart"/>
      <w:r>
        <w:t>robo</w:t>
      </w:r>
      <w:proofErr w:type="spellEnd"/>
      <w:r>
        <w:t>-advisors, and even human financial advisors.</w:t>
      </w:r>
    </w:p>
    <w:p w14:paraId="5F68729E" w14:textId="77777777" w:rsidR="008C05B8" w:rsidRDefault="00000000">
      <w:pPr>
        <w:spacing w:before="200" w:after="120"/>
      </w:pPr>
      <w:r>
        <w:rPr>
          <w:b/>
          <w:bCs/>
          <w:color w:val="3A7CA5"/>
          <w:sz w:val="22"/>
          <w:szCs w:val="22"/>
        </w:rPr>
        <w:t>AI Disruption Risk</w:t>
      </w:r>
    </w:p>
    <w:p w14:paraId="450211AE" w14:textId="77777777" w:rsidR="008C05B8" w:rsidRDefault="00000000">
      <w:pPr>
        <w:spacing w:after="120"/>
      </w:pPr>
      <w:r>
        <w:t xml:space="preserve">The AI disruption risk for Robinhood is different from data infrastructure companies. Robinhood’s value proposition is NOT in structuring or analyzing data (which LLMs can replicate). It is in execution (clearing trades), custody (holding assets), and regulatory compliance (licensed broker-dealer). These are functions that AI cannot perform </w:t>
      </w:r>
      <w:proofErr w:type="gramStart"/>
      <w:r>
        <w:t>independently — they</w:t>
      </w:r>
      <w:proofErr w:type="gramEnd"/>
      <w:r>
        <w:t xml:space="preserve"> require licensed entities, capital reserves, and regulatory oversight.</w:t>
      </w:r>
    </w:p>
    <w:p w14:paraId="7B6D2AD5" w14:textId="77777777" w:rsidR="008C05B8" w:rsidRDefault="00000000">
      <w:pPr>
        <w:spacing w:after="120"/>
      </w:pPr>
      <w:r>
        <w:t xml:space="preserve">The AI risk is more subtle: AI-powered financial assistants (ChatGPT with finance plugins, Apple Intelligence with financial tools, Google Gemini) could become the interface layer, reducing Robinhood to a back-end execution engine. This is the Bustamante aggregation </w:t>
      </w:r>
      <w:proofErr w:type="gramStart"/>
      <w:r>
        <w:t>theory risk</w:t>
      </w:r>
      <w:proofErr w:type="gramEnd"/>
      <w:r>
        <w:t xml:space="preserve"> applied to fintech. However, Robinhood’s Cortex strategy is specifically designed to prevent this by building its own AI interface.</w:t>
      </w:r>
    </w:p>
    <w:p w14:paraId="2611196D" w14:textId="77777777" w:rsidR="008C05B8" w:rsidRDefault="00000000">
      <w:pPr>
        <w:spacing w:after="120"/>
      </w:pPr>
      <w:r>
        <w:rPr>
          <w:b/>
          <w:bCs/>
        </w:rPr>
        <w:t xml:space="preserve">Dimension 3 </w:t>
      </w:r>
      <w:proofErr w:type="gramStart"/>
      <w:r>
        <w:rPr>
          <w:b/>
          <w:bCs/>
        </w:rPr>
        <w:t>Score</w:t>
      </w:r>
      <w:proofErr w:type="gramEnd"/>
      <w:r>
        <w:rPr>
          <w:b/>
          <w:bCs/>
        </w:rPr>
        <w:t xml:space="preserve">: 7 / 10. </w:t>
      </w:r>
      <w:r>
        <w:t xml:space="preserve">AI is a net positive for Robinhood. The company </w:t>
      </w:r>
      <w:proofErr w:type="gramStart"/>
      <w:r>
        <w:t>is building</w:t>
      </w:r>
      <w:proofErr w:type="gramEnd"/>
      <w:r>
        <w:t xml:space="preserve"> AI-enhanced products that increase engagement and monetization (Cortex drives </w:t>
      </w:r>
      <w:proofErr w:type="gramStart"/>
      <w:r>
        <w:t>Gold</w:t>
      </w:r>
      <w:proofErr w:type="gramEnd"/>
      <w:r>
        <w:t xml:space="preserve"> subscriptions). The core execution/custody/compliance functions are AI-immune. The risk is being disintermediated at the interface layer, but Cortex addresses this directly. Execution and timing are the key unknowns.</w:t>
      </w:r>
    </w:p>
    <w:p w14:paraId="790941BC" w14:textId="77777777" w:rsidR="008C05B8" w:rsidRDefault="00000000">
      <w:r>
        <w:br w:type="page"/>
      </w:r>
    </w:p>
    <w:p w14:paraId="732BD303" w14:textId="77777777" w:rsidR="008C05B8" w:rsidRDefault="00000000">
      <w:pPr>
        <w:pStyle w:val="Heading2"/>
      </w:pPr>
      <w:r>
        <w:lastRenderedPageBreak/>
        <w:t>DIMENSION 4: MARKET STRUCTURE &amp; COMPETITIVE POSITION</w:t>
      </w:r>
    </w:p>
    <w:p w14:paraId="734B14E5" w14:textId="77777777" w:rsidR="008C05B8" w:rsidRDefault="00000000">
      <w:pPr>
        <w:spacing w:after="120"/>
      </w:pPr>
      <w:r>
        <w:rPr>
          <w:b/>
          <w:bCs/>
        </w:rPr>
        <w:t>Weight: 25% of composite</w:t>
      </w:r>
    </w:p>
    <w:p w14:paraId="226D8A4E" w14:textId="77777777" w:rsidR="008C05B8" w:rsidRDefault="00000000">
      <w:pPr>
        <w:spacing w:before="200" w:after="120"/>
      </w:pPr>
      <w:r>
        <w:rPr>
          <w:b/>
          <w:bCs/>
          <w:color w:val="3A7CA5"/>
          <w:sz w:val="22"/>
          <w:szCs w:val="22"/>
        </w:rPr>
        <w:t>Market Structure</w:t>
      </w:r>
    </w:p>
    <w:p w14:paraId="5F5FA894" w14:textId="77777777" w:rsidR="008C05B8" w:rsidRDefault="00000000">
      <w:pPr>
        <w:spacing w:after="120"/>
      </w:pPr>
      <w:r>
        <w:t>US retail brokerage is a competitive oligopoly with significant scale advantages. The major players by client assets: Fidelity (~$14.1T), Schwab (~$9.9T), Vanguard (~$10T), Morgan Stanley/E*TRADE (~$5.7T), Robinhood ($324B). Robinhood is roughly 1/30th the size of Fidelity by assets under custody.</w:t>
      </w:r>
    </w:p>
    <w:p w14:paraId="73D31239" w14:textId="77777777" w:rsidR="008C05B8" w:rsidRDefault="00000000">
      <w:pPr>
        <w:spacing w:after="120"/>
      </w:pPr>
      <w:r>
        <w:t>However, market share measured by assets understates Robinhood’s competitive position. By funded customers (27M), Robinhood is one of the largest retail brokerages in the US. The discrepancy (large customer count, small asset base) reflects Robinhood’s younger, less-wealthy customer base. The bull case is that these customers will grow wealthier over time and Robinhood will capture their increasing assets. The bear case is that as customers age and accumulate wealth, they migrate to “serious” platforms like Schwab or Fidelity.</w:t>
      </w:r>
    </w:p>
    <w:p w14:paraId="036F1A75" w14:textId="77777777" w:rsidR="008C05B8" w:rsidRDefault="00000000">
      <w:pPr>
        <w:spacing w:before="200" w:after="120"/>
      </w:pPr>
      <w:r>
        <w:rPr>
          <w:b/>
          <w:bCs/>
          <w:color w:val="3A7CA5"/>
          <w:sz w:val="22"/>
          <w:szCs w:val="22"/>
        </w:rPr>
        <w:t>Competitive Advantages</w:t>
      </w:r>
    </w:p>
    <w:p w14:paraId="5856B6D2" w14:textId="77777777" w:rsidR="008C05B8" w:rsidRDefault="00000000">
      <w:pPr>
        <w:pStyle w:val="ListParagraph"/>
        <w:numPr>
          <w:ilvl w:val="0"/>
          <w:numId w:val="2"/>
        </w:numPr>
        <w:spacing w:after="80"/>
      </w:pPr>
      <w:r>
        <w:t>Best-in-class mobile UX — Robinhood’s interface design remains the gold standard for mobile-first investing</w:t>
      </w:r>
    </w:p>
    <w:p w14:paraId="11B07899" w14:textId="77777777" w:rsidR="008C05B8" w:rsidRDefault="00000000">
      <w:pPr>
        <w:pStyle w:val="ListParagraph"/>
        <w:numPr>
          <w:ilvl w:val="0"/>
          <w:numId w:val="2"/>
        </w:numPr>
        <w:spacing w:after="80"/>
      </w:pPr>
      <w:r>
        <w:t>Self-clearing infrastructure — proprietary clearing enables faster product launches and better economics</w:t>
      </w:r>
    </w:p>
    <w:p w14:paraId="3A0F450C" w14:textId="77777777" w:rsidR="008C05B8" w:rsidRDefault="00000000">
      <w:pPr>
        <w:pStyle w:val="ListParagraph"/>
        <w:numPr>
          <w:ilvl w:val="0"/>
          <w:numId w:val="2"/>
        </w:numPr>
        <w:spacing w:after="80"/>
      </w:pPr>
      <w:r>
        <w:t>Crypto + equities + options in single platform — unique integrated offering that legacy brokers lack</w:t>
      </w:r>
    </w:p>
    <w:p w14:paraId="76D8B16D" w14:textId="77777777" w:rsidR="008C05B8" w:rsidRDefault="00000000">
      <w:pPr>
        <w:pStyle w:val="ListParagraph"/>
        <w:numPr>
          <w:ilvl w:val="0"/>
          <w:numId w:val="2"/>
        </w:numPr>
        <w:spacing w:after="80"/>
      </w:pPr>
      <w:r>
        <w:t xml:space="preserve">Prediction markets — </w:t>
      </w:r>
      <w:proofErr w:type="gramStart"/>
      <w:r>
        <w:t>first-mover</w:t>
      </w:r>
      <w:proofErr w:type="gramEnd"/>
      <w:r>
        <w:t xml:space="preserve"> in regulated prediction/event contract trading ($100M+ annualized revenue)</w:t>
      </w:r>
    </w:p>
    <w:p w14:paraId="721B9B28" w14:textId="77777777" w:rsidR="008C05B8" w:rsidRDefault="00000000">
      <w:pPr>
        <w:pStyle w:val="ListParagraph"/>
        <w:numPr>
          <w:ilvl w:val="0"/>
          <w:numId w:val="2"/>
        </w:numPr>
        <w:spacing w:after="80"/>
      </w:pPr>
      <w:r>
        <w:t>24-hour trading — available for ~1,000 symbols, ahead of most competitors</w:t>
      </w:r>
    </w:p>
    <w:p w14:paraId="281C316A" w14:textId="77777777" w:rsidR="008C05B8" w:rsidRDefault="00000000">
      <w:pPr>
        <w:pStyle w:val="ListParagraph"/>
        <w:numPr>
          <w:ilvl w:val="0"/>
          <w:numId w:val="2"/>
        </w:numPr>
        <w:spacing w:after="80"/>
      </w:pPr>
      <w:r>
        <w:t xml:space="preserve">TradePMR acquisition ($40B AUA, 350 RIA </w:t>
      </w:r>
      <w:proofErr w:type="gramStart"/>
      <w:r>
        <w:t>firms) —</w:t>
      </w:r>
      <w:proofErr w:type="gramEnd"/>
      <w:r>
        <w:t xml:space="preserve"> entering wealth management/RIA custody</w:t>
      </w:r>
    </w:p>
    <w:p w14:paraId="5CA067ED" w14:textId="77777777" w:rsidR="008C05B8" w:rsidRDefault="00000000">
      <w:pPr>
        <w:spacing w:before="200" w:after="120"/>
      </w:pPr>
      <w:r>
        <w:rPr>
          <w:b/>
          <w:bCs/>
          <w:color w:val="3A7CA5"/>
          <w:sz w:val="22"/>
          <w:szCs w:val="22"/>
        </w:rPr>
        <w:t>Competitive Vulnerabilities</w:t>
      </w:r>
    </w:p>
    <w:p w14:paraId="10BFE6B0" w14:textId="77777777" w:rsidR="008C05B8" w:rsidRDefault="00000000">
      <w:pPr>
        <w:pStyle w:val="ListParagraph"/>
        <w:numPr>
          <w:ilvl w:val="0"/>
          <w:numId w:val="2"/>
        </w:numPr>
        <w:spacing w:after="80"/>
      </w:pPr>
      <w:r>
        <w:t>Scale gap: $324B vs. $14T (Fidelity). Legacy brokers have massive balance sheet advantages</w:t>
      </w:r>
    </w:p>
    <w:p w14:paraId="2D019D85" w14:textId="77777777" w:rsidR="008C05B8" w:rsidRDefault="00000000">
      <w:pPr>
        <w:pStyle w:val="ListParagraph"/>
        <w:numPr>
          <w:ilvl w:val="0"/>
          <w:numId w:val="2"/>
        </w:numPr>
        <w:spacing w:after="80"/>
      </w:pPr>
      <w:r>
        <w:t>Brand perception: Still associated with “gamification” and meme stocks by older/wealthier investors</w:t>
      </w:r>
    </w:p>
    <w:p w14:paraId="3204B7E8" w14:textId="77777777" w:rsidR="008C05B8" w:rsidRDefault="00000000">
      <w:pPr>
        <w:pStyle w:val="ListParagraph"/>
        <w:numPr>
          <w:ilvl w:val="0"/>
          <w:numId w:val="2"/>
        </w:numPr>
        <w:spacing w:after="80"/>
      </w:pPr>
      <w:r>
        <w:t>Crypto revenue cyclicality: ~20% of revenue tied to crypto trading volumes that are highly volatile</w:t>
      </w:r>
    </w:p>
    <w:p w14:paraId="7A1008C8" w14:textId="77777777" w:rsidR="008C05B8" w:rsidRDefault="00000000">
      <w:pPr>
        <w:pStyle w:val="ListParagraph"/>
        <w:numPr>
          <w:ilvl w:val="0"/>
          <w:numId w:val="2"/>
        </w:numPr>
        <w:spacing w:after="80"/>
      </w:pPr>
      <w:proofErr w:type="spellStart"/>
      <w:r>
        <w:t>Webull</w:t>
      </w:r>
      <w:proofErr w:type="spellEnd"/>
      <w:r>
        <w:t>, SoFi, and fintech upstarts compete directly for the same demographic</w:t>
      </w:r>
    </w:p>
    <w:p w14:paraId="542DE820" w14:textId="77777777" w:rsidR="008C05B8" w:rsidRDefault="00000000">
      <w:pPr>
        <w:spacing w:after="120"/>
      </w:pPr>
      <w:r>
        <w:rPr>
          <w:b/>
          <w:bCs/>
        </w:rPr>
        <w:t xml:space="preserve">Dimension 4 </w:t>
      </w:r>
      <w:proofErr w:type="gramStart"/>
      <w:r>
        <w:rPr>
          <w:b/>
          <w:bCs/>
        </w:rPr>
        <w:t>Score</w:t>
      </w:r>
      <w:proofErr w:type="gramEnd"/>
      <w:r>
        <w:rPr>
          <w:b/>
          <w:bCs/>
        </w:rPr>
        <w:t xml:space="preserve">: 6 / 10. </w:t>
      </w:r>
      <w:r>
        <w:t xml:space="preserve">Competitive oligopoly with genuine scale advantages for incumbents, but Robinhood is winning the generational battle. Market share </w:t>
      </w:r>
      <w:proofErr w:type="gramStart"/>
      <w:r>
        <w:t>by</w:t>
      </w:r>
      <w:proofErr w:type="gramEnd"/>
      <w:r>
        <w:t xml:space="preserve"> customers is strong; market share </w:t>
      </w:r>
      <w:proofErr w:type="gramStart"/>
      <w:r>
        <w:t>by</w:t>
      </w:r>
      <w:proofErr w:type="gramEnd"/>
      <w:r>
        <w:t xml:space="preserve"> assets is weak. The multi-product strategy is expanding the competitive moat but the gap to Schwab/Fidelity remains enormous in absolute terms.</w:t>
      </w:r>
    </w:p>
    <w:p w14:paraId="002EFD0E" w14:textId="77777777" w:rsidR="008C05B8" w:rsidRDefault="00000000">
      <w:r>
        <w:br w:type="page"/>
      </w:r>
    </w:p>
    <w:p w14:paraId="25AEA501" w14:textId="77777777" w:rsidR="008C05B8" w:rsidRDefault="00000000">
      <w:pPr>
        <w:pStyle w:val="Heading1"/>
      </w:pPr>
      <w:r>
        <w:lastRenderedPageBreak/>
        <w:t>COMPOSITE SCORING</w:t>
      </w:r>
    </w:p>
    <w:p w14:paraId="37FCE391" w14:textId="77777777" w:rsidR="008C05B8" w:rsidRDefault="00000000">
      <w:pPr>
        <w:pStyle w:val="Heading2"/>
      </w:pPr>
      <w:r>
        <w:t>Raw Composite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1360"/>
        <w:gridCol w:w="1500"/>
      </w:tblGrid>
      <w:tr w:rsidR="008C05B8" w14:paraId="36C2B8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B30F7C" w14:textId="77777777" w:rsidR="008C05B8" w:rsidRDefault="00000000">
            <w:r>
              <w:rPr>
                <w:b/>
                <w:bCs/>
                <w:color w:val="FFFFFF"/>
              </w:rPr>
              <w:t>Dimension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F65F1C6" w14:textId="77777777" w:rsidR="008C05B8" w:rsidRDefault="00000000">
            <w:r>
              <w:rPr>
                <w:b/>
                <w:bCs/>
                <w:color w:val="FFFFFF"/>
              </w:rPr>
              <w:t>Score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F8F7CC" w14:textId="77777777" w:rsidR="008C05B8" w:rsidRDefault="00000000">
            <w:r>
              <w:rPr>
                <w:b/>
                <w:bCs/>
                <w:color w:val="FFFFFF"/>
              </w:rPr>
              <w:t>Weight</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E470FCB" w14:textId="77777777" w:rsidR="008C05B8" w:rsidRDefault="00000000">
            <w:r>
              <w:rPr>
                <w:b/>
                <w:bCs/>
                <w:color w:val="FFFFFF"/>
              </w:rPr>
              <w:t>Weighted</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35D1EA" w14:textId="77777777" w:rsidR="008C05B8" w:rsidRDefault="00000000">
            <w:r>
              <w:rPr>
                <w:b/>
                <w:bCs/>
                <w:color w:val="FFFFFF"/>
              </w:rPr>
              <w:t>Trend</w:t>
            </w:r>
          </w:p>
        </w:tc>
      </w:tr>
      <w:tr w:rsidR="008C05B8" w14:paraId="6C15AB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2DE78F" w14:textId="77777777" w:rsidR="008C05B8" w:rsidRDefault="00000000">
            <w:r>
              <w:t>D1: Regulatory Licensing</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1954F4" w14:textId="77777777" w:rsidR="008C05B8" w:rsidRDefault="00000000">
            <w:r>
              <w:t>4 / 10</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DD0615" w14:textId="77777777" w:rsidR="008C05B8" w:rsidRDefault="00000000">
            <w:r>
              <w:t>20%</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3F2D9F" w14:textId="77777777" w:rsidR="008C05B8" w:rsidRDefault="00000000">
            <w:r>
              <w:t>0.80</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C5E602" w14:textId="77777777" w:rsidR="008C05B8" w:rsidRDefault="00000000">
            <w:r>
              <w:t>→ Stable</w:t>
            </w:r>
          </w:p>
        </w:tc>
      </w:tr>
      <w:tr w:rsidR="008C05B8" w14:paraId="7FD717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F7F5A" w14:textId="77777777" w:rsidR="008C05B8" w:rsidRDefault="00000000">
            <w:r>
              <w:t>D2: Customer Stickiness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5648E" w14:textId="77777777" w:rsidR="008C05B8" w:rsidRDefault="00000000">
            <w:r>
              <w:t>6 /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F72A8" w14:textId="77777777" w:rsidR="008C05B8" w:rsidRDefault="00000000">
            <w:r>
              <w:t>30%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E4D0D" w14:textId="77777777" w:rsidR="008C05B8" w:rsidRDefault="00000000">
            <w:r>
              <w:t>1.80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EEA81" w14:textId="77777777" w:rsidR="008C05B8" w:rsidRDefault="00000000">
            <w:r>
              <w:t>↑ Improving</w:t>
            </w:r>
          </w:p>
        </w:tc>
      </w:tr>
      <w:tr w:rsidR="008C05B8" w14:paraId="44323E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A2E708" w14:textId="77777777" w:rsidR="008C05B8" w:rsidRDefault="00000000">
            <w:r>
              <w:t>D3: AI Adaptability</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860B86" w14:textId="77777777" w:rsidR="008C05B8" w:rsidRDefault="00000000">
            <w:r>
              <w:t>7 / 10</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7509FE" w14:textId="77777777" w:rsidR="008C05B8" w:rsidRDefault="00000000">
            <w:r>
              <w:t>25%</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0D27EB" w14:textId="77777777" w:rsidR="008C05B8" w:rsidRDefault="00000000">
            <w:r>
              <w:t>1.75</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C1499F" w14:textId="77777777" w:rsidR="008C05B8" w:rsidRDefault="00000000">
            <w:r>
              <w:t>↑ Improving</w:t>
            </w:r>
          </w:p>
        </w:tc>
      </w:tr>
      <w:tr w:rsidR="008C05B8" w14:paraId="207E31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C7B71" w14:textId="77777777" w:rsidR="008C05B8" w:rsidRDefault="00000000">
            <w:r>
              <w:t>D4: Market 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880BB" w14:textId="77777777" w:rsidR="008C05B8" w:rsidRDefault="00000000">
            <w:r>
              <w:t>6 /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F683D" w14:textId="77777777" w:rsidR="008C05B8" w:rsidRDefault="00000000">
            <w:r>
              <w:t>25%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ED1FE" w14:textId="77777777" w:rsidR="008C05B8" w:rsidRDefault="00000000">
            <w:r>
              <w:t>1.50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AAAFA" w14:textId="77777777" w:rsidR="008C05B8" w:rsidRDefault="00000000">
            <w:r>
              <w:t>↑ Improving</w:t>
            </w:r>
          </w:p>
        </w:tc>
      </w:tr>
      <w:tr w:rsidR="008C05B8" w14:paraId="0CC0EC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4393A1F" w14:textId="77777777" w:rsidR="008C05B8" w:rsidRDefault="00000000">
            <w:r>
              <w:t>RAW COMPOSITE</w:t>
            </w:r>
          </w:p>
        </w:tc>
        <w:tc>
          <w:tcPr>
            <w:tcW w:w="1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2776F9C" w14:textId="77777777" w:rsidR="008C05B8" w:rsidRDefault="008C05B8"/>
        </w:tc>
        <w:tc>
          <w:tcPr>
            <w:tcW w:w="1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B017DEC" w14:textId="77777777" w:rsidR="008C05B8" w:rsidRDefault="00000000">
            <w:r>
              <w:t>100%</w:t>
            </w:r>
          </w:p>
        </w:tc>
        <w:tc>
          <w:tcPr>
            <w:tcW w:w="1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348C72A" w14:textId="77777777" w:rsidR="008C05B8" w:rsidRDefault="00000000">
            <w:r>
              <w:t>5.85</w:t>
            </w:r>
          </w:p>
        </w:tc>
        <w:tc>
          <w:tcPr>
            <w:tcW w:w="1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A0D56A0" w14:textId="77777777" w:rsidR="008C05B8" w:rsidRDefault="008C05B8"/>
        </w:tc>
      </w:tr>
    </w:tbl>
    <w:p w14:paraId="604679AE" w14:textId="77777777" w:rsidR="008C05B8" w:rsidRDefault="008C05B8">
      <w:pPr>
        <w:spacing w:after="120"/>
      </w:pPr>
    </w:p>
    <w:p w14:paraId="0AB6E773" w14:textId="77777777" w:rsidR="008C05B8" w:rsidRDefault="00000000">
      <w:pPr>
        <w:spacing w:after="120"/>
      </w:pPr>
      <w:r>
        <w:rPr>
          <w:b/>
          <w:bCs/>
        </w:rPr>
        <w:t xml:space="preserve">Raw Classification: TRANSITIONAL </w:t>
      </w:r>
      <w:r>
        <w:t>(5.0–6.4 range)</w:t>
      </w:r>
    </w:p>
    <w:p w14:paraId="25D9D516" w14:textId="77777777" w:rsidR="008C05B8" w:rsidRDefault="00000000">
      <w:pPr>
        <w:spacing w:after="120"/>
      </w:pPr>
      <w:r>
        <w:t>The company is transitioning from a fragile, single-product business to a diversified financial platform. The trajectory is positive across three of four dimensions, but the absence of structural moats (no regulatory designation, no benchmark authority, no non-replicable data) caps the score below Robust.</w:t>
      </w:r>
    </w:p>
    <w:p w14:paraId="30D06A36" w14:textId="77777777" w:rsidR="008C05B8" w:rsidRDefault="00000000">
      <w:r>
        <w:br w:type="page"/>
      </w:r>
    </w:p>
    <w:p w14:paraId="46875C74" w14:textId="77777777" w:rsidR="008C05B8" w:rsidRDefault="00000000">
      <w:pPr>
        <w:pStyle w:val="Heading2"/>
      </w:pPr>
      <w:r>
        <w:lastRenderedPageBreak/>
        <w:t>MODIFIER 1: REGULATORY DESIGNATION PREMIUM (RDP)</w:t>
      </w:r>
    </w:p>
    <w:p w14:paraId="51F2A8E1" w14:textId="77777777" w:rsidR="008C05B8" w:rsidRDefault="00000000">
      <w:pPr>
        <w:spacing w:after="120"/>
      </w:pPr>
      <w:r>
        <w:t>The RDP is designed for companies named in law or holding regulatory designations that restrict market entry. Robinhood holds standard broker-dealer licenses with no unique regulatory designation.</w:t>
      </w:r>
    </w:p>
    <w:p w14:paraId="6545984D" w14:textId="77777777" w:rsidR="008C05B8" w:rsidRDefault="00000000">
      <w:pPr>
        <w:spacing w:after="120"/>
      </w:pPr>
      <w:r>
        <w:rPr>
          <w:b/>
          <w:bCs/>
        </w:rPr>
        <w:t>RDP Score: 0. RDP Modifier: +0.0</w:t>
      </w:r>
    </w:p>
    <w:p w14:paraId="39F0B6A3" w14:textId="77777777" w:rsidR="008C05B8" w:rsidRDefault="00000000">
      <w:pPr>
        <w:spacing w:after="120"/>
      </w:pPr>
      <w:r>
        <w:t xml:space="preserve">No regulatory premium is warranted. The broker-dealer license is table </w:t>
      </w:r>
      <w:proofErr w:type="gramStart"/>
      <w:r>
        <w:t>stakes</w:t>
      </w:r>
      <w:proofErr w:type="gramEnd"/>
      <w:r>
        <w:t>, not a moat.</w:t>
      </w:r>
    </w:p>
    <w:p w14:paraId="629B5DEF" w14:textId="77777777" w:rsidR="008C05B8" w:rsidRDefault="00000000">
      <w:pPr>
        <w:pStyle w:val="Heading2"/>
      </w:pPr>
      <w:r>
        <w:t>MODIFIER 2: COUNTER-POSITIONING POTENTIAL (CPP)</w:t>
      </w:r>
    </w:p>
    <w:p w14:paraId="7D6F880A" w14:textId="77777777" w:rsidR="008C05B8" w:rsidRDefault="00000000">
      <w:pPr>
        <w:spacing w:after="120"/>
      </w:pPr>
      <w:r>
        <w:t>CPP measures whether management is building AI-native products that transform the business rather than defending legacy models.</w:t>
      </w:r>
    </w:p>
    <w:p w14:paraId="3AC2EF41" w14:textId="77777777" w:rsidR="008C05B8" w:rsidRDefault="00000000">
      <w:pPr>
        <w:pStyle w:val="ListParagraph"/>
        <w:numPr>
          <w:ilvl w:val="0"/>
          <w:numId w:val="2"/>
        </w:numPr>
        <w:spacing w:after="80"/>
      </w:pPr>
      <w:r>
        <w:t>Cortex AI launched as Gold-exclusive feature — driving subscription upgrades (+58% YoY Gold growth). Score: 2/2</w:t>
      </w:r>
    </w:p>
    <w:p w14:paraId="636161C2" w14:textId="77777777" w:rsidR="008C05B8" w:rsidRDefault="00000000">
      <w:pPr>
        <w:pStyle w:val="ListParagraph"/>
        <w:numPr>
          <w:ilvl w:val="0"/>
          <w:numId w:val="2"/>
        </w:numPr>
        <w:spacing w:after="80"/>
      </w:pPr>
      <w:r>
        <w:t>Prediction markets launched — new product category generating $100M+ annualized revenue. Score: 2/2</w:t>
      </w:r>
    </w:p>
    <w:p w14:paraId="29F044D1" w14:textId="77777777" w:rsidR="008C05B8" w:rsidRDefault="00000000">
      <w:pPr>
        <w:pStyle w:val="ListParagraph"/>
        <w:numPr>
          <w:ilvl w:val="0"/>
          <w:numId w:val="2"/>
        </w:numPr>
        <w:spacing w:after="80"/>
      </w:pPr>
      <w:r>
        <w:t xml:space="preserve">UK ISA launch (Feb </w:t>
      </w:r>
      <w:proofErr w:type="gramStart"/>
      <w:r>
        <w:t>2026) —</w:t>
      </w:r>
      <w:proofErr w:type="gramEnd"/>
      <w:r>
        <w:t xml:space="preserve"> international expansion into large addressable market. Score: 1/2</w:t>
      </w:r>
    </w:p>
    <w:p w14:paraId="018CCAA4" w14:textId="77777777" w:rsidR="008C05B8" w:rsidRDefault="00000000">
      <w:pPr>
        <w:pStyle w:val="ListParagraph"/>
        <w:numPr>
          <w:ilvl w:val="0"/>
          <w:numId w:val="2"/>
        </w:numPr>
        <w:spacing w:after="80"/>
      </w:pPr>
      <w:r>
        <w:t>TradePMR acquisition — entering RIA custody/wealth management. Score: 1/2</w:t>
      </w:r>
    </w:p>
    <w:p w14:paraId="11469859" w14:textId="77777777" w:rsidR="008C05B8" w:rsidRDefault="00000000">
      <w:pPr>
        <w:pStyle w:val="ListParagraph"/>
        <w:numPr>
          <w:ilvl w:val="0"/>
          <w:numId w:val="2"/>
        </w:numPr>
        <w:spacing w:after="80"/>
      </w:pPr>
      <w:r>
        <w:t>Revenue diversification from 2 to 11 $100M+ business lines in 2 years. Score: 2/2</w:t>
      </w:r>
    </w:p>
    <w:p w14:paraId="5C4F4C99" w14:textId="77777777" w:rsidR="008C05B8" w:rsidRDefault="00000000">
      <w:pPr>
        <w:pStyle w:val="ListParagraph"/>
        <w:numPr>
          <w:ilvl w:val="0"/>
          <w:numId w:val="2"/>
        </w:numPr>
        <w:spacing w:after="80"/>
      </w:pPr>
      <w:r>
        <w:t>Management track record of execution: FY2025 revenue +52%, EBITDA +76%, profitable. Score: 2/2</w:t>
      </w:r>
    </w:p>
    <w:p w14:paraId="693A6CBF" w14:textId="77777777" w:rsidR="008C05B8" w:rsidRDefault="00000000">
      <w:pPr>
        <w:spacing w:after="120"/>
      </w:pPr>
      <w:r>
        <w:rPr>
          <w:b/>
          <w:bCs/>
        </w:rPr>
        <w:t>CPP Score: 10 / 12. CPP Modifier: +1.25</w:t>
      </w:r>
    </w:p>
    <w:p w14:paraId="016AD7C6" w14:textId="77777777" w:rsidR="008C05B8" w:rsidRDefault="00000000">
      <w:pPr>
        <w:spacing w:after="120"/>
      </w:pPr>
      <w:r>
        <w:t>Robinhood’s management is executing an aggressive counter-positioning strategy. They are not defending a legacy model — they are building a new one. This is the company’s strongest attribute and the primary reason to be constructive.</w:t>
      </w:r>
    </w:p>
    <w:p w14:paraId="7AE4681F" w14:textId="77777777" w:rsidR="008C05B8" w:rsidRDefault="00000000">
      <w:r>
        <w:br w:type="page"/>
      </w:r>
    </w:p>
    <w:p w14:paraId="277B5903" w14:textId="77777777" w:rsidR="008C05B8" w:rsidRDefault="00000000">
      <w:pPr>
        <w:pStyle w:val="Heading2"/>
      </w:pPr>
      <w:r>
        <w:lastRenderedPageBreak/>
        <w:t>FINAL COMPOSITE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8C05B8" w14:paraId="282A82BC"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2128EBF" w14:textId="77777777" w:rsidR="008C05B8" w:rsidRDefault="00000000">
            <w:r>
              <w:rPr>
                <w:b/>
                <w:bCs/>
                <w:color w:val="FFFFFF"/>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CFB1A3D" w14:textId="77777777" w:rsidR="008C05B8" w:rsidRDefault="00000000">
            <w:r>
              <w:rPr>
                <w:b/>
                <w:bCs/>
                <w:color w:val="FFFFFF"/>
              </w:rPr>
              <w:t>Value</w:t>
            </w:r>
          </w:p>
        </w:tc>
      </w:tr>
      <w:tr w:rsidR="008C05B8" w14:paraId="4F07BE4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E62158" w14:textId="77777777" w:rsidR="008C05B8" w:rsidRDefault="00000000">
            <w:r>
              <w:t>Raw Composite</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99E589" w14:textId="77777777" w:rsidR="008C05B8" w:rsidRDefault="00000000">
            <w:r>
              <w:t>5.85</w:t>
            </w:r>
          </w:p>
        </w:tc>
      </w:tr>
      <w:tr w:rsidR="008C05B8" w14:paraId="21F3053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C2806" w14:textId="77777777" w:rsidR="008C05B8" w:rsidRDefault="00000000">
            <w:r>
              <w:t>RDP Modifier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853C9" w14:textId="77777777" w:rsidR="008C05B8" w:rsidRDefault="00000000">
            <w:r>
              <w:t>+0.00</w:t>
            </w:r>
          </w:p>
        </w:tc>
      </w:tr>
      <w:tr w:rsidR="008C05B8" w14:paraId="6D0532B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1ABAA3" w14:textId="77777777" w:rsidR="008C05B8" w:rsidRDefault="00000000">
            <w:r>
              <w:t>CPP Modifier</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76BB89" w14:textId="77777777" w:rsidR="008C05B8" w:rsidRDefault="00000000">
            <w:r>
              <w:t>+1.25</w:t>
            </w:r>
          </w:p>
        </w:tc>
      </w:tr>
      <w:tr w:rsidR="008C05B8" w14:paraId="795B69FD"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776CF2" w14:textId="77777777" w:rsidR="008C05B8" w:rsidRDefault="00000000">
            <w:r>
              <w:t>FINAL COMPOSITE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9B716F" w14:textId="77777777" w:rsidR="008C05B8" w:rsidRDefault="00000000">
            <w:r>
              <w:t>7.10</w:t>
            </w:r>
          </w:p>
        </w:tc>
      </w:tr>
    </w:tbl>
    <w:p w14:paraId="42FE17BB" w14:textId="77777777" w:rsidR="008C05B8" w:rsidRDefault="008C05B8">
      <w:pPr>
        <w:spacing w:after="120"/>
      </w:pPr>
    </w:p>
    <w:p w14:paraId="28E12E7C" w14:textId="77777777" w:rsidR="008C05B8" w:rsidRDefault="00000000">
      <w:pPr>
        <w:spacing w:after="120"/>
      </w:pPr>
      <w:r>
        <w:rPr>
          <w:b/>
          <w:bCs/>
        </w:rPr>
        <w:t xml:space="preserve">Final Classification: ROBUST </w:t>
      </w:r>
      <w:r>
        <w:t>(6.5–7.4 range)</w:t>
      </w:r>
    </w:p>
    <w:p w14:paraId="61C124CF" w14:textId="77777777" w:rsidR="008C05B8" w:rsidRDefault="00000000">
      <w:pPr>
        <w:spacing w:after="120"/>
      </w:pPr>
      <w:r>
        <w:t>The CPP modifier elevates Robinhood from Transitional to Robust. This is appropriate: the company’s competitive advantages are real but conventional (brand, scale, execution, product innovation), not structural (regulatory designation, benchmark authority, non-replicable data). The Robust classification reflects a high-quality growth franchise with improving competitive position but no fortress moat.</w:t>
      </w:r>
    </w:p>
    <w:p w14:paraId="49AE0A44" w14:textId="77777777" w:rsidR="008C05B8" w:rsidRDefault="00000000">
      <w:pPr>
        <w:spacing w:after="120"/>
      </w:pPr>
      <w:r>
        <w:rPr>
          <w:b/>
          <w:bCs/>
        </w:rPr>
        <w:t xml:space="preserve">RDP/CPP Profile: Low RDP + High CPP. </w:t>
      </w:r>
      <w:r>
        <w:t>Aggressive transition without regulatory safety net. Higher transition risk, higher ceiling if execution works. Recommended position size: 2-4%.</w:t>
      </w:r>
    </w:p>
    <w:p w14:paraId="34CCB037" w14:textId="77777777" w:rsidR="008C05B8" w:rsidRDefault="00000000">
      <w:r>
        <w:br w:type="page"/>
      </w:r>
    </w:p>
    <w:p w14:paraId="2B90FBD5" w14:textId="77777777" w:rsidR="008C05B8" w:rsidRDefault="00000000">
      <w:pPr>
        <w:pStyle w:val="Heading1"/>
      </w:pPr>
      <w:r>
        <w:lastRenderedPageBreak/>
        <w:t>VALUATION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8C05B8" w14:paraId="3882525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419E9A6" w14:textId="77777777" w:rsidR="008C05B8" w:rsidRDefault="00000000">
            <w:r>
              <w:rPr>
                <w:b/>
                <w:bCs/>
                <w:color w:val="FFFFFF"/>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258C41" w14:textId="77777777" w:rsidR="008C05B8" w:rsidRDefault="00000000">
            <w:r>
              <w:rPr>
                <w:b/>
                <w:bCs/>
                <w:color w:val="FFFFFF"/>
              </w:rPr>
              <w:t>Value</w:t>
            </w:r>
          </w:p>
        </w:tc>
      </w:tr>
      <w:tr w:rsidR="008C05B8" w14:paraId="41C5A35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9D73F9" w14:textId="77777777" w:rsidR="008C05B8" w:rsidRDefault="00000000">
            <w:r>
              <w:t>Current Stock Price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770348" w14:textId="77777777" w:rsidR="008C05B8" w:rsidRDefault="00000000">
            <w:r>
              <w:t>$79.15</w:t>
            </w:r>
          </w:p>
        </w:tc>
      </w:tr>
      <w:tr w:rsidR="008C05B8" w14:paraId="1B1B1A8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7432D" w14:textId="77777777" w:rsidR="008C05B8" w:rsidRDefault="00000000">
            <w:r>
              <w:t>Market Cap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8ECA3" w14:textId="77777777" w:rsidR="008C05B8" w:rsidRDefault="00000000">
            <w:r>
              <w:t>$71.3B</w:t>
            </w:r>
          </w:p>
        </w:tc>
      </w:tr>
      <w:tr w:rsidR="008C05B8" w14:paraId="2CEF4A7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D4B947" w14:textId="77777777" w:rsidR="008C05B8" w:rsidRDefault="00000000">
            <w:r>
              <w:t>EV/Revenue (LTM)</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D4C0A4" w14:textId="77777777" w:rsidR="008C05B8" w:rsidRDefault="00000000">
            <w:r>
              <w:t>~19x</w:t>
            </w:r>
          </w:p>
        </w:tc>
      </w:tr>
      <w:tr w:rsidR="008C05B8" w14:paraId="7375AF6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98170" w14:textId="77777777" w:rsidR="008C05B8" w:rsidRDefault="00000000">
            <w:r>
              <w:t>Forward P/E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79255" w14:textId="77777777" w:rsidR="008C05B8" w:rsidRDefault="00000000">
            <w:r>
              <w:t>~39x</w:t>
            </w:r>
          </w:p>
        </w:tc>
      </w:tr>
      <w:tr w:rsidR="008C05B8" w14:paraId="1B2446A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D6EB2C" w14:textId="77777777" w:rsidR="008C05B8" w:rsidRDefault="00000000">
            <w:r>
              <w:t>GAAP Net Income (FY2025)</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08A810" w14:textId="77777777" w:rsidR="008C05B8" w:rsidRDefault="00000000">
            <w:r>
              <w:t>$1.9B</w:t>
            </w:r>
          </w:p>
        </w:tc>
      </w:tr>
      <w:tr w:rsidR="008C05B8" w14:paraId="6DA2073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84505" w14:textId="77777777" w:rsidR="008C05B8" w:rsidRDefault="00000000">
            <w:r>
              <w:t>Adjusted EBITDA Margin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CB96B" w14:textId="77777777" w:rsidR="008C05B8" w:rsidRDefault="00000000">
            <w:r>
              <w:t>56%</w:t>
            </w:r>
          </w:p>
        </w:tc>
      </w:tr>
      <w:tr w:rsidR="008C05B8" w14:paraId="5A50B55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FC0F3D" w14:textId="77777777" w:rsidR="008C05B8" w:rsidRDefault="00000000">
            <w:r>
              <w:t>Revenue Growth (FY2025)</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E188FB" w14:textId="77777777" w:rsidR="008C05B8" w:rsidRDefault="00000000">
            <w:r>
              <w:t>+52% YoY</w:t>
            </w:r>
          </w:p>
        </w:tc>
      </w:tr>
      <w:tr w:rsidR="008C05B8" w14:paraId="383215F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A82C1" w14:textId="77777777" w:rsidR="008C05B8" w:rsidRDefault="00000000">
            <w:r>
              <w:t>Capital Markets Industry Median EV/Rev</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71B60" w14:textId="77777777" w:rsidR="008C05B8" w:rsidRDefault="00000000">
            <w:r>
              <w:t>~3.7x</w:t>
            </w:r>
          </w:p>
        </w:tc>
      </w:tr>
      <w:tr w:rsidR="008C05B8" w14:paraId="07FA5A1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820B6F" w14:textId="77777777" w:rsidR="008C05B8" w:rsidRDefault="00000000">
            <w:r>
              <w:t>Analyst Consensus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FD8594" w14:textId="77777777" w:rsidR="008C05B8" w:rsidRDefault="00000000">
            <w:r>
              <w:t>Buy, median PT $122</w:t>
            </w:r>
          </w:p>
        </w:tc>
      </w:tr>
    </w:tbl>
    <w:p w14:paraId="2A5F8165" w14:textId="77777777" w:rsidR="008C05B8" w:rsidRDefault="008C05B8">
      <w:pPr>
        <w:spacing w:after="120"/>
      </w:pPr>
    </w:p>
    <w:p w14:paraId="2CF3D363" w14:textId="77777777" w:rsidR="008C05B8" w:rsidRDefault="00000000">
      <w:pPr>
        <w:spacing w:before="200" w:after="120"/>
      </w:pPr>
      <w:r>
        <w:rPr>
          <w:b/>
          <w:bCs/>
          <w:color w:val="3A7CA5"/>
          <w:sz w:val="22"/>
          <w:szCs w:val="22"/>
        </w:rPr>
        <w:t>Valuation Assessment</w:t>
      </w:r>
    </w:p>
    <w:p w14:paraId="210152AF" w14:textId="77777777" w:rsidR="008C05B8" w:rsidRDefault="00000000">
      <w:pPr>
        <w:spacing w:after="120"/>
      </w:pPr>
      <w:r>
        <w:t>Robinhood trades at 19x LTM revenue, which is 5x the capital markets industry median of 3.7x. The 39x forward P/E is stretched by any traditional financial services standard. However, the company is growing revenue at 52% YoY with a 56% EBITDA margin — this is SaaS-like profitability at scale, which commands a higher multiple.</w:t>
      </w:r>
    </w:p>
    <w:p w14:paraId="4ACDD59F" w14:textId="77777777" w:rsidR="008C05B8" w:rsidRDefault="00000000">
      <w:pPr>
        <w:spacing w:after="120"/>
      </w:pPr>
      <w:r>
        <w:t>The reverse DCF implies: At $79.15 and ~$1.9B in net income, the market is pricing in approximately 20-25% revenue growth for the next 3-5 years with stable-to-expanding margins. Given that 52% of FY2025 growth was driven partly by a crypto bull market and rate-favorable NII environment, sustaining 20-25% growth requires either continued crypto tailwinds or successful diversification into new products (wealth management, banking, international).</w:t>
      </w:r>
    </w:p>
    <w:p w14:paraId="55890AA1" w14:textId="77777777" w:rsidR="008C05B8" w:rsidRDefault="00000000">
      <w:pPr>
        <w:spacing w:after="120"/>
      </w:pPr>
      <w:r>
        <w:t xml:space="preserve">The analyst consensus PT of $122 implies ~54% </w:t>
      </w:r>
      <w:proofErr w:type="gramStart"/>
      <w:r>
        <w:t>upside</w:t>
      </w:r>
      <w:proofErr w:type="gramEnd"/>
      <w:r>
        <w:t xml:space="preserve"> from current levels. However, the stock fell 8.9% after reporting record Q4 2025 results, suggesting that the market is increasingly pricing in execution risk and crypto cyclicality.</w:t>
      </w:r>
    </w:p>
    <w:p w14:paraId="0569A27A" w14:textId="77777777" w:rsidR="008C05B8" w:rsidRDefault="00000000">
      <w:pPr>
        <w:spacing w:after="120"/>
      </w:pPr>
      <w:r>
        <w:rPr>
          <w:b/>
          <w:bCs/>
        </w:rPr>
        <w:t xml:space="preserve">Valuation Gate: CONDITIONAL PASS. </w:t>
      </w:r>
      <w:r>
        <w:t xml:space="preserve">The valuation is elevated but not absurd given the growth profile. At 19x revenue, the stock </w:t>
      </w:r>
      <w:proofErr w:type="gramStart"/>
      <w:r>
        <w:t>prices in sustained high growth —</w:t>
      </w:r>
      <w:proofErr w:type="gramEnd"/>
      <w:r>
        <w:t xml:space="preserve"> any deceleration (crypto winter, rate cuts compressing NII, slowing net deposits) would compress the multiple significantly. The Robust classification at this valuation suggests waiting for a better entry point or sizing conservatively (1-2% vs. 4% for a full-conviction position).</w:t>
      </w:r>
    </w:p>
    <w:p w14:paraId="408AC995" w14:textId="77777777" w:rsidR="008C05B8" w:rsidRDefault="00000000">
      <w:r>
        <w:br w:type="page"/>
      </w:r>
    </w:p>
    <w:p w14:paraId="276439DD" w14:textId="77777777" w:rsidR="008C05B8" w:rsidRDefault="00000000">
      <w:pPr>
        <w:pStyle w:val="Heading1"/>
      </w:pPr>
      <w:r>
        <w:lastRenderedPageBreak/>
        <w:t>SCENARIO MODELING</w:t>
      </w:r>
    </w:p>
    <w:p w14:paraId="4B0C99DE" w14:textId="77777777" w:rsidR="008C05B8" w:rsidRDefault="00000000">
      <w:pPr>
        <w:pStyle w:val="Heading2"/>
      </w:pPr>
      <w:r>
        <w:t xml:space="preserve">Bull Case (AI-Powered </w:t>
      </w:r>
      <w:proofErr w:type="spellStart"/>
      <w:proofErr w:type="gramStart"/>
      <w:r>
        <w:t>SuperApp</w:t>
      </w:r>
      <w:proofErr w:type="spellEnd"/>
      <w:r>
        <w:t>) —</w:t>
      </w:r>
      <w:proofErr w:type="gramEnd"/>
      <w:r>
        <w:t xml:space="preserve"> 25% Probability</w:t>
      </w:r>
    </w:p>
    <w:p w14:paraId="3D77B789" w14:textId="77777777" w:rsidR="008C05B8" w:rsidRDefault="00000000">
      <w:pPr>
        <w:spacing w:after="120"/>
      </w:pPr>
      <w:r>
        <w:t xml:space="preserve">Cortex becomes the dominant AI financial interface for the under-40 cohort. Gold subscribers reach 8-10M by 2028. Robinhood Banking and Strategies capture meaningful share of the Great Wealth Transfer. UK and international expansion </w:t>
      </w:r>
      <w:proofErr w:type="gramStart"/>
      <w:r>
        <w:t>succeeds</w:t>
      </w:r>
      <w:proofErr w:type="gramEnd"/>
      <w:r>
        <w:t>. Prediction markets grow to $500M+ annual revenue. Revenue reaches $8-10B by 2028 with 50%+ EBITDA margins. Stock re-rates to $150-180 (15-18x forward revenue).</w:t>
      </w:r>
    </w:p>
    <w:p w14:paraId="34C8CD19" w14:textId="77777777" w:rsidR="008C05B8" w:rsidRDefault="00000000">
      <w:pPr>
        <w:spacing w:after="120"/>
      </w:pPr>
      <w:r>
        <w:rPr>
          <w:b/>
          <w:bCs/>
        </w:rPr>
        <w:t xml:space="preserve">What must be true: </w:t>
      </w:r>
      <w:r>
        <w:t>Crypto market remains constructive, Cortex achieves genuine product-market fit, international expansion works, no major regulatory setback, Gold Card and Banking scale without credit losses.</w:t>
      </w:r>
    </w:p>
    <w:p w14:paraId="1671191E" w14:textId="77777777" w:rsidR="008C05B8" w:rsidRDefault="00000000">
      <w:pPr>
        <w:pStyle w:val="Heading2"/>
      </w:pPr>
      <w:r>
        <w:t xml:space="preserve">Base Case (Profitable Growth </w:t>
      </w:r>
      <w:proofErr w:type="gramStart"/>
      <w:r>
        <w:t>Moderates) —</w:t>
      </w:r>
      <w:proofErr w:type="gramEnd"/>
      <w:r>
        <w:t xml:space="preserve"> 50% Probability</w:t>
      </w:r>
    </w:p>
    <w:p w14:paraId="0BDD4FFF" w14:textId="77777777" w:rsidR="008C05B8" w:rsidRDefault="00000000">
      <w:pPr>
        <w:spacing w:after="120"/>
      </w:pPr>
      <w:r>
        <w:t xml:space="preserve">Revenue grows 15-20% annually as crypto normalizes and NII moderates with rate cuts. Gold subscribers grow to 6M. </w:t>
      </w:r>
      <w:proofErr w:type="gramStart"/>
      <w:r>
        <w:t>Multi-product</w:t>
      </w:r>
      <w:proofErr w:type="gramEnd"/>
      <w:r>
        <w:t xml:space="preserve"> engagement deepens gradually. RIA custody (TradePMR) contributes modestly. Revenue reaches $6.5-7.5B by 2028 with 45-50% EBITDA margins. Stock trades in $90-120 range (12-15x forward revenue).</w:t>
      </w:r>
    </w:p>
    <w:p w14:paraId="445290AD" w14:textId="77777777" w:rsidR="008C05B8" w:rsidRDefault="00000000">
      <w:pPr>
        <w:spacing w:after="120"/>
      </w:pPr>
      <w:r>
        <w:rPr>
          <w:b/>
          <w:bCs/>
        </w:rPr>
        <w:t xml:space="preserve">What must be true: </w:t>
      </w:r>
      <w:r>
        <w:t xml:space="preserve">No crypto winter, Fed </w:t>
      </w:r>
      <w:proofErr w:type="gramStart"/>
      <w:r>
        <w:t>cuts</w:t>
      </w:r>
      <w:proofErr w:type="gramEnd"/>
      <w:r>
        <w:t xml:space="preserve"> rates gradually (not aggressively), retention of funded customers improves, competition from Schwab/Fidelity does not accelerate meaningfully.</w:t>
      </w:r>
    </w:p>
    <w:p w14:paraId="2E8508AD" w14:textId="77777777" w:rsidR="008C05B8" w:rsidRDefault="00000000">
      <w:pPr>
        <w:pStyle w:val="Heading2"/>
      </w:pPr>
      <w:r>
        <w:t>Bear Case (Crypto Winter + Rate Compression) — 25% Probability</w:t>
      </w:r>
    </w:p>
    <w:p w14:paraId="40AAA7CB" w14:textId="77777777" w:rsidR="008C05B8" w:rsidRDefault="00000000">
      <w:pPr>
        <w:spacing w:after="120"/>
      </w:pPr>
      <w:r>
        <w:t>Crypto enters a prolonged bear market, reducing transaction revenue by 40-50%. Fed cuts rates aggressively, compressing NII by 20-30%. MAU continues declining as engagement wanes. Gold Card generates credit losses. Net deposits decelerate. Revenue stagnates at $4-4.5B with margin compression to 35-40% EBITDA. Stock drops to $40-55 (8-10x forward revenue).</w:t>
      </w:r>
    </w:p>
    <w:p w14:paraId="6DF3F381" w14:textId="77777777" w:rsidR="008C05B8" w:rsidRDefault="00000000">
      <w:pPr>
        <w:spacing w:after="120"/>
      </w:pPr>
      <w:r>
        <w:rPr>
          <w:b/>
          <w:bCs/>
        </w:rPr>
        <w:t xml:space="preserve">What must be true: </w:t>
      </w:r>
      <w:r>
        <w:t xml:space="preserve">Crypto bear market coincides with aggressive rate cuts. Schwab launches competitive crypto offering. Dormant users begin actively churning. IRA </w:t>
      </w:r>
      <w:proofErr w:type="gramStart"/>
      <w:r>
        <w:t>match becomes</w:t>
      </w:r>
      <w:proofErr w:type="gramEnd"/>
      <w:r>
        <w:t xml:space="preserve"> unsustainably expensive.</w:t>
      </w:r>
    </w:p>
    <w:p w14:paraId="42D1971F" w14:textId="77777777" w:rsidR="008C05B8" w:rsidRDefault="00000000">
      <w:pPr>
        <w:spacing w:before="200" w:after="120"/>
      </w:pPr>
      <w:r>
        <w:rPr>
          <w:b/>
          <w:bCs/>
          <w:color w:val="3A7CA5"/>
          <w:sz w:val="22"/>
          <w:szCs w:val="22"/>
        </w:rPr>
        <w:t>Probability-Weighted Expected Value</w:t>
      </w:r>
    </w:p>
    <w:p w14:paraId="7D9F5274" w14:textId="77777777" w:rsidR="008C05B8" w:rsidRDefault="00000000">
      <w:pPr>
        <w:spacing w:after="120"/>
      </w:pPr>
      <w:r>
        <w:t>Bull: 25% × $165 = $41.25</w:t>
      </w:r>
    </w:p>
    <w:p w14:paraId="642B364E" w14:textId="77777777" w:rsidR="008C05B8" w:rsidRDefault="00000000">
      <w:pPr>
        <w:spacing w:after="120"/>
      </w:pPr>
      <w:r>
        <w:t>Base: 50% × $105 = $52.50</w:t>
      </w:r>
    </w:p>
    <w:p w14:paraId="68CF4C70" w14:textId="77777777" w:rsidR="008C05B8" w:rsidRDefault="00000000">
      <w:pPr>
        <w:spacing w:after="120"/>
      </w:pPr>
      <w:r>
        <w:t>Bear: 25% × $47 = $11.75</w:t>
      </w:r>
    </w:p>
    <w:p w14:paraId="73B4596C" w14:textId="77777777" w:rsidR="008C05B8" w:rsidRDefault="00000000">
      <w:pPr>
        <w:spacing w:after="120"/>
      </w:pPr>
      <w:r>
        <w:rPr>
          <w:b/>
          <w:bCs/>
        </w:rPr>
        <w:t xml:space="preserve">Probability-Weighted Target: $105.50 </w:t>
      </w:r>
      <w:r>
        <w:t>(— implied upside of ~33% from $79.15)</w:t>
      </w:r>
    </w:p>
    <w:p w14:paraId="68D78449" w14:textId="77777777" w:rsidR="008C05B8" w:rsidRDefault="00000000">
      <w:r>
        <w:br w:type="page"/>
      </w:r>
    </w:p>
    <w:p w14:paraId="2EFACEB2" w14:textId="77777777" w:rsidR="008C05B8" w:rsidRDefault="00000000">
      <w:pPr>
        <w:pStyle w:val="Heading1"/>
      </w:pPr>
      <w:r>
        <w:lastRenderedPageBreak/>
        <w:t>BEAR CASE STEELMAN</w:t>
      </w:r>
    </w:p>
    <w:p w14:paraId="66D844E6" w14:textId="77777777" w:rsidR="008C05B8" w:rsidRDefault="00000000">
      <w:pPr>
        <w:spacing w:after="120"/>
      </w:pPr>
      <w:r>
        <w:t xml:space="preserve">1. Crypto Revenue Cyclicality Is Structural, Not Fixable. Approximately 20% of FY2025 revenue came from crypto trading. Q4 2025 already showed a 38% sequential decline in crypto revenue. In a sustained crypto bear market (as in 2022), crypto revenue could fall 60-80%, removing $500-700M of annual revenue with virtually zero offsetting cost reduction. Robinhood’s diversification narrative is undermined by the reality that crypto revenue swings drive </w:t>
      </w:r>
      <w:proofErr w:type="gramStart"/>
      <w:r>
        <w:t>the majority of</w:t>
      </w:r>
      <w:proofErr w:type="gramEnd"/>
      <w:r>
        <w:t xml:space="preserve"> earnings volatility.</w:t>
      </w:r>
    </w:p>
    <w:p w14:paraId="11D81B47" w14:textId="77777777" w:rsidR="008C05B8" w:rsidRDefault="00000000">
      <w:pPr>
        <w:spacing w:after="120"/>
      </w:pPr>
      <w:r>
        <w:t>2. The MAU Decline Signals Engagement Erosion. Monthly Active Users declined 1.9M YoY to 13.0M in Q4 2025 — while funded customers grew to 27M. This implies a 52% dormancy rate. Dormant customers don’t generate transaction revenue, don’t subscribe to Gold, and have zero switching costs. The risk is that Robinhood’s reported customer metrics overstate the health of the business. High-quality customers are engaged; half of Robinhood’s customers are not.</w:t>
      </w:r>
    </w:p>
    <w:p w14:paraId="2A9B1F9A" w14:textId="77777777" w:rsidR="008C05B8" w:rsidRDefault="00000000">
      <w:pPr>
        <w:spacing w:after="120"/>
      </w:pPr>
      <w:r>
        <w:t xml:space="preserve">3. Net Interest Income Is Rate-Dependent and Competitively Vulnerable. NII represented 34% of FY2025 revenue. This revenue stream is directly tied to the Fed funds rate. In a rate-cutting cycle, the 5% APY offered to </w:t>
      </w:r>
      <w:proofErr w:type="gramStart"/>
      <w:r>
        <w:t>Gold</w:t>
      </w:r>
      <w:proofErr w:type="gramEnd"/>
      <w:r>
        <w:t xml:space="preserve"> subscribers </w:t>
      </w:r>
      <w:proofErr w:type="gramStart"/>
      <w:r>
        <w:t>becomes</w:t>
      </w:r>
      <w:proofErr w:type="gramEnd"/>
      <w:r>
        <w:t xml:space="preserve"> expensive to maintain (Robinhood must absorb the spread). Simultaneously, margin interest income declines and securities lending revenue may compress. Schwab and Fidelity can offer competitive rates backed by vastly larger balance sheets.</w:t>
      </w:r>
    </w:p>
    <w:p w14:paraId="1C182240" w14:textId="77777777" w:rsidR="008C05B8" w:rsidRDefault="00000000">
      <w:pPr>
        <w:spacing w:after="120"/>
      </w:pPr>
      <w:r>
        <w:t>4. Insider Selling Is a Red Flag. Insiders collectively hold only 1.33% of shares, down significantly. CEO Vlad Tenev sold 375,000 shares in January 2026 for ~$46M. Co-founder Baiju Bhatt has been selling consistently. While they maintain control through dual-class shares (Bhatt ~40% voting power, Tenev ~24%), the economic divestment suggests insiders are taking chips off the table at these valuations.</w:t>
      </w:r>
    </w:p>
    <w:p w14:paraId="64E6B9C7" w14:textId="77777777" w:rsidR="008C05B8" w:rsidRDefault="00000000">
      <w:pPr>
        <w:spacing w:after="120"/>
      </w:pPr>
      <w:r>
        <w:t xml:space="preserve">5. The Valuation Prices Perfection. At 19x LTM revenue and 39x P/E, any miss on growth, any crypto downturn, any NII compression gets punished severely. The </w:t>
      </w:r>
      <w:proofErr w:type="gramStart"/>
      <w:r>
        <w:t>stock</w:t>
      </w:r>
      <w:proofErr w:type="gramEnd"/>
      <w:r>
        <w:t xml:space="preserve"> fell 8.9% after reporting RECORD revenue. The market is already worried about sustainability. A Robust company at a premium valuation is an uncomfortable </w:t>
      </w:r>
      <w:proofErr w:type="gramStart"/>
      <w:r>
        <w:t>risk-reward</w:t>
      </w:r>
      <w:proofErr w:type="gramEnd"/>
      <w:r>
        <w:t>.</w:t>
      </w:r>
    </w:p>
    <w:p w14:paraId="027200E8" w14:textId="77777777" w:rsidR="008C05B8" w:rsidRDefault="00000000">
      <w:pPr>
        <w:spacing w:after="120"/>
      </w:pPr>
      <w:r>
        <w:rPr>
          <w:b/>
          <w:bCs/>
        </w:rPr>
        <w:t xml:space="preserve">What would have to be true for the bear case to play out? </w:t>
      </w:r>
      <w:r>
        <w:t>Crypto enters a sustained bear market (12-18 months of declining volumes), the Fed cuts rates by 150bps+ in 2026-2027, and MAU continues declining below 12M. All three happening simultaneously would compress revenue by 15-25% and the stock by 40-50%.</w:t>
      </w:r>
    </w:p>
    <w:p w14:paraId="6A997030" w14:textId="77777777" w:rsidR="008C05B8" w:rsidRDefault="00000000">
      <w:pPr>
        <w:spacing w:after="120"/>
      </w:pPr>
      <w:r>
        <w:rPr>
          <w:b/>
          <w:bCs/>
        </w:rPr>
        <w:t xml:space="preserve">How would you know if the bear case is winning? </w:t>
      </w:r>
      <w:r>
        <w:t xml:space="preserve">Watch crypto trading volumes (weekly), NII trajectory (quarterly), MAU trend (quarterly), and </w:t>
      </w:r>
      <w:proofErr w:type="gramStart"/>
      <w:r>
        <w:t>Gold</w:t>
      </w:r>
      <w:proofErr w:type="gramEnd"/>
      <w:r>
        <w:t xml:space="preserve"> subscriber growth (quarterly). If MAU drops below 12M and crypto revenue falls below $150M/quarter for two consecutive quarters, the bear case is materializing.</w:t>
      </w:r>
    </w:p>
    <w:p w14:paraId="1B71CC37" w14:textId="77777777" w:rsidR="008C05B8" w:rsidRDefault="00000000">
      <w:r>
        <w:br w:type="page"/>
      </w:r>
    </w:p>
    <w:p w14:paraId="77B41E3D" w14:textId="77777777" w:rsidR="008C05B8" w:rsidRDefault="00000000">
      <w:pPr>
        <w:pStyle w:val="Heading1"/>
      </w:pPr>
      <w:r>
        <w:lastRenderedPageBreak/>
        <w:t>FINAL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8C05B8" w14:paraId="4D6FD40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F8F635" w14:textId="77777777" w:rsidR="008C05B8" w:rsidRDefault="008C05B8"/>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0A2666" w14:textId="77777777" w:rsidR="008C05B8" w:rsidRDefault="008C05B8"/>
        </w:tc>
      </w:tr>
      <w:tr w:rsidR="008C05B8" w14:paraId="208A3A0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26A4A7" w14:textId="77777777" w:rsidR="008C05B8" w:rsidRDefault="00000000">
            <w:r>
              <w:rPr>
                <w:b/>
                <w:bCs/>
              </w:rPr>
              <w:t>Company</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8781C5" w14:textId="77777777" w:rsidR="008C05B8" w:rsidRDefault="00000000">
            <w:r>
              <w:t>Robinhood Markets (HOOD)</w:t>
            </w:r>
          </w:p>
        </w:tc>
      </w:tr>
      <w:tr w:rsidR="008C05B8" w14:paraId="383FA33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03797" w14:textId="77777777" w:rsidR="008C05B8" w:rsidRDefault="00000000">
            <w:r>
              <w:rPr>
                <w:b/>
                <w:bCs/>
              </w:rPr>
              <w:t>Final Composite Score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18607" w14:textId="77777777" w:rsidR="008C05B8" w:rsidRDefault="00000000">
            <w:r>
              <w:t>7.10 / 10</w:t>
            </w:r>
          </w:p>
        </w:tc>
      </w:tr>
      <w:tr w:rsidR="008C05B8" w14:paraId="0D23B9B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656BAA" w14:textId="77777777" w:rsidR="008C05B8" w:rsidRDefault="00000000">
            <w:r>
              <w:rPr>
                <w:b/>
                <w:bCs/>
              </w:rPr>
              <w:t>Classification</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E04E2B" w14:textId="77777777" w:rsidR="008C05B8" w:rsidRDefault="00000000">
            <w:r>
              <w:t>ROBUST</w:t>
            </w:r>
          </w:p>
        </w:tc>
      </w:tr>
      <w:tr w:rsidR="008C05B8" w14:paraId="36DB149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953A4" w14:textId="77777777" w:rsidR="008C05B8" w:rsidRDefault="00000000">
            <w:r>
              <w:rPr>
                <w:b/>
                <w:bCs/>
              </w:rPr>
              <w:t>Valuation Gate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A7519" w14:textId="77777777" w:rsidR="008C05B8" w:rsidRDefault="00000000">
            <w:r>
              <w:t>CONDITIONAL PASS</w:t>
            </w:r>
          </w:p>
        </w:tc>
      </w:tr>
      <w:tr w:rsidR="008C05B8" w14:paraId="180EDED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B22D97" w14:textId="77777777" w:rsidR="008C05B8" w:rsidRDefault="00000000">
            <w:r>
              <w:rPr>
                <w:b/>
                <w:bCs/>
              </w:rPr>
              <w:t>Prob-Weighted Upside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8BC4F0" w14:textId="77777777" w:rsidR="008C05B8" w:rsidRDefault="00000000">
            <w:r>
              <w:t>+33% ($105.50 target)</w:t>
            </w:r>
          </w:p>
        </w:tc>
      </w:tr>
      <w:tr w:rsidR="008C05B8" w14:paraId="7123055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6B12D" w14:textId="77777777" w:rsidR="008C05B8" w:rsidRDefault="00000000">
            <w:r>
              <w:rPr>
                <w:b/>
                <w:bCs/>
              </w:rPr>
              <w:t>RDP/CPP Profile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7B623" w14:textId="77777777" w:rsidR="008C05B8" w:rsidRDefault="00000000">
            <w:r>
              <w:t>Low RDP / High CPP</w:t>
            </w:r>
          </w:p>
        </w:tc>
      </w:tr>
    </w:tbl>
    <w:p w14:paraId="67902C3A" w14:textId="77777777" w:rsidR="008C05B8" w:rsidRDefault="008C05B8">
      <w:pPr>
        <w:spacing w:after="120"/>
      </w:pPr>
    </w:p>
    <w:p w14:paraId="20FD8D35" w14:textId="77777777" w:rsidR="008C05B8" w:rsidRDefault="00000000">
      <w:pPr>
        <w:spacing w:after="120"/>
      </w:pPr>
      <w:r>
        <w:rPr>
          <w:b/>
          <w:bCs/>
        </w:rPr>
        <w:t>VERDICT: QUALITY HOLD — Starter Position (1-2%) at Current Levels</w:t>
      </w:r>
    </w:p>
    <w:p w14:paraId="3A1EDF74" w14:textId="77777777" w:rsidR="008C05B8" w:rsidRDefault="00000000">
      <w:pPr>
        <w:spacing w:after="120"/>
      </w:pPr>
      <w:r>
        <w:t>Robinhood is a well-managed, rapidly diversifying fintech platform with genuine competitive advantages (brand, UX, multi-product engagement, self-clearing infrastructure, AI strategy). The Robust classification reflects a company with improving fundamentals and a management team executing an ambitious counter-positioning strategy.</w:t>
      </w:r>
    </w:p>
    <w:p w14:paraId="4D6F3DA1" w14:textId="77777777" w:rsidR="008C05B8" w:rsidRDefault="00000000">
      <w:pPr>
        <w:spacing w:after="120"/>
      </w:pPr>
      <w:r>
        <w:t xml:space="preserve">However, the absence of structural moats (no regulatory designation, no benchmark authority, no non-replicable data) means the company must continuously execute to maintain its competitive position. The valuation at 19x revenue / 39x P/E prices in sustained high growth and </w:t>
      </w:r>
      <w:proofErr w:type="gramStart"/>
      <w:r>
        <w:t>leaves</w:t>
      </w:r>
      <w:proofErr w:type="gramEnd"/>
      <w:r>
        <w:t xml:space="preserve"> minimal margin of safety. Crypto cyclicality (20% of revenue) and NII rate-sensitivity (34% of revenue) create material earnings volatility that the multiple does not adequately compensate for.</w:t>
      </w:r>
    </w:p>
    <w:p w14:paraId="3F9C372F" w14:textId="77777777" w:rsidR="008C05B8" w:rsidRDefault="00000000">
      <w:pPr>
        <w:spacing w:after="120"/>
      </w:pPr>
      <w:r>
        <w:rPr>
          <w:b/>
          <w:bCs/>
        </w:rPr>
        <w:t xml:space="preserve">Recommended Action: </w:t>
      </w:r>
      <w:r>
        <w:t xml:space="preserve">Starter position (1-2%) with a plan to </w:t>
      </w:r>
      <w:proofErr w:type="gramStart"/>
      <w:r>
        <w:t>add on</w:t>
      </w:r>
      <w:proofErr w:type="gramEnd"/>
      <w:r>
        <w:t xml:space="preserve"> pullbacks below $65 (15x LTM revenue) or on evidence that the </w:t>
      </w:r>
      <w:proofErr w:type="spellStart"/>
      <w:r>
        <w:t>SuperApp</w:t>
      </w:r>
      <w:proofErr w:type="spellEnd"/>
      <w:r>
        <w:t xml:space="preserve"> strategy is producing measurable retention improvements (MAU inflection, </w:t>
      </w:r>
      <w:proofErr w:type="gramStart"/>
      <w:r>
        <w:t>Gold</w:t>
      </w:r>
      <w:proofErr w:type="gramEnd"/>
      <w:r>
        <w:t xml:space="preserve"> subscribers &gt;5M, banking deposits &gt;$2B).</w:t>
      </w:r>
    </w:p>
    <w:p w14:paraId="66FDDCEA" w14:textId="77777777" w:rsidR="008C05B8" w:rsidRDefault="00000000">
      <w:pPr>
        <w:spacing w:after="120"/>
      </w:pPr>
      <w:r>
        <w:rPr>
          <w:b/>
          <w:bCs/>
        </w:rPr>
        <w:t xml:space="preserve">Conviction Level: Medium. </w:t>
      </w:r>
      <w:r>
        <w:t xml:space="preserve">The execution is </w:t>
      </w:r>
      <w:proofErr w:type="gramStart"/>
      <w:r>
        <w:t>impressive</w:t>
      </w:r>
      <w:proofErr w:type="gramEnd"/>
      <w:r>
        <w:t xml:space="preserve"> but the moats are conventional, not structural. This is a high-quality growth stock, not a compounder with durable competitive advantages in the framework’s definition.</w:t>
      </w:r>
    </w:p>
    <w:p w14:paraId="3410EADB" w14:textId="77777777" w:rsidR="008C05B8" w:rsidRDefault="00000000">
      <w:r>
        <w:br w:type="page"/>
      </w:r>
    </w:p>
    <w:p w14:paraId="080E91FA" w14:textId="77777777" w:rsidR="008C05B8" w:rsidRDefault="00000000">
      <w:pPr>
        <w:pStyle w:val="Heading1"/>
      </w:pPr>
      <w:r>
        <w:lastRenderedPageBreak/>
        <w:t>MONITORING TRIPWIRES</w:t>
      </w:r>
    </w:p>
    <w:p w14:paraId="3202E310" w14:textId="77777777" w:rsidR="008C05B8" w:rsidRDefault="00000000">
      <w:pPr>
        <w:pStyle w:val="ListParagraph"/>
        <w:numPr>
          <w:ilvl w:val="0"/>
          <w:numId w:val="3"/>
        </w:numPr>
        <w:spacing w:after="100"/>
      </w:pPr>
      <w:r>
        <w:t>Monthly Active Users (MAU) falls below 11.5M for two consecutive quarters (from current 13.0</w:t>
      </w:r>
      <w:proofErr w:type="gramStart"/>
      <w:r>
        <w:t>M) —</w:t>
      </w:r>
      <w:proofErr w:type="gramEnd"/>
      <w:r>
        <w:t xml:space="preserve"> signals accelerating engagement erosion</w:t>
      </w:r>
    </w:p>
    <w:p w14:paraId="33CD9BFA" w14:textId="77777777" w:rsidR="008C05B8" w:rsidRDefault="00000000">
      <w:pPr>
        <w:pStyle w:val="ListParagraph"/>
        <w:numPr>
          <w:ilvl w:val="0"/>
          <w:numId w:val="3"/>
        </w:numPr>
        <w:spacing w:after="100"/>
      </w:pPr>
      <w:r>
        <w:t>Crypto transaction revenue falls below $120M/quarter for two consecutive quarters — signals a sustained crypto bear market compressing the largest transaction revenue stream</w:t>
      </w:r>
    </w:p>
    <w:p w14:paraId="71E5A461" w14:textId="77777777" w:rsidR="008C05B8" w:rsidRDefault="00000000">
      <w:pPr>
        <w:pStyle w:val="ListParagraph"/>
        <w:numPr>
          <w:ilvl w:val="0"/>
          <w:numId w:val="3"/>
        </w:numPr>
        <w:spacing w:after="100"/>
      </w:pPr>
      <w:r>
        <w:t>Net deposits decelerate below $10B/quarter (annualized &lt;15% asset growth) for two consecutive quarters — signals the deposit momentum narrative is broken</w:t>
      </w:r>
    </w:p>
    <w:p w14:paraId="11DFFFEC" w14:textId="77777777" w:rsidR="008C05B8" w:rsidRDefault="00000000">
      <w:pPr>
        <w:pStyle w:val="ListParagraph"/>
        <w:numPr>
          <w:ilvl w:val="0"/>
          <w:numId w:val="3"/>
        </w:numPr>
        <w:spacing w:after="100"/>
      </w:pPr>
      <w:r>
        <w:t>EBITDA margin falls below 40% for two consecutive quarters — signals operating leverage is deteriorating (IRA match costs, Gold Card credit losses, or competitive pricing pressure)</w:t>
      </w:r>
    </w:p>
    <w:p w14:paraId="5969BCC0" w14:textId="77777777" w:rsidR="008C05B8" w:rsidRDefault="00000000">
      <w:pPr>
        <w:pStyle w:val="ListParagraph"/>
        <w:numPr>
          <w:ilvl w:val="0"/>
          <w:numId w:val="3"/>
        </w:numPr>
        <w:spacing w:after="100"/>
      </w:pPr>
      <w:r>
        <w:t xml:space="preserve">SEC or FINRA </w:t>
      </w:r>
      <w:proofErr w:type="gramStart"/>
      <w:r>
        <w:t>proposes</w:t>
      </w:r>
      <w:proofErr w:type="gramEnd"/>
      <w:r>
        <w:t xml:space="preserve"> new PFOF restrictions or Robinhood receives a penalty exceeding $100M — signals regulatory risk is re-emerging</w:t>
      </w:r>
    </w:p>
    <w:p w14:paraId="487AFE8C" w14:textId="77777777" w:rsidR="008C05B8" w:rsidRDefault="00000000">
      <w:pPr>
        <w:spacing w:after="120"/>
      </w:pPr>
      <w:r>
        <w:rPr>
          <w:b/>
          <w:bCs/>
        </w:rPr>
        <w:t xml:space="preserve">Kill Switch: </w:t>
      </w:r>
      <w:r>
        <w:t xml:space="preserve">Exit if MAU &lt; 11M AND crypto revenue &lt; $100M/quarter simultaneously. This combination would indicate that the </w:t>
      </w:r>
      <w:proofErr w:type="spellStart"/>
      <w:r>
        <w:t>SuperApp</w:t>
      </w:r>
      <w:proofErr w:type="spellEnd"/>
      <w:r>
        <w:t xml:space="preserve"> thesis has failed and the customer base is actively disengaging.</w:t>
      </w:r>
    </w:p>
    <w:p w14:paraId="318410CF" w14:textId="77777777" w:rsidR="008C05B8" w:rsidRDefault="00000000">
      <w:r>
        <w:br w:type="page"/>
      </w:r>
    </w:p>
    <w:p w14:paraId="3285A7C5" w14:textId="77777777" w:rsidR="008C05B8" w:rsidRDefault="00000000">
      <w:pPr>
        <w:pStyle w:val="Heading1"/>
      </w:pPr>
      <w:r>
        <w:lastRenderedPageBreak/>
        <w:t>CATALYSTS TO WATCH</w:t>
      </w:r>
    </w:p>
    <w:p w14:paraId="4C8210D9" w14:textId="77777777" w:rsidR="008C05B8" w:rsidRDefault="00000000">
      <w:pPr>
        <w:spacing w:before="200" w:after="120"/>
      </w:pPr>
      <w:r>
        <w:rPr>
          <w:b/>
          <w:bCs/>
          <w:color w:val="3A7CA5"/>
          <w:sz w:val="22"/>
          <w:szCs w:val="22"/>
        </w:rPr>
        <w:t>Positive Catalysts</w:t>
      </w:r>
    </w:p>
    <w:p w14:paraId="34CD3E55" w14:textId="77777777" w:rsidR="008C05B8" w:rsidRDefault="00000000">
      <w:pPr>
        <w:pStyle w:val="ListParagraph"/>
        <w:numPr>
          <w:ilvl w:val="0"/>
          <w:numId w:val="2"/>
        </w:numPr>
        <w:spacing w:after="80"/>
      </w:pPr>
      <w:r>
        <w:t xml:space="preserve">UK ISA launch traction (Feb </w:t>
      </w:r>
      <w:proofErr w:type="gramStart"/>
      <w:r>
        <w:t>2026) —</w:t>
      </w:r>
      <w:proofErr w:type="gramEnd"/>
      <w:r>
        <w:t xml:space="preserve"> international expansion success would significantly expand the addressable market</w:t>
      </w:r>
    </w:p>
    <w:p w14:paraId="40DD1321" w14:textId="77777777" w:rsidR="008C05B8" w:rsidRDefault="00000000">
      <w:pPr>
        <w:pStyle w:val="ListParagraph"/>
        <w:numPr>
          <w:ilvl w:val="0"/>
          <w:numId w:val="2"/>
        </w:numPr>
        <w:spacing w:after="80"/>
      </w:pPr>
      <w:r>
        <w:t xml:space="preserve">Cortex adoption metrics — if Cortex drives measurable </w:t>
      </w:r>
      <w:proofErr w:type="gramStart"/>
      <w:r>
        <w:t>Gold</w:t>
      </w:r>
      <w:proofErr w:type="gramEnd"/>
      <w:r>
        <w:t xml:space="preserve"> conversion rates, it validates the AI-as-retention thesis</w:t>
      </w:r>
    </w:p>
    <w:p w14:paraId="7C33A111" w14:textId="77777777" w:rsidR="008C05B8" w:rsidRDefault="00000000">
      <w:pPr>
        <w:pStyle w:val="ListParagraph"/>
        <w:numPr>
          <w:ilvl w:val="0"/>
          <w:numId w:val="2"/>
        </w:numPr>
        <w:spacing w:after="80"/>
      </w:pPr>
      <w:r>
        <w:t>Gold subscribers reaching 5M+ — would indicate the subscription flywheel is accelerating</w:t>
      </w:r>
    </w:p>
    <w:p w14:paraId="63B6FF56" w14:textId="77777777" w:rsidR="008C05B8" w:rsidRDefault="00000000">
      <w:pPr>
        <w:pStyle w:val="ListParagraph"/>
        <w:numPr>
          <w:ilvl w:val="0"/>
          <w:numId w:val="2"/>
        </w:numPr>
        <w:spacing w:after="80"/>
      </w:pPr>
      <w:r>
        <w:t xml:space="preserve">Robinhood Banking deposit growth to $2B+ — would validate the full financial </w:t>
      </w:r>
      <w:proofErr w:type="spellStart"/>
      <w:r>
        <w:t>SuperApp</w:t>
      </w:r>
      <w:proofErr w:type="spellEnd"/>
      <w:r>
        <w:t xml:space="preserve"> thesis</w:t>
      </w:r>
    </w:p>
    <w:p w14:paraId="7E6E7150" w14:textId="77777777" w:rsidR="008C05B8" w:rsidRDefault="00000000">
      <w:pPr>
        <w:pStyle w:val="ListParagraph"/>
        <w:numPr>
          <w:ilvl w:val="0"/>
          <w:numId w:val="2"/>
        </w:numPr>
        <w:spacing w:after="80"/>
      </w:pPr>
      <w:r>
        <w:t xml:space="preserve">Index inclusion (S&amp;P </w:t>
      </w:r>
      <w:proofErr w:type="gramStart"/>
      <w:r>
        <w:t>500) —</w:t>
      </w:r>
      <w:proofErr w:type="gramEnd"/>
      <w:r>
        <w:t xml:space="preserve"> institutional forced buying would support the stock</w:t>
      </w:r>
    </w:p>
    <w:p w14:paraId="6DFDF98E" w14:textId="77777777" w:rsidR="008C05B8" w:rsidRDefault="00000000">
      <w:pPr>
        <w:spacing w:before="200" w:after="120"/>
      </w:pPr>
      <w:r>
        <w:rPr>
          <w:b/>
          <w:bCs/>
          <w:color w:val="3A7CA5"/>
          <w:sz w:val="22"/>
          <w:szCs w:val="22"/>
        </w:rPr>
        <w:t>Negative Catalysts</w:t>
      </w:r>
    </w:p>
    <w:p w14:paraId="435BA137" w14:textId="77777777" w:rsidR="008C05B8" w:rsidRDefault="00000000">
      <w:pPr>
        <w:pStyle w:val="ListParagraph"/>
        <w:numPr>
          <w:ilvl w:val="0"/>
          <w:numId w:val="2"/>
        </w:numPr>
        <w:spacing w:after="80"/>
      </w:pPr>
      <w:r>
        <w:t>Crypto bear market / Bitcoin decline &gt;40% from highs — would compress transaction revenue</w:t>
      </w:r>
    </w:p>
    <w:p w14:paraId="2D4492B9" w14:textId="77777777" w:rsidR="008C05B8" w:rsidRDefault="00000000">
      <w:pPr>
        <w:pStyle w:val="ListParagraph"/>
        <w:numPr>
          <w:ilvl w:val="0"/>
          <w:numId w:val="2"/>
        </w:numPr>
        <w:spacing w:after="80"/>
      </w:pPr>
      <w:r>
        <w:t>Aggressive Fed rate cuts (&gt;200</w:t>
      </w:r>
      <w:proofErr w:type="gramStart"/>
      <w:r>
        <w:t>bps) —</w:t>
      </w:r>
      <w:proofErr w:type="gramEnd"/>
      <w:r>
        <w:t xml:space="preserve"> would compress NII significantly</w:t>
      </w:r>
    </w:p>
    <w:p w14:paraId="3ABD9195" w14:textId="77777777" w:rsidR="008C05B8" w:rsidRDefault="00000000">
      <w:pPr>
        <w:pStyle w:val="ListParagraph"/>
        <w:numPr>
          <w:ilvl w:val="0"/>
          <w:numId w:val="2"/>
        </w:numPr>
        <w:spacing w:after="80"/>
      </w:pPr>
      <w:r>
        <w:t>Schwab launching competitive crypto trading (mid-2026) — would pressure Robinhood’s crypto market share</w:t>
      </w:r>
    </w:p>
    <w:p w14:paraId="1586DAD2" w14:textId="77777777" w:rsidR="008C05B8" w:rsidRDefault="00000000">
      <w:pPr>
        <w:pStyle w:val="ListParagraph"/>
        <w:numPr>
          <w:ilvl w:val="0"/>
          <w:numId w:val="2"/>
        </w:numPr>
        <w:spacing w:after="80"/>
      </w:pPr>
      <w:r>
        <w:t>Gold Card credit losses exceeding 3% — would signal the card product is attracting low-quality borrowers</w:t>
      </w:r>
    </w:p>
    <w:p w14:paraId="71856E06" w14:textId="77777777" w:rsidR="008C05B8" w:rsidRDefault="00000000">
      <w:pPr>
        <w:pStyle w:val="ListParagraph"/>
        <w:numPr>
          <w:ilvl w:val="0"/>
          <w:numId w:val="2"/>
        </w:numPr>
        <w:spacing w:after="80"/>
      </w:pPr>
      <w:r>
        <w:t>Continued insider selling by CEO/co-founder at elevated volumes</w:t>
      </w:r>
    </w:p>
    <w:p w14:paraId="26DABDD0" w14:textId="77777777" w:rsidR="008C05B8" w:rsidRDefault="008C05B8">
      <w:pPr>
        <w:spacing w:after="120"/>
      </w:pPr>
    </w:p>
    <w:p w14:paraId="30B0A21D" w14:textId="77777777" w:rsidR="008C05B8" w:rsidRDefault="00000000">
      <w:pPr>
        <w:spacing w:after="120"/>
      </w:pPr>
      <w:r>
        <w:rPr>
          <w:i/>
          <w:iCs/>
          <w:color w:val="888888"/>
        </w:rPr>
        <w:t>— End of Fintech Moat Antifragility Analysis —</w:t>
      </w:r>
    </w:p>
    <w:p w14:paraId="03480C4E" w14:textId="77777777" w:rsidR="008C05B8" w:rsidRDefault="00000000">
      <w:pPr>
        <w:spacing w:after="120"/>
      </w:pPr>
      <w:r>
        <w:rPr>
          <w:i/>
          <w:iCs/>
          <w:color w:val="888888"/>
        </w:rPr>
        <w:t>Framework version: Consumer Fintech Adaptation v1.0 — March 2026</w:t>
      </w:r>
    </w:p>
    <w:p w14:paraId="7E0CB0AC" w14:textId="77777777" w:rsidR="008C05B8" w:rsidRDefault="00000000">
      <w:pPr>
        <w:spacing w:after="120"/>
      </w:pPr>
      <w:r>
        <w:rPr>
          <w:i/>
          <w:iCs/>
          <w:color w:val="888888"/>
        </w:rPr>
        <w:t>Adapted from: Data Infrastructure Antifragility Framework v1.0 (Stoffel-</w:t>
      </w:r>
      <w:proofErr w:type="spellStart"/>
      <w:r>
        <w:rPr>
          <w:i/>
          <w:iCs/>
          <w:color w:val="888888"/>
        </w:rPr>
        <w:t>Feroldi</w:t>
      </w:r>
      <w:proofErr w:type="spellEnd"/>
      <w:r>
        <w:rPr>
          <w:i/>
          <w:iCs/>
          <w:color w:val="888888"/>
        </w:rPr>
        <w:t xml:space="preserve"> × Bustamante)</w:t>
      </w:r>
    </w:p>
    <w:p w14:paraId="47E2BA5C" w14:textId="77777777" w:rsidR="008C05B8" w:rsidRDefault="00000000">
      <w:pPr>
        <w:spacing w:after="120"/>
      </w:pPr>
      <w:r>
        <w:rPr>
          <w:i/>
          <w:iCs/>
          <w:color w:val="888888"/>
        </w:rPr>
        <w:t>Companion to: Compounder Identification Framework (Helmer 7 Powers + Porter 5 Forces + Capital Allocation)</w:t>
      </w:r>
    </w:p>
    <w:p w14:paraId="60144059" w14:textId="77777777" w:rsidR="008C05B8" w:rsidRDefault="00000000">
      <w:pPr>
        <w:spacing w:after="120"/>
      </w:pPr>
      <w:r>
        <w:rPr>
          <w:i/>
          <w:iCs/>
          <w:color w:val="888888"/>
        </w:rPr>
        <w:t xml:space="preserve">All claims </w:t>
      </w:r>
      <w:proofErr w:type="gramStart"/>
      <w:r>
        <w:rPr>
          <w:i/>
          <w:iCs/>
          <w:color w:val="888888"/>
        </w:rPr>
        <w:t>subject</w:t>
      </w:r>
      <w:proofErr w:type="gramEnd"/>
      <w:r>
        <w:rPr>
          <w:i/>
          <w:iCs/>
          <w:color w:val="888888"/>
        </w:rPr>
        <w:t xml:space="preserve"> to mandatory verification </w:t>
      </w:r>
      <w:proofErr w:type="gramStart"/>
      <w:r>
        <w:rPr>
          <w:i/>
          <w:iCs/>
          <w:color w:val="888888"/>
        </w:rPr>
        <w:t>pass per</w:t>
      </w:r>
      <w:proofErr w:type="gramEnd"/>
      <w:r>
        <w:rPr>
          <w:i/>
          <w:iCs/>
          <w:color w:val="888888"/>
        </w:rPr>
        <w:t xml:space="preserve"> standard protocol.</w:t>
      </w:r>
    </w:p>
    <w:sectPr w:rsidR="008C05B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DE950" w14:textId="77777777" w:rsidR="002A532C" w:rsidRDefault="002A532C">
      <w:r>
        <w:separator/>
      </w:r>
    </w:p>
  </w:endnote>
  <w:endnote w:type="continuationSeparator" w:id="0">
    <w:p w14:paraId="724DB6E6" w14:textId="77777777" w:rsidR="002A532C" w:rsidRDefault="002A5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F9EC" w14:textId="77777777" w:rsidR="008C05B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9339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73E6B" w14:textId="77777777" w:rsidR="002A532C" w:rsidRDefault="002A532C">
      <w:r>
        <w:separator/>
      </w:r>
    </w:p>
  </w:footnote>
  <w:footnote w:type="continuationSeparator" w:id="0">
    <w:p w14:paraId="2EFB273C" w14:textId="77777777" w:rsidR="002A532C" w:rsidRDefault="002A53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7421" w14:textId="77777777" w:rsidR="008C05B8" w:rsidRDefault="00000000">
    <w:pPr>
      <w:pBdr>
        <w:bottom w:val="single" w:sz="4" w:space="1" w:color="CCCCCC"/>
      </w:pBdr>
      <w:tabs>
        <w:tab w:val="right" w:pos="9026"/>
      </w:tabs>
    </w:pPr>
    <w:r>
      <w:rPr>
        <w:color w:val="888888"/>
        <w:sz w:val="16"/>
        <w:szCs w:val="16"/>
      </w:rPr>
      <w:t>HOOD — Fintech Moat Antifragility Analysis</w:t>
    </w:r>
    <w:r>
      <w:rPr>
        <w:color w:val="888888"/>
        <w:sz w:val="16"/>
        <w:szCs w:val="16"/>
      </w:rPr>
      <w:tab/>
      <w:t>March 10,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B1932"/>
    <w:multiLevelType w:val="hybridMultilevel"/>
    <w:tmpl w:val="1AF80442"/>
    <w:lvl w:ilvl="0" w:tplc="97C4A74C">
      <w:start w:val="1"/>
      <w:numFmt w:val="bullet"/>
      <w:lvlText w:val="●"/>
      <w:lvlJc w:val="left"/>
      <w:pPr>
        <w:ind w:left="720" w:hanging="360"/>
      </w:pPr>
    </w:lvl>
    <w:lvl w:ilvl="1" w:tplc="A5DEDDC0">
      <w:start w:val="1"/>
      <w:numFmt w:val="bullet"/>
      <w:lvlText w:val="○"/>
      <w:lvlJc w:val="left"/>
      <w:pPr>
        <w:ind w:left="1440" w:hanging="360"/>
      </w:pPr>
    </w:lvl>
    <w:lvl w:ilvl="2" w:tplc="96FA846C">
      <w:start w:val="1"/>
      <w:numFmt w:val="bullet"/>
      <w:lvlText w:val="■"/>
      <w:lvlJc w:val="left"/>
      <w:pPr>
        <w:ind w:left="2160" w:hanging="360"/>
      </w:pPr>
    </w:lvl>
    <w:lvl w:ilvl="3" w:tplc="B464FB16">
      <w:start w:val="1"/>
      <w:numFmt w:val="bullet"/>
      <w:lvlText w:val="●"/>
      <w:lvlJc w:val="left"/>
      <w:pPr>
        <w:ind w:left="2880" w:hanging="360"/>
      </w:pPr>
    </w:lvl>
    <w:lvl w:ilvl="4" w:tplc="10D8769E">
      <w:start w:val="1"/>
      <w:numFmt w:val="bullet"/>
      <w:lvlText w:val="○"/>
      <w:lvlJc w:val="left"/>
      <w:pPr>
        <w:ind w:left="3600" w:hanging="360"/>
      </w:pPr>
    </w:lvl>
    <w:lvl w:ilvl="5" w:tplc="EA72CB84">
      <w:start w:val="1"/>
      <w:numFmt w:val="bullet"/>
      <w:lvlText w:val="■"/>
      <w:lvlJc w:val="left"/>
      <w:pPr>
        <w:ind w:left="4320" w:hanging="360"/>
      </w:pPr>
    </w:lvl>
    <w:lvl w:ilvl="6" w:tplc="2D34A5C4">
      <w:start w:val="1"/>
      <w:numFmt w:val="bullet"/>
      <w:lvlText w:val="●"/>
      <w:lvlJc w:val="left"/>
      <w:pPr>
        <w:ind w:left="5040" w:hanging="360"/>
      </w:pPr>
    </w:lvl>
    <w:lvl w:ilvl="7" w:tplc="F90602B6">
      <w:start w:val="1"/>
      <w:numFmt w:val="bullet"/>
      <w:lvlText w:val="●"/>
      <w:lvlJc w:val="left"/>
      <w:pPr>
        <w:ind w:left="5760" w:hanging="360"/>
      </w:pPr>
    </w:lvl>
    <w:lvl w:ilvl="8" w:tplc="601A274A">
      <w:start w:val="1"/>
      <w:numFmt w:val="bullet"/>
      <w:lvlText w:val="●"/>
      <w:lvlJc w:val="left"/>
      <w:pPr>
        <w:ind w:left="6480" w:hanging="360"/>
      </w:pPr>
    </w:lvl>
  </w:abstractNum>
  <w:abstractNum w:abstractNumId="1" w15:restartNumberingAfterBreak="0">
    <w:nsid w:val="67805F04"/>
    <w:multiLevelType w:val="hybridMultilevel"/>
    <w:tmpl w:val="D31207D6"/>
    <w:lvl w:ilvl="0" w:tplc="F81E46B2">
      <w:start w:val="1"/>
      <w:numFmt w:val="bullet"/>
      <w:lvlText w:val="•"/>
      <w:lvlJc w:val="left"/>
      <w:pPr>
        <w:ind w:left="720" w:hanging="360"/>
      </w:pPr>
    </w:lvl>
    <w:lvl w:ilvl="1" w:tplc="9F840EBC">
      <w:numFmt w:val="decimal"/>
      <w:lvlText w:val=""/>
      <w:lvlJc w:val="left"/>
    </w:lvl>
    <w:lvl w:ilvl="2" w:tplc="91EA218E">
      <w:numFmt w:val="decimal"/>
      <w:lvlText w:val=""/>
      <w:lvlJc w:val="left"/>
    </w:lvl>
    <w:lvl w:ilvl="3" w:tplc="B37059E6">
      <w:numFmt w:val="decimal"/>
      <w:lvlText w:val=""/>
      <w:lvlJc w:val="left"/>
    </w:lvl>
    <w:lvl w:ilvl="4" w:tplc="56546D94">
      <w:numFmt w:val="decimal"/>
      <w:lvlText w:val=""/>
      <w:lvlJc w:val="left"/>
    </w:lvl>
    <w:lvl w:ilvl="5" w:tplc="34A03E7C">
      <w:numFmt w:val="decimal"/>
      <w:lvlText w:val=""/>
      <w:lvlJc w:val="left"/>
    </w:lvl>
    <w:lvl w:ilvl="6" w:tplc="896EA242">
      <w:numFmt w:val="decimal"/>
      <w:lvlText w:val=""/>
      <w:lvlJc w:val="left"/>
    </w:lvl>
    <w:lvl w:ilvl="7" w:tplc="330CD97C">
      <w:numFmt w:val="decimal"/>
      <w:lvlText w:val=""/>
      <w:lvlJc w:val="left"/>
    </w:lvl>
    <w:lvl w:ilvl="8" w:tplc="0324E358">
      <w:numFmt w:val="decimal"/>
      <w:lvlText w:val=""/>
      <w:lvlJc w:val="left"/>
    </w:lvl>
  </w:abstractNum>
  <w:abstractNum w:abstractNumId="2" w15:restartNumberingAfterBreak="0">
    <w:nsid w:val="7C3E23EC"/>
    <w:multiLevelType w:val="hybridMultilevel"/>
    <w:tmpl w:val="925652B6"/>
    <w:lvl w:ilvl="0" w:tplc="9536A858">
      <w:start w:val="1"/>
      <w:numFmt w:val="decimal"/>
      <w:lvlText w:val="%1."/>
      <w:lvlJc w:val="left"/>
      <w:pPr>
        <w:ind w:left="720" w:hanging="360"/>
      </w:pPr>
    </w:lvl>
    <w:lvl w:ilvl="1" w:tplc="E34696AE">
      <w:numFmt w:val="decimal"/>
      <w:lvlText w:val=""/>
      <w:lvlJc w:val="left"/>
    </w:lvl>
    <w:lvl w:ilvl="2" w:tplc="2AE8662E">
      <w:numFmt w:val="decimal"/>
      <w:lvlText w:val=""/>
      <w:lvlJc w:val="left"/>
    </w:lvl>
    <w:lvl w:ilvl="3" w:tplc="5D4EFAC4">
      <w:numFmt w:val="decimal"/>
      <w:lvlText w:val=""/>
      <w:lvlJc w:val="left"/>
    </w:lvl>
    <w:lvl w:ilvl="4" w:tplc="EA288326">
      <w:numFmt w:val="decimal"/>
      <w:lvlText w:val=""/>
      <w:lvlJc w:val="left"/>
    </w:lvl>
    <w:lvl w:ilvl="5" w:tplc="B45231A2">
      <w:numFmt w:val="decimal"/>
      <w:lvlText w:val=""/>
      <w:lvlJc w:val="left"/>
    </w:lvl>
    <w:lvl w:ilvl="6" w:tplc="8242A7D6">
      <w:numFmt w:val="decimal"/>
      <w:lvlText w:val=""/>
      <w:lvlJc w:val="left"/>
    </w:lvl>
    <w:lvl w:ilvl="7" w:tplc="2AE04946">
      <w:numFmt w:val="decimal"/>
      <w:lvlText w:val=""/>
      <w:lvlJc w:val="left"/>
    </w:lvl>
    <w:lvl w:ilvl="8" w:tplc="528EA1CC">
      <w:numFmt w:val="decimal"/>
      <w:lvlText w:val=""/>
      <w:lvlJc w:val="left"/>
    </w:lvl>
  </w:abstractNum>
  <w:num w:numId="1" w16cid:durableId="1927570527">
    <w:abstractNumId w:val="0"/>
    <w:lvlOverride w:ilvl="0">
      <w:startOverride w:val="1"/>
    </w:lvlOverride>
  </w:num>
  <w:num w:numId="2" w16cid:durableId="92674996">
    <w:abstractNumId w:val="1"/>
    <w:lvlOverride w:ilvl="0">
      <w:startOverride w:val="1"/>
    </w:lvlOverride>
  </w:num>
  <w:num w:numId="3" w16cid:durableId="15034723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5B8"/>
    <w:rsid w:val="002A532C"/>
    <w:rsid w:val="00666782"/>
    <w:rsid w:val="008C05B8"/>
    <w:rsid w:val="00F93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E16E1"/>
  <w15:docId w15:val="{4C932D02-EF85-4018-B012-EDC62F4A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598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5072</Words>
  <Characters>31164</Characters>
  <Application>Microsoft Office Word</Application>
  <DocSecurity>0</DocSecurity>
  <Lines>603</Lines>
  <Paragraphs>315</Paragraphs>
  <ScaleCrop>false</ScaleCrop>
  <Company/>
  <LinksUpToDate>false</LinksUpToDate>
  <CharactersWithSpaces>36017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2026-03-10T23:10:00Z</dcterms:created>
  <dcterms:modified xsi:type="dcterms:W3CDTF">2026-03-10T23:30:00Z</dcterms:modified>
</cp:coreProperties>
</file>