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outlineLvl w:val="0"/>
      </w:pPr>
      <w:r>
        <w:t xml:space="preserve">SECTION I: PHILOSOPHY</w:t>
      </w:r>
    </w:p>
    <w:p>
      <w:pPr>
        <w:pStyle w:val="Heading2"/>
        <w:spacing w:after="100" w:before="200"/>
        <w:outlineLvl w:val="1"/>
      </w:pPr>
      <w:r>
        <w:t xml:space="preserve">HEALTHCARE ANTIFRAGILITY FRAMEWORK v1.0</w:t>
      </w:r>
    </w:p>
    <w:p>
      <w:pPr>
        <w:spacing w:after="120" w:line="360"/>
      </w:pPr>
      <w:r>
        <w:t xml:space="preserve">AI Disruption Resilience Assessment for Healthcare Companies</w:t>
      </w:r>
    </w:p>
    <w:p>
      <w:pPr>
        <w:pStyle w:val="Heading3"/>
        <w:spacing w:after="80" w:before="160"/>
        <w:outlineLvl w:val="2"/>
      </w:pPr>
      <w:r>
        <w:t xml:space="preserve">Why Healthcare Antifragility Matters in the AI Era</w:t>
      </w:r>
    </w:p>
    <w:p>
      <w:pPr>
        <w:spacing w:after="120" w:line="360"/>
      </w:pPr>
      <w:r>
        <w:t xml:space="preserve">Healthcare companies face five AI-driven disruption vectors that differ from SaaS: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Clinical Decision Support Automation — AI systems increasingly replace physician cognitive work. A cardiologist using an AI-assisted diagnostic tool makes faster decisions, but the diagnostic company's workflow moat weakens.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Administrative Workflow Commoditization — AI agents replace transcriptionists, medical coders, scheduling coordinators. Healthcare staffing and RCM companies face AI-driven price compression.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Provider Data Consolidation — Health systems pooling their own EHR data + external datasets create proprietary insights that compete with data vendors' offerings.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Regulatory Disintermediation &amp; Consolidator Vertical Integration — Telehealth expansion has matured and stabilized post-pandemic (Medicare tightened some telehealth coverage in January 2026), but disintermediation now occurs primarily through consolidator vertical integration: Optum, CVS/Aetna, and Amazon/One Medical building in-house alternatives to vendor solutions. Direct-to-consumer testing and specialty pharmacy consolidation further compress vendor margins.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Payer-Provider Vertical Integration — UnitedHealth, CVS/Aetna, Amazon/One Medical consolidation creates in-house alternatives to vendor solutions.</w:t>
      </w:r>
    </w:p>
    <w:p>
      <w:pPr>
        <w:spacing w:after="120" w:line="360"/>
      </w:pPr>
      <w:r>
        <w:t xml:space="preserve">The antifragility question: Which healthcare companies have structural advantages that AI strengthens (or at least doesn't weaken), that are locked-in by regulation or clinical embedding, and that benefit from consolidation rather than suffer from it?</w:t>
      </w:r>
    </w:p>
    <w:p>
      <w:pPr>
        <w:spacing w:after="120" w:line="360"/>
      </w:pPr>
      <w:r>
        <w:t xml:space="preserve">Healthcare moats map differently because: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Regulatory requirements are much deeper — FDA clearance, HIPAA, state licensing, CPT coding create deterministic barriers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Clinical embedding is stickier — Surgeons trained on a robot have switching costs beyond UI/workflow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Data is more litigious — Patient privacy and outcomes data have legal weight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Network effects operate through providers, not consumers — creating organizational switching costs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II: YOUR ROLE</w:t>
      </w:r>
    </w:p>
    <w:p>
      <w:pPr>
        <w:spacing w:after="120" w:line="360"/>
      </w:pPr>
      <w:r>
        <w:t xml:space="preserve">You are a senior investment analyst evaluating healthcare companies through an antifragility lens. You apply this framework to answer: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Which moats protect this company from AI disruption? (Stage 1: Healthcare Moat Taxonomy)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How resilient is the business model to technological and regulatory change? (Stage 2: Four-Dimension Assessment)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Does the company benefit from AI disruption, or does it suffer? (Classification and positioning)</w:t>
      </w:r>
    </w:p>
    <w:p>
      <w:pPr>
        <w:spacing w:after="120" w:line="360"/>
      </w:pPr>
      <w:r>
        <w:t xml:space="preserve">You are NOT evaluating clinical efficacy, reimbursement probability, or commercial scale — those are separate frameworks. You ARE evaluating: Given that this company operates in a specific healthcare sub-sector, how structurally protected is it from being disrupted or disintermediated by AI and consolidation?</w:t>
      </w:r>
    </w:p>
    <w:p>
      <w:pPr>
        <w:spacing w:after="120" w:line="360"/>
      </w:pPr>
      <w:r>
        <w:t xml:space="preserve">You do not extend credit for "AI-augmented" narratives where management claims AI helps without evidence of pricing power or competitive lock-in.</w:t>
      </w:r>
    </w:p>
    <w:p>
      <w:pPr>
        <w:spacing w:after="120" w:line="360"/>
      </w:pPr>
      <w:r>
        <w:t xml:space="preserve">Do not be promotional. Do not rationalize a buy. Score what the evidence shows.</w:t>
      </w:r>
    </w:p>
    <w:p>
      <w:pPr>
        <w:spacing w:after="120" w:line="360"/>
      </w:pPr>
      <w:r>
        <w:t xml:space="preserve">This framework is complementary to (not replacing) existing frameworks: 3+1 Filter for Pre-Revenue Biotech, Revenue Stage Pharma Framework, Medical Device Platform Framework, Precision Medicine/Diagnostics Framework, Biopharma Enabler Framework.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III: INPUTS REQUIRED</w:t>
      </w:r>
    </w:p>
    <w:p>
      <w:pPr>
        <w:spacing w:after="120" w:line="360"/>
      </w:pPr>
      <w:r>
        <w:t xml:space="preserve">Before running this framework, gather: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Company name, ticker, sector (Health IT, Healthcare Services, Med-Tech, Diagnostics, etc.)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Primary revenue streams (by sub-segment if multi-product)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Key moats identified by management (from investor presentations)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Regulatory status (FDA clearances, LDT status, state licenses, CPT codes)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Customer concentration (top payer/provider customers as % of revenue)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Data assets (size, structure, clinical outcomes linkage)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Clinical embedding (EHR integration, clinical workflow integration, guideline references)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Net retention rate or customer concentration trends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Gross margin by segment and trend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Competitive landscape (AI-native or consolidation-driven threats)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Recent strategic moves (partnerships with health systems, AI investments, M&amp;A exposure)</w:t>
      </w:r>
    </w:p>
    <w:p>
      <w:pPr>
        <w:spacing w:after="120" w:line="360"/>
      </w:pPr>
      <w:r>
        <w:t xml:space="preserve">If you do not have all inputs, use web search to gather them before proceeding.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IV: MANDATORY RESEARCH STEPS</w:t>
      </w:r>
    </w:p>
    <w:p>
      <w:pPr>
        <w:spacing w:after="120" w:line="360"/>
      </w:pPr>
      <w:r>
        <w:t xml:space="preserve">Before completing any section, conduct the following searches: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AI strategy healthcare disruption 2025 2026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regulatory status FDA HIPAA clearances 2025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customer concentration top 10 customers revenue 2025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competitive positioning threats AI-native startups 2025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gross margin trend by segment 2022-2025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net revenue retention NRR customer churn 2025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10-Q 10-K most recent earnings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clinical guidelines NCCN EHR embedded references 2025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payer consolidation pressure pricing 2025 2026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[Company] healthcare M&amp;A threat incumbent consolidation 2025</w:t>
      </w:r>
    </w:p>
    <w:p>
      <w:pPr>
        <w:spacing w:after="120" w:line="360"/>
      </w:pPr>
      <w:r>
        <w:t xml:space="preserve">Do not rely on training data for any time-sensitive claim. Search first.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V: STAGE 1 — HEALTHCARE MOAT DESTRUCTION INDEX (HMDI) PRE-SCREEN</w:t>
      </w:r>
    </w:p>
    <w:p>
      <w:pPr>
        <w:spacing w:after="120" w:line="360"/>
      </w:pPr>
      <w:r>
        <w:t xml:space="preserve">Purpose: Identify which structural advantages actually protect this healthcare company from AI disruption and regulatory disintermediation. Score each moat 0-2 (absent, partial, strong). Maximum 20 points across 10 moats. This is the quick triage to filter out companies with destroyed moats before spending time on Stage 2.</w:t>
      </w:r>
    </w:p>
    <w:p>
      <w:pPr>
        <w:pStyle w:val="Heading2"/>
        <w:spacing w:after="100" w:before="200"/>
        <w:outlineLvl w:val="1"/>
      </w:pPr>
      <w:r>
        <w:t xml:space="preserve">MOAT 1: CLINICAL EVIDENCE &amp; GUIDELINE EMBEDDING — STATUS: STRENGTHENED BY AI</w:t>
      </w:r>
    </w:p>
    <w:p>
      <w:pPr>
        <w:spacing w:after="120" w:line="360"/>
      </w:pPr>
      <w:r>
        <w:t xml:space="preserve">What it is: Product referenced in clinical guidelines (NCCN, ACR, ASCO, etc.), published clinical evidence, standard-of-care protocols. Changing standard of care requires new evidence and physician consensus — both take years.</w:t>
      </w:r>
    </w:p>
    <w:p>
      <w:pPr>
        <w:spacing w:after="120" w:line="360"/>
      </w:pPr>
      <w:r>
        <w:t xml:space="preserve">Why AI strengthens it: AI compounds when evidence accumulates. A diagnostic company with 5,000 peer-reviewed studies gets STRONGER as AI models trained on that evidence demonstrate superior outcomes.</w:t>
      </w:r>
    </w:p>
    <w:p>
      <w:pPr>
        <w:spacing w:after="120" w:line="360"/>
      </w:pPr>
      <w:r>
        <w:t xml:space="preserve">Why it weakens: If AI enables competitors to generate equivalent evidence faster (e.g., RWE from health systems) or guidelines shift to AI-driven decision protocols.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Product referenced by name in ≥2 major guidelines; ≥10 peer-reviewed publications in major journals; used in ≥50% of relevant clinical centers; evidence is prospective.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In ≥1 guideline; 5-10 publications; used in 20-50% of centers; mix of prospective and retrospective.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Not in guidelines; &lt;5 publications; emerging evidence; or evidence contradicted.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Which specific guidelines reference this product?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How many peer-reviewed publications?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Prospective RCTs or retrospective?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Has any guideline recently updated against this approach?</w:t>
      </w:r>
    </w:p>
    <w:p>
      <w:pPr>
        <w:pStyle w:val="Heading2"/>
        <w:spacing w:after="100" w:before="200"/>
        <w:outlineLvl w:val="1"/>
      </w:pPr>
      <w:r>
        <w:t xml:space="preserve">MOAT 2: REGULATORY APPROVAL BARRIERS (FDA/LDT) — STATUS: STRUCTURAL</w:t>
      </w:r>
    </w:p>
    <w:p>
      <w:pPr>
        <w:spacing w:after="120" w:line="360"/>
      </w:pPr>
      <w:r>
        <w:t xml:space="preserve">What it is: FDA clearance (510(k), PMA, De Novo), LDT regulatory infrastructure, state medical board credentials. Years and millions to replicate.</w:t>
      </w:r>
    </w:p>
    <w:p>
      <w:pPr>
        <w:spacing w:after="120" w:line="360"/>
      </w:pPr>
      <w:r>
        <w:t xml:space="preserve">Why it matters for AI: Although the FDA’s 2024 LDT Final Rule was vacated by court order (March 2025) and formally rescinded (September 2025), FDA-cleared products retain pricing legitimacy, payer preference, and clinical credibility advantages over LDT-only competitors. Regulatory clearance signals quality assurance independent of enforcement status.</w:t>
      </w:r>
    </w:p>
    <w:p>
      <w:pPr>
        <w:spacing w:after="120" w:line="360"/>
      </w:pPr>
      <w:r>
        <w:t xml:space="preserve">Why it can weaken: With LDT enforcement off the table post-2025, the regulatory moat now rests on payer and clinical credibility, not enforcement. If payers stop differentiating between FDA-cleared and LDT products, or if competitors obtain FDA approvals faster than expected, this moat erodes.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Multiple FDA-cleared/approved products; QMS in place; FDA clearance confers payer preference and clinical credibility; ≥3 years regulatory lead; clearance portfolio creates pricing legitimacy independent of LDT enforcement status.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1-2 FDA approvals; building infrastructure; some ambiguity.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Entirely LDT-dependent; no FDA approvals; no filing roadmap.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How many FDA-cleared products?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When first approved?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LDT risk?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QMS infrastructure?</w:t>
      </w:r>
    </w:p>
    <w:p>
      <w:pPr>
        <w:pStyle w:val="Heading2"/>
        <w:spacing w:after="100" w:before="200"/>
        <w:outlineLvl w:val="1"/>
      </w:pPr>
      <w:r>
        <w:t xml:space="preserve">MOAT 3: REIMBURSEMENT LOCK-IN (CPT CODES, PAYER COVERAGE) — STATUS: STICKY</w:t>
      </w:r>
    </w:p>
    <w:p>
      <w:pPr>
        <w:spacing w:after="120" w:line="360"/>
      </w:pPr>
      <w:r>
        <w:t xml:space="preserve">What it is: Specific CPT codes, NCD coverage, broad LCD adoption. Medicare NCD decisions take 9-12 months from formal acceptance, but obtaining new CPT codes through the AMA CPT Editorial Panel takes 2-3 years. Building broad commercial payer coverage on top of that adds further time. The full reimbursement establishment cycle (CPT code + NCD + commercial adoption) typically spans 2-4 years.</w:t>
      </w:r>
    </w:p>
    <w:p>
      <w:pPr>
        <w:spacing w:after="120" w:line="360"/>
      </w:pPr>
      <w:r>
        <w:t xml:space="preserve">Why it's sticky: Once a test has CPT code and NCD, displacement requires competitor to obtain equivalent payer traction.</w:t>
      </w:r>
    </w:p>
    <w:p>
      <w:pPr>
        <w:spacing w:after="120" w:line="360"/>
      </w:pPr>
      <w:r>
        <w:t xml:space="preserve">Why it weakens: Payer price compression, managed care consolidation, outcomes-based contracting can erode ASP. AI-native companies may bypass traditional CPT codes.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Dedicated CPT codes; Medicare NCD or positive LCD ≥80%; commercial coverage ≥85%; ASP stable/increasing; ≥3-year contracts.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CPT codes exist but may be misc; LCD 50-80%; commercial 60-85%; some ASP pressure.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Misc codes or none; reimbursement under review; NCD/LCD denials; ASP declining.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What CPT codes?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Medicare coverage status?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Commercial payer coverage %?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ASP trend over 3 years?</w:t>
      </w:r>
    </w:p>
    <w:p>
      <w:pPr>
        <w:pStyle w:val="Heading2"/>
        <w:spacing w:after="100" w:before="200"/>
        <w:outlineLvl w:val="1"/>
      </w:pPr>
      <w:r>
        <w:t xml:space="preserve">MOAT 4: CLINICAL WORKFLOW EMBEDDING (EHR, PROVIDER HABIT) — STATUS: DURABLE</w:t>
      </w:r>
    </w:p>
    <w:p>
      <w:pPr>
        <w:spacing w:after="120" w:line="360"/>
      </w:pPr>
      <w:r>
        <w:t xml:space="preserve">What it is: Product embedded in hospital EHRs, physician workflows, clinical decision-making. Displacement requires retraining and workflow redesign.</w:t>
      </w:r>
    </w:p>
    <w:p>
      <w:pPr>
        <w:spacing w:after="120" w:line="360"/>
      </w:pPr>
      <w:r>
        <w:t xml:space="preserve">Why it's durable: Surgeon with 2,000 robot-assisted cases has significant switching cost. Cognitive load of switching is high.</w:t>
      </w:r>
    </w:p>
    <w:p>
      <w:pPr>
        <w:spacing w:after="120" w:line="360"/>
      </w:pPr>
      <w:r>
        <w:t xml:space="preserve">Why AI threatens it: AI can create better tools. If the new AI tool is materially superior, hospitals may switch despite sunk costs.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Deep EHR integration (Epic, Oracle Health); clinical decision support in ordering workflows; ≥500 health systems; ≥60% specialist adoption; switching requires EHR rebuild; &gt;10 years embedded.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Partial EHR integration; 100-500 health systems; 30-60% adoption; switching requires workflow redesign but not EHR rebuild.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Standalone tool; no EHR integration; &lt;30% adoption; easily replaceable.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EHR integration depth?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Number of health systems?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Specialist adoption %?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Years of data history?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Would switching require EHR rebuild?</w:t>
      </w:r>
    </w:p>
    <w:p>
      <w:pPr>
        <w:pStyle w:val="Heading2"/>
        <w:spacing w:after="100" w:before="200"/>
        <w:outlineLvl w:val="1"/>
      </w:pPr>
      <w:r>
        <w:t xml:space="preserve">MOAT 5: PATIENT DATA GRAVITY &amp; LONGITUDINAL OUTCOMES — STATUS: STRENGTHENED BY AI</w:t>
      </w:r>
    </w:p>
    <w:p>
      <w:pPr>
        <w:spacing w:after="120" w:line="360"/>
      </w:pPr>
      <w:r>
        <w:t xml:space="preserve">What it is: Years of patient outcomes data linked to clinical variables. More data = better predictive models = stronger moat.</w:t>
      </w:r>
    </w:p>
    <w:p>
      <w:pPr>
        <w:spacing w:after="120" w:line="360"/>
      </w:pPr>
      <w:r>
        <w:t xml:space="preserve">Why AI strengthens it: AI/ML models get better with larger datasets. 10 years of follow-up across 1M patients deepens the moat.</w:t>
      </w:r>
    </w:p>
    <w:p>
      <w:pPr>
        <w:spacing w:after="120" w:line="360"/>
      </w:pPr>
      <w:r>
        <w:t xml:space="preserve">Why it weakens: Health systems pooling EHR data, open-source databases, synthetic data could reduce proprietary value.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≥500K records with ≥3 years longitudinal follow-up; multimodal data; proprietary; evidence of data-driven improvements.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100K-500K records; &lt;3 years follow-up; mostly single-modality; emerging advantage.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&lt;100K records; no longitudinal follow-up; siloed/unstructured; no evidence of improvements.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How many records with outcomes?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Follow-up length?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Data modalities?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Proprietary or partner-provided?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Published evidence of model improvement?</w:t>
      </w:r>
    </w:p>
    <w:p>
      <w:pPr>
        <w:pStyle w:val="Heading2"/>
        <w:spacing w:after="100" w:before="200"/>
        <w:outlineLvl w:val="1"/>
      </w:pPr>
      <w:r>
        <w:t xml:space="preserve">MOAT 6: PROVIDER NETWORK EFFECTS &amp; REFERRAL LOCK-IN — STATUS: STICKY</w:t>
      </w:r>
    </w:p>
    <w:p>
      <w:pPr>
        <w:spacing w:after="120" w:line="360"/>
      </w:pPr>
      <w:r>
        <w:t xml:space="preserve">What it is: Platform becomes more valuable as more providers join (care coordination, referral networks, telehealth).</w:t>
      </w:r>
    </w:p>
    <w:p>
      <w:pPr>
        <w:spacing w:after="120" w:line="360"/>
      </w:pPr>
      <w:r>
        <w:t xml:space="preserve">Why it's sticky: Critical mass in a geography cannot easily be displaced.</w:t>
      </w:r>
    </w:p>
    <w:p>
      <w:pPr>
        <w:spacing w:after="120" w:line="360"/>
      </w:pPr>
      <w:r>
        <w:t xml:space="preserve">Why it weakens: Healthcare network effects are local/fragmented. Health system consolidation can break networks.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≥50K active providers; &gt;70% monthly usage; self-reinforcing; ≥10 geographic markets; NRR &gt;120%.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5K-50K providers; 40-70% usage; 3-10 markets; NRR 110-120%.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&lt;5K providers; &lt;40% usage; fragmented/decaying; NRR &lt;110%.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Active providers?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Usage %?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Geographic markets?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NRR?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Impact if provider leaves?</w:t>
      </w:r>
    </w:p>
    <w:p>
      <w:pPr>
        <w:pStyle w:val="Heading2"/>
        <w:spacing w:after="100" w:before="200"/>
        <w:outlineLvl w:val="1"/>
      </w:pPr>
      <w:r>
        <w:t xml:space="preserve">MOAT 7: PHYSICIAN TRAINING &amp; CREDENTIALING SWITCHING COSTS — STATUS: DURABLE</w:t>
      </w:r>
    </w:p>
    <w:p>
      <w:pPr>
        <w:spacing w:after="120" w:line="360"/>
      </w:pPr>
      <w:r>
        <w:t xml:space="preserve">What it is: Specialized training, credentialing, certification required. Creates individual physician switching costs.</w:t>
      </w:r>
    </w:p>
    <w:p>
      <w:pPr>
        <w:spacing w:after="120" w:line="360"/>
      </w:pPr>
      <w:r>
        <w:t xml:space="preserve">Why it's durable: Surgeon with 2,000 cases on one system has high retraining cost and safety risk to switch.</w:t>
      </w:r>
    </w:p>
    <w:p>
      <w:pPr>
        <w:spacing w:after="120" w:line="360"/>
      </w:pPr>
      <w:r>
        <w:t xml:space="preserve">Why it weakens: If AI handles complexity (reducing physician skill dependency) or younger physicians adopt new standards.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Specialized credentialing required; ≥80% target specialists trained; retraining &gt;6 months; material safety risk; institutional barriers.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Training required but &lt;6 months; 40-80% adoption; moderate switching costs.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Minimal training; easily learned; no institutional barriers.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Training/credentialing required?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Hours/months?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% specialists trained?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Hospital credentialing requirement?</w:t>
      </w:r>
    </w:p>
    <w:p>
      <w:pPr>
        <w:pStyle w:val="Heading2"/>
        <w:spacing w:after="100" w:before="200"/>
        <w:outlineLvl w:val="1"/>
      </w:pPr>
      <w:r>
        <w:t xml:space="preserve">MOAT 8: FORMULARY/PREFERRED VENDOR LOCK-IN — STATUS: STICKY</w:t>
      </w:r>
    </w:p>
    <w:p>
      <w:pPr>
        <w:spacing w:after="120" w:line="360"/>
      </w:pPr>
      <w:r>
        <w:t xml:space="preserve">What it is: Preferred by payers, health systems, or specialty networks. Replacing requires stakeholder alignment.</w:t>
      </w:r>
    </w:p>
    <w:p>
      <w:pPr>
        <w:spacing w:after="120" w:line="360"/>
      </w:pPr>
      <w:r>
        <w:t xml:space="preserve">Why it's sticky: Administrative friction of changing preferred vendor is high.</w:t>
      </w:r>
    </w:p>
    <w:p>
      <w:pPr>
        <w:spacing w:after="120" w:line="360"/>
      </w:pPr>
      <w:r>
        <w:t xml:space="preserve">Why it weakens: Value-based contracting and performance guarantees erode traditional lock-in.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Preferred/exclusive with ≥5 major payers/systems representing ≥30% market; multi-year contracts; contractual barriers.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Preferred with 2-5 payers/systems; 15-30% coverage; some friction.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Commodity status; easily replaceable; no preference.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How many payers/systems prefer this product?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Market coverage?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Exclusive or non-exclusive?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Contract penalties for switching?</w:t>
      </w:r>
    </w:p>
    <w:p>
      <w:pPr>
        <w:pStyle w:val="Heading2"/>
        <w:spacing w:after="100" w:before="200"/>
        <w:outlineLvl w:val="1"/>
      </w:pPr>
      <w:r>
        <w:t xml:space="preserve">MOAT 9: HARDWARE-IN-THE-LOOP &amp; PROCEDURAL EMBEDDING — STATUS: DURABLE</w:t>
      </w:r>
    </w:p>
    <w:p>
      <w:pPr>
        <w:spacing w:after="120" w:line="360"/>
      </w:pPr>
      <w:r>
        <w:t xml:space="preserve">What it is: Hardware (devices, robots, imaging) that cannot easily be swapped. Software tied to proprietary hardware.</w:t>
      </w:r>
    </w:p>
    <w:p>
      <w:pPr>
        <w:spacing w:after="120" w:line="360"/>
      </w:pPr>
      <w:r>
        <w:t xml:space="preserve">Why it's durable: Replacing hardware requires capex, training, operational redesign.</w:t>
      </w:r>
    </w:p>
    <w:p>
      <w:pPr>
        <w:spacing w:after="120" w:line="360"/>
      </w:pPr>
      <w:r>
        <w:t xml:space="preserve">Why it weakens: AI software increasingly runs on commodity hardware.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Proprietary hardware; tightly integrated software; installed base &gt;500 units; high switching cost; proprietary consumables.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Hardware-integrated but some portability; 100-500 units; moderate switching costs.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Software-only; commodity hardware; no integration dependency.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Hardware required?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Proprietary or commodity?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Installed base?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Capex to switch?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Proprietary consumables?</w:t>
      </w:r>
    </w:p>
    <w:p>
      <w:pPr>
        <w:pStyle w:val="Heading2"/>
        <w:spacing w:after="100" w:before="200"/>
        <w:outlineLvl w:val="1"/>
      </w:pPr>
      <w:r>
        <w:t xml:space="preserve">MOAT 10: CLAIMS/BILLING SYSTEM EMBEDDING — STATUS: DURABLE</w:t>
      </w:r>
    </w:p>
    <w:p>
      <w:pPr>
        <w:spacing w:after="120" w:line="360"/>
      </w:pPr>
      <w:r>
        <w:t xml:space="preserve">What it is: Embedded in billing/claims workflows — RCM, claims adjudication, eligibility, prior auth. Switching requires IT integration and process redesign.</w:t>
      </w:r>
    </w:p>
    <w:p>
      <w:pPr>
        <w:spacing w:after="120" w:line="360"/>
      </w:pPr>
      <w:r>
        <w:t xml:space="preserve">Why it's durable: Revenue cycle systems are mission-critical. Cannot afford billing downtime.</w:t>
      </w:r>
    </w:p>
    <w:p>
      <w:pPr>
        <w:spacing w:after="120" w:line="360"/>
      </w:pPr>
      <w:r>
        <w:t xml:space="preserve">Why it weakens: Cloud platforms reduce friction. AI-native RCM startups offer better economics.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2/2: Core claims system; ≥1,000 customers; sticky revenue model (% of claims); integrated with ≥2 EHRs; mission-critical.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1/2: Integrated with claims but not core; 100-1,000 customers; moderate switching costs.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0/2: Point solution; easily replaced; minimal integration.</w:t>
      </w:r>
    </w:p>
    <w:p>
      <w:pPr>
        <w:pStyle w:val="Heading3"/>
        <w:spacing w:after="80" w:before="160"/>
        <w:outlineLvl w:val="2"/>
      </w:pPr>
      <w:r>
        <w:t xml:space="preserve">Key Questions: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Core system or add-on?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Customer count?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Migration difficulty?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EHR integrations?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Revenue-share or fixed fee?</w:t>
      </w:r>
    </w:p>
    <w:p>
      <w:pPr>
        <w:pStyle w:val="Heading2"/>
        <w:spacing w:after="100" w:before="200"/>
        <w:outlineLvl w:val="1"/>
      </w:pPr>
      <w:r>
        <w:t xml:space="preserve">HMDI SCORING TABLE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Moat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Description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Score 0-2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Evidence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Clinical Evidence &amp; Guideline Embedding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Regulatory Approval Barriers (FDA/LDT)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Reimbursement Lock-In (CPT/Payer)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Clinical Workflow Embedding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Patient Data Gravity &amp; Outcomes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Provider Network Effects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Physician Training &amp; Credentialing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Formulary/Preferred Vendor Lock-In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Hardware-in-the-Loop Embedding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Claims/Billing System Embedding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 HMDI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Maximum 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___/20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</w:tr>
    </w:tbl>
    <w:p>
      <w:pPr>
        <w:pStyle w:val="Heading2"/>
        <w:spacing w:after="100" w:before="200"/>
        <w:outlineLvl w:val="1"/>
      </w:pPr>
      <w:r>
        <w:t xml:space="preserve">HMDI CLASSIFICATION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Score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Classification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Triage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Proceed?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16-20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Fortress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Multiple reinforcing moats. AI risk low.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Incumbent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≥2-3 durable moats. Normal diligence.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8-11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Vulnerable Incumbent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Mixed strength. Careful scrutiny.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MAYBE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4-7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Disruption-Exposed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Weak moats. Consider passing unless valuation exceptional.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0-3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Terminal Position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Minimal protection. High disruption risk.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NO-GO</w:t>
            </w:r>
          </w:p>
        </w:tc>
      </w:tr>
    </w:tbl>
    <w:p>
      <w:pPr>
        <w:pStyle w:val="Heading2"/>
        <w:spacing w:after="100" w:before="200"/>
        <w:outlineLvl w:val="1"/>
      </w:pPr>
      <w:r>
        <w:t xml:space="preserve">HMDI CRITICAL RULES (Override Conditions)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If company is pure LDT-dependent (no FDA approvals) AND major payers are actively differentiating reimbursement between FDA-cleared and LDT products, downgrade HMDI by 2 points. Note: FDA LDT enforcement was rescinded in September 2025, but payer and clinical credibility preferences for FDA-cleared products persist independently.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If ASP declined &gt;15% YoY for 2+ consecutive years, cap HMDI at 10.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If product being actively replaced in &gt;50% of installations (per earnings commentary), cap HMDI at 8.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For data-centric companies, require SPECIFIC evidence that models improve with data scale. Absence downgrades Moat 5 to 0/2.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If provider network &lt;5K active or monthly usage &lt;40%, cap Moat 6 at 1/2.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If single health system &gt;15% revenue and building competing solutions, downgrade HMDI by 1 point.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VI: STAGE 2 — FOUR-DIMENSION HEALTHCARE ANTIFRAGILITY ASSESSMENT</w:t>
      </w:r>
    </w:p>
    <w:p>
      <w:pPr>
        <w:spacing w:after="120" w:line="360"/>
      </w:pPr>
      <w:r>
        <w:t xml:space="preserve">Purpose: After HMDI classification, score across four economic dimensions. Each 0-10, weighted.</w:t>
      </w:r>
    </w:p>
    <w:p>
      <w:pPr>
        <w:pStyle w:val="Heading2"/>
        <w:spacing w:after="100" w:before="200"/>
        <w:outlineLvl w:val="1"/>
      </w:pPr>
      <w:r>
        <w:t xml:space="preserve">DIMENSION 1: REGULATORY MOAT DEPTH &amp; COMPLIANCE BURDEN — Weight: 20%</w:t>
      </w:r>
    </w:p>
    <w:p>
      <w:pPr>
        <w:spacing w:after="120" w:line="360"/>
      </w:pPr>
      <w:r>
        <w:t xml:space="preserve">The Question: How deep is the regulatory fortress, and how much does compliance burden protect vs. constrain?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8-10: FDA-cleared products with QMS; HIPAA infrastructure; ≥10 state licenses; proprietary CPT codes; compliance costs &lt;15% revenue; compliance is moat not drag.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5-7: Mixed regulatory status; HIPAA compliant but maturing; &lt;10 states; compliance 15-25% revenue; some regulatory uncertainty.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2-4: Primarily LDT-dependent; limited licensing; compliance &gt;25% revenue; significant regulatory uncertainty.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0-1: Minimal regulatory structure; compliance as cost center not moat; high execution risk.</w:t>
      </w:r>
    </w:p>
    <w:p>
      <w:pPr>
        <w:pStyle w:val="Heading3"/>
        <w:spacing w:after="80" w:before="160"/>
        <w:outlineLvl w:val="2"/>
      </w:pPr>
      <w:r>
        <w:t xml:space="preserve">Key Metrics: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FDA approvals (510(k), PMA, De Novo)?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LDT risk?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Compliance % of revenue?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State licenses?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CPT codes?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Warning letters?</w:t>
      </w:r>
    </w:p>
    <w:p>
      <w:pPr>
        <w:pStyle w:val="Heading2"/>
        <w:spacing w:after="100" w:before="200"/>
        <w:outlineLvl w:val="1"/>
      </w:pPr>
      <w:r>
        <w:t xml:space="preserve">DIMENSION 2: CLINICAL WORKFLOW STICKINESS &amp; PROVIDER SWITCHING COST — Weight: 25%</w:t>
      </w:r>
    </w:p>
    <w:p>
      <w:pPr>
        <w:spacing w:after="120" w:line="360"/>
      </w:pPr>
      <w:r>
        <w:t xml:space="preserve">The Question: How embedded is this product in clinician decision-making, and how much friction to switch?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8-10: Embedded in daily workflows for ≥60% target specialists; switching requires retraining, EHR rebuild, or process redesign; ≥10 years history; physician NPS &gt;50 or retention &gt;90%; competing products considered "different" not "better"; changing SOC requires new evidence.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5-7: Embedded 40-60%; switching requires workflow redesign not rebuild; 5-10 years; retention &gt;80%; some switching occurs; clinical evidence supports continued use but alternatives emerging.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2-4: Modest integration &lt;40%; switching costs real but not prohibitive; &lt;5 years; NPS 20-50; active competitor switching; evidence mixed.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0-1: Standalone/replaceable; no significant integration; high physician willingness to switch; minimal retention friction.</w:t>
      </w:r>
    </w:p>
    <w:p>
      <w:pPr>
        <w:pStyle w:val="Heading3"/>
        <w:spacing w:after="80" w:before="160"/>
        <w:outlineLvl w:val="2"/>
      </w:pPr>
      <w:r>
        <w:t xml:space="preserve">Key Metrics: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% specialists using daily?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Years in market?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NPS?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Customer retention?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Historical data at risk?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Published outcomes?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Competing products driving switching?</w:t>
      </w:r>
    </w:p>
    <w:p>
      <w:pPr>
        <w:pStyle w:val="Heading2"/>
        <w:spacing w:after="100" w:before="200"/>
        <w:outlineLvl w:val="1"/>
      </w:pPr>
      <w:r>
        <w:t xml:space="preserve">DIMENSION 3: REVENUE MODEL RESILIENCE &amp; REIMBURSEMENT RISK — Weight: 25%</w:t>
      </w:r>
    </w:p>
    <w:p>
      <w:pPr>
        <w:spacing w:after="120" w:line="360"/>
      </w:pPr>
      <w:r>
        <w:t xml:space="preserve">The Question: How resilient is the revenue model to payer price compression, regulatory changes, and consolidation?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8-10: Multiple revenue streams; gross margin &gt;60% stable/expanding; diversified reimbursement; no single customer &gt;15%; ASP stable/increasing; value-based contracts; recurring revenue.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5-7: 2-3 revenue streams; gross margin 45-60% stable; largest payer &lt;25%; ASP stable; some recurring; 2-3 year visibility.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2-4: Concentrated (single product/payer); gross margin &lt;45% or volatile; ASP declining; largest customer &gt;25%; high project revenue; limited visibility.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0-1: Entirely payer-dependent; gross margin negative/collapsing; ASP collapsing; major payer reducing coverage; extreme concentration (&gt;30%); economics deteriorating.</w:t>
      </w:r>
    </w:p>
    <w:p>
      <w:pPr>
        <w:pStyle w:val="Heading3"/>
        <w:spacing w:after="80" w:before="160"/>
        <w:outlineLvl w:val="2"/>
      </w:pPr>
      <w:r>
        <w:t xml:space="preserve">Key Metrics: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Revenue streams?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Gross margin by segment?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Medicare/commercial/self-pay mix?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Top 10 customers?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ASP 3-year trend?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Contract renewal cycle?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Recurring vs. one-time?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NRR?</w:t>
      </w:r>
    </w:p>
    <w:p>
      <w:pPr>
        <w:pStyle w:val="Heading2"/>
        <w:spacing w:after="100" w:before="200"/>
        <w:outlineLvl w:val="1"/>
      </w:pPr>
      <w:r>
        <w:t xml:space="preserve">DIMENSION 4: DATA ASSETS &amp; AI MOAT DURABILITY — Weight: 20%</w:t>
      </w:r>
    </w:p>
    <w:p>
      <w:pPr>
        <w:spacing w:after="120" w:line="360"/>
      </w:pPr>
      <w:r>
        <w:t xml:space="preserve">The Question: Does this company own proprietary data that AI actually improves on, or is the data moat narrative without economic substance?</w:t>
      </w:r>
    </w:p>
    <w:p>
      <w:pPr>
        <w:pStyle w:val="Heading3"/>
        <w:spacing w:after="80" w:before="160"/>
        <w:outlineLvl w:val="2"/>
      </w:pPr>
      <w:r>
        <w:t xml:space="preserve">Scoring: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8-10: ≥500K records with ≥3 years longitudinal outcomes; multimodal; proprietary; peer-reviewed publications showing improvement; queryable/integrated; AI cited in literature; measurable competitive advantage.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5-7: 100K-500K records; &lt;3 years follow-up; mostly single modality; some proprietary; emerging publications; AI in development; advantage exists but not monetized.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2-4: &lt;100K records; limited outcomes; mostly partner data; no publications; AI aspirational; advantage narrative not demonstrated.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0-1: Minimal patient data; partner-provided or transactional; no AI moat evidence; data not strategically important.</w:t>
      </w:r>
    </w:p>
    <w:p>
      <w:pPr>
        <w:pStyle w:val="Heading3"/>
        <w:spacing w:after="80" w:before="160"/>
        <w:outlineLvl w:val="2"/>
      </w:pPr>
      <w:r>
        <w:t xml:space="preserve">Key Metrics: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Record count?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Follow-up length?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Modalities?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Peer-reviewed pubs?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FDA-cleared AI algorithms?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Quantified model improvement?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Competitive position?</w:t>
      </w:r>
    </w:p>
    <w:p>
      <w:pPr>
        <w:pStyle w:val="Heading2"/>
        <w:spacing w:after="100" w:before="200"/>
        <w:outlineLvl w:val="1"/>
      </w:pPr>
      <w:r>
        <w:t xml:space="preserve">COMPOSITE SCORING</w:t>
      </w:r>
    </w:p>
    <w:p>
      <w:pPr>
        <w:spacing w:after="120" w:line="360"/>
      </w:pPr>
      <w:r>
        <w:t xml:space="preserve">Composite = (D1 × 0.20) + (D2 × 0.25) + (D3 × 0.25) + (D4 × 0.20)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Dimension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Weight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Raw Score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Weighted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D1: Regulatory Moat 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D2: Clinical Workflow Stickiness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D3: Revenue Model Resilience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D4: Data Assets &amp; AI Moat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WEIGHTED COMPOSITE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___/10</w:t>
            </w:r>
          </w:p>
        </w:tc>
      </w:tr>
    </w:tbl>
    <w:p>
      <w:pPr>
        <w:spacing w:after="120" w:line="360"/>
      </w:pPr>
      <w:r>
        <w:t xml:space="preserve">Note: Dimension weights sum to 90%. The remaining 10% effectively comes from the modifier range (+3.5 to -2.0), which adjusts the composite to reflect company-specific factors.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VII: MODIFIERS</w:t>
      </w:r>
    </w:p>
    <w:p>
      <w:pPr>
        <w:pStyle w:val="Heading2"/>
        <w:spacing w:after="100" w:before="200"/>
        <w:outlineLvl w:val="1"/>
      </w:pPr>
      <w:r>
        <w:t xml:space="preserve">MODIFIER A: CLINICAL EVIDENCE PREMIUM (CEP) — Range: +0.0 to +1.5</w:t>
      </w:r>
    </w:p>
    <w:p>
      <w:pPr>
        <w:spacing w:after="120" w:line="360"/>
      </w:pPr>
      <w:r>
        <w:t xml:space="preserve">Measures: Depth of clinical evidence in peer-reviewed literature and guidelines.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+1.5: Multiple publications in top journals (JAMA, Lancet, NEJM) from independent groups; prospective RCT evidence; referenced by name in ≥2 major guidelines; evidence expanding.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+0.75: 5-10 publications; mix of prospective/retrospective; ≥1 guideline; evidence stable.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+0.0: &lt;5 publications; mostly retrospective; not in guidelines; evidence not expanding.</w:t>
      </w:r>
    </w:p>
    <w:p>
      <w:pPr>
        <w:pStyle w:val="Heading2"/>
        <w:spacing w:after="100" w:before="200"/>
        <w:outlineLvl w:val="1"/>
      </w:pPr>
      <w:r>
        <w:t xml:space="preserve">MODIFIER B: AI INTEGRATION READINESS (AIR) — Range: -1.0 to +1.0</w:t>
      </w:r>
    </w:p>
    <w:p>
      <w:pPr>
        <w:spacing w:after="120" w:line="360"/>
      </w:pPr>
      <w:r>
        <w:t xml:space="preserve">Measures: Management's demonstrated commitment to AI integration and willingness to cannibalize legacy revenue.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+1.0: FDA-cleared AI features shipped; active AI R&amp;D (&gt;20 engineers); explicit AI strategy articulated; customer NPS improving with AI; willing to cannibalize; AI revenue/margin improvement visible.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+0.5: AI in development; &lt;20 engineers growing; discusses strategy but execution unclear; mixed customer adoption.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+0.0: No meaningful AI integration; future roadmap only; execution risk high; legacy model dominates.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-0.5: AI deprioritized; negative customer feedback on AI; reluctant to cannibalize; defending legacy moats.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-1.0: Explicitly resisting AI; customer experience deteriorating vs AI-native competitors; management resistance evident in earnings calls.</w:t>
      </w:r>
    </w:p>
    <w:p>
      <w:pPr>
        <w:pStyle w:val="Heading2"/>
        <w:spacing w:after="100" w:before="200"/>
        <w:outlineLvl w:val="1"/>
      </w:pPr>
      <w:r>
        <w:t xml:space="preserve">MODIFIER C: CONSOLIDATION RESILIENCE PREMIUM (CRP) — Range: -1.0 to +1.0</w:t>
      </w:r>
    </w:p>
    <w:p>
      <w:pPr>
        <w:spacing w:after="120" w:line="360"/>
      </w:pPr>
      <w:r>
        <w:t xml:space="preserve">Measures: How well-positioned to benefit from healthcare consolidation (or exposed to disintermediation by it).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+1.0: Benefits from consolidation (fewer, larger customers = expansion); switching cost increases with consolidation; indispensable to consolidated entity; track record winning in consolidated environments.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+0.5: Some benefits but also some risk; mixed evidence on switching cost; credible consolidation strategy.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+0.0: Neutral to consolidation; no clear benefit or risk.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-0.5: Some disintermediation risk; larger customers demanding concessions; defensive posture.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-1.0: Actively disintermediated; health systems building internal alternatives; losing share to in-house solutions; fragile in consolidated environment.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VIII: CLASSIFICATION BANDS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Score Range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Classification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Definition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Investment Posture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8.0-10.0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ANTIFRAGILE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Multiple reinforcing moats AI strengthens or leaves unchanged. Resilient to payer pressure, consolidation, regulatory change. Gets stronger from disruption.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FULL POSITION. Hold through volatility. Valuation discipline required but quality exceptional.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6.0-7.9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ROBUST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Strong in 2-3 dimensions but some vulnerability. Can defend position but faces meaningful risks.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CORE POSITION. Size based on valuation. Monitor specific risk factors.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4.0-5.9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FRAGILE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Weak or deteriorating moats. Exposed to significant disruption. Depends on execution in multiple areas simultaneously.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SMALL POSITION or AVOID. Only with significant valuation discount and clear catalyst. Active monitoring and defined exit triggers.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0.0-3.9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TERMINAL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Minimal moat protection. Structural decline. Disruption likely and rapid.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PASS. Do not invest. Revisit only if fundamental transformation.</w:t>
            </w:r>
          </w:p>
        </w:tc>
      </w:tr>
    </w:tbl>
    <w:p>
      <w:pPr>
        <w:pStyle w:val="Heading2"/>
        <w:spacing w:after="100" w:before="200"/>
        <w:outlineLvl w:val="1"/>
      </w:pPr>
      <w:r>
        <w:t xml:space="preserve">CLASSIFICATION OVERRIDE RULES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HMDI Floor: If HMDI ≤ 4 (Disruption-Exposed), cap at FRAGILE regardless of dimensions.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Reimbursement Critical: If D3 ≤ 2, cap at FRAGILE regardless of others.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Regulatory Credibility Gap: If Moat 2 pure LDT (0/2) AND major payers are differentiating reimbursement or clinical credibility between FDA-cleared and LDT products, cap at FRAGILE unless credible FDA filing roadmap within 18 months.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Clinical Evidence Requirement: If D2 &lt; 3 AND D4 &lt; 3, cap at FRAGILE.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Consolidation Existential: If CRP = -1.0 AND top 5 customers &gt;40% revenue, cap at FRAGILE.</w:t>
      </w:r>
    </w:p>
    <w:p>
      <w:pPr>
        <w:pStyle w:val="ListParagraph"/>
        <w:numPr>
          <w:ilvl w:val="0"/>
          <w:numId w:val="{numbering1-0}"/>
        </w:numPr>
        <w:spacing w:after="80" w:line="320"/>
      </w:pPr>
      <w:r>
        <w:t xml:space="preserve">Data Fortress Floor: If Moat 5 = 2/2 AND D4 8-10 AND CEP = +1.5, floor at ROBUST regardless of other scores.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IX: VALUATION GATE</w:t>
      </w:r>
    </w:p>
    <w:p>
      <w:pPr>
        <w:pStyle w:val="Heading2"/>
        <w:spacing w:after="100" w:before="200"/>
        <w:outlineLvl w:val="1"/>
      </w:pPr>
      <w:r>
        <w:t xml:space="preserve">Classification-Based Valuation Bands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Classification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EV/NTM Revenue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Context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ANTIFRAGILE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4-10x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HC IT/services: 4-7x. Med-tech/diagnostics with data platform: 6-10x. &gt;10x requires extraordinary growth/margin.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ROBUST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2-6x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HC services/IT: 2-4x. Health IT platforms: 3-6x. Reflect moat strength and growth.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FRAGILE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0.5-2x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Turnaround only. Only at distressed valuations with clear catalysts.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TERMINAL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Any valuation overpriced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Pass.</w:t>
            </w:r>
          </w:p>
        </w:tc>
      </w:tr>
    </w:tbl>
    <w:p>
      <w:pPr>
        <w:spacing w:after="120" w:line="360"/>
      </w:pPr>
      <w:r>
        <w:t xml:space="preserve">Margin of Safety Hard Rule: If current valuation exceeds top of band by &gt;25%, downgrade to "WAIT FOR VALUATION" regardless of quality.</w:t>
      </w:r>
    </w:p>
    <w:p>
      <w:pPr>
        <w:pStyle w:val="Heading2"/>
        <w:spacing w:after="100" w:before="200"/>
        <w:outlineLvl w:val="1"/>
      </w:pPr>
      <w:r>
        <w:t xml:space="preserve">Reverse DCF Analysis</w:t>
      </w:r>
    </w:p>
    <w:p>
      <w:pPr>
        <w:spacing w:after="120" w:line="360"/>
      </w:pPr>
      <w:r>
        <w:t xml:space="preserve">Solve for implied assumptions: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Implied revenue growth rate years 1-5? 6-10?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Implied terminal gross margin?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Implied recurring vs. one-time revenue mix?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For diagnostics: implied test volume growth and ASP assumption?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For data platforms: revenue attributed to platform vs. core?</w:t>
      </w:r>
    </w:p>
    <w:p>
      <w:pPr>
        <w:spacing w:after="120" w:line="360"/>
      </w:pPr>
      <w:r>
        <w:t xml:space="preserve">Flag if market pricing assumptions not yet reflected in results.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X: BEAR CASE STEELMAN</w:t>
      </w:r>
    </w:p>
    <w:p>
      <w:pPr>
        <w:spacing w:after="120" w:line="360"/>
      </w:pPr>
      <w:r>
        <w:t xml:space="preserve">For every investment, articulate the strongest intellectually honest case against it. For healthcare specifically:</w:t>
      </w:r>
    </w:p>
    <w:p>
      <w:pPr>
        <w:pStyle w:val="Heading2"/>
        <w:spacing w:after="100" w:before="200"/>
        <w:outlineLvl w:val="1"/>
      </w:pPr>
      <w:r>
        <w:t xml:space="preserve">1. Reimbursement Collapse</w:t>
      </w:r>
    </w:p>
    <w:p>
      <w:pPr>
        <w:spacing w:after="120" w:line="360"/>
      </w:pPr>
      <w:r>
        <w:t xml:space="preserve">CMS or major commercial payer reduces coverage, denies NCD, or cuts rates. ASP declines materially.</w:t>
      </w:r>
    </w:p>
    <w:p>
      <w:pPr>
        <w:pStyle w:val="Heading2"/>
        <w:spacing w:after="100" w:before="200"/>
        <w:outlineLvl w:val="1"/>
      </w:pPr>
      <w:r>
        <w:t xml:space="preserve">2. AI Disruption Faster Than Expected</w:t>
      </w:r>
    </w:p>
    <w:p>
      <w:pPr>
        <w:spacing w:after="120" w:line="360"/>
      </w:pPr>
      <w:r>
        <w:t xml:space="preserve">AI-native competitor launches materially superior product. Clinicians switch despite switching costs.</w:t>
      </w:r>
    </w:p>
    <w:p>
      <w:pPr>
        <w:pStyle w:val="Heading2"/>
        <w:spacing w:after="100" w:before="200"/>
        <w:outlineLvl w:val="1"/>
      </w:pPr>
      <w:r>
        <w:t xml:space="preserve">3. Health System Disintermediation</w:t>
      </w:r>
    </w:p>
    <w:p>
      <w:pPr>
        <w:spacing w:after="120" w:line="360"/>
      </w:pPr>
      <w:r>
        <w:t xml:space="preserve">Large systems (Optum/UHG, CVS/Aetna, Amazon) build internal competing solutions. Top customers churn or negotiate sharply.</w:t>
      </w:r>
    </w:p>
    <w:p>
      <w:pPr>
        <w:pStyle w:val="Heading2"/>
        <w:spacing w:after="100" w:before="200"/>
        <w:outlineLvl w:val="1"/>
      </w:pPr>
      <w:r>
        <w:t xml:space="preserve">4. Data Moat Commoditization</w:t>
      </w:r>
    </w:p>
    <w:p>
      <w:pPr>
        <w:spacing w:after="120" w:line="360"/>
      </w:pPr>
      <w:r>
        <w:t xml:space="preserve">Competitors accumulate comparable datasets through pooled health system data, government databases, or transfer learning.</w:t>
      </w:r>
    </w:p>
    <w:p>
      <w:pPr>
        <w:pStyle w:val="Heading2"/>
        <w:spacing w:after="100" w:before="200"/>
        <w:outlineLvl w:val="1"/>
      </w:pPr>
      <w:r>
        <w:t xml:space="preserve">5. Regulatory Enforcement Creates Cost Spike</w:t>
      </w:r>
    </w:p>
    <w:p>
      <w:pPr>
        <w:spacing w:after="120" w:line="360"/>
      </w:pPr>
      <w:r>
        <w:t xml:space="preserve">New state-level diagnostic regulation, evolving HIPAA requirements, or future federal oversight initiatives force unplanned compliance spending. Note: While FDA LDT enforcement was rescinded in 2025, state regulators and Congress may pursue alternative regulatory frameworks.</w:t>
      </w:r>
    </w:p>
    <w:p>
      <w:pPr>
        <w:pStyle w:val="Heading2"/>
        <w:spacing w:after="100" w:before="200"/>
        <w:outlineLvl w:val="1"/>
      </w:pPr>
      <w:r>
        <w:t xml:space="preserve">6. Consolidation Destroys Customer Base</w:t>
      </w:r>
    </w:p>
    <w:p>
      <w:pPr>
        <w:spacing w:after="120" w:line="360"/>
      </w:pPr>
      <w:r>
        <w:t xml:space="preserve">Major health system mergers create internal politics requiring new IT systems, destroying incumbent relationships.</w:t>
      </w:r>
    </w:p>
    <w:p>
      <w:pPr>
        <w:spacing w:after="120" w:line="360"/>
      </w:pPr>
      <w:r>
        <w:t xml:space="preserve">For each: What would have to be true? Early warning signals? How would you know the bear case is winning? Estimated probability? Time horizon?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XI: MONITORING TRIPWIRES</w:t>
      </w:r>
    </w:p>
    <w:p>
      <w:pPr>
        <w:spacing w:after="120" w:line="360"/>
      </w:pPr>
      <w:r>
        <w:t xml:space="preserve">Specify quantitative thresholds that trigger position review or exit. Must be measurable and unambiguous.</w:t>
      </w:r>
    </w:p>
    <w:p>
      <w:pPr>
        <w:spacing w:after="120" w:line="360"/>
      </w:pPr>
      <w:r>
        <w:t xml:space="preserve">Examples (customize per company):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Revenue growth rate declines below [X]% for 2 consecutive quarters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Gross margin falls below [X]% for 2 consecutive quarters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Top 3 customers collectively &gt;50% revenue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Net revenue retention drops below 100%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ASP declines &gt;5% YoY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Major FDA action or warning letter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Competitor gains &gt;20% market share in core segment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Key partnership terminated or not renewed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Management changes profitability timeline by &gt;12 months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Insider selling by CEO/CFO accelerates beyond historical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Patient volume declines YoY (for testing/diagnostics)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Payer denies, reduces, or threatens coverage for primary revenue driver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XII: EXECUTIVE SUMMARY TEMPLATE</w:t>
      </w:r>
    </w:p>
    <w:p>
      <w:pPr>
        <w:spacing w:after="120" w:line="360"/>
      </w:pPr>
      <w:r>
        <w:t xml:space="preserve">Company: [TICKER] — [One-line description]</w:t>
      </w:r>
    </w:p>
    <w:p>
      <w:pPr>
        <w:spacing w:after="120" w:line="360"/>
      </w:pPr>
      <w:r>
        <w:t xml:space="preserve">Current Price: $[X] | Market Cap: $[X]B</w:t>
      </w:r>
    </w:p>
    <w:p>
      <w:pPr>
        <w:spacing w:after="120" w:line="360"/>
      </w:pPr>
      <w:r>
        <w:t xml:space="preserve">HMDI Score: ___/20 | Classification: [Healthcare Fortress / Healthcare Incumbent / Vulnerable Incumbent / Disruption-Exposed / Terminal]</w:t>
      </w:r>
    </w:p>
    <w:p>
      <w:pPr>
        <w:spacing w:after="120" w:line="360"/>
      </w:pPr>
      <w:r>
        <w:t xml:space="preserve">Composite Score: ___/10 | Classification: [ANTIFRAGILE / ROBUST / FRAGILE / TERMINAL]</w:t>
      </w:r>
    </w:p>
    <w:p>
      <w:pPr>
        <w:pStyle w:val="Heading2"/>
        <w:spacing w:after="100" w:before="200"/>
        <w:outlineLvl w:val="1"/>
      </w:pPr>
      <w:r>
        <w:t xml:space="preserve">Moat Assessment</w:t>
      </w:r>
    </w:p>
    <w:p>
      <w:pPr>
        <w:spacing w:after="120" w:line="360"/>
      </w:pPr>
      <w:r>
        <w:t xml:space="preserve">[Most important moats + threats]</w:t>
      </w:r>
    </w:p>
    <w:p>
      <w:pPr>
        <w:pStyle w:val="Heading2"/>
        <w:spacing w:after="100" w:before="200"/>
        <w:outlineLvl w:val="1"/>
      </w:pPr>
      <w:r>
        <w:t xml:space="preserve">Key Strengths (3-5 bullets)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[Strongest moat with evidence]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[Clinical/regulatory advantage]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[Revenue model resilience or customer stickiness]</w:t>
      </w:r>
    </w:p>
    <w:p>
      <w:pPr>
        <w:pStyle w:val="Heading2"/>
        <w:spacing w:after="100" w:before="200"/>
        <w:outlineLvl w:val="1"/>
      </w:pPr>
      <w:r>
        <w:t xml:space="preserve">Key Risks (3-5 bullets)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[Biggest existential risk]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[Specific disruption threat]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[Reimbursement or consolidation risk]</w:t>
      </w:r>
    </w:p>
    <w:p>
      <w:pPr>
        <w:pStyle w:val="Heading2"/>
        <w:spacing w:after="100" w:before="200"/>
        <w:outlineLvl w:val="1"/>
      </w:pPr>
      <w:r>
        <w:t xml:space="preserve">Bear Case</w:t>
      </w:r>
    </w:p>
    <w:p>
      <w:pPr>
        <w:spacing w:after="120" w:line="360"/>
      </w:pPr>
      <w:r>
        <w:t xml:space="preserve">[Strongest case against with probability]</w:t>
      </w:r>
    </w:p>
    <w:p>
      <w:pPr>
        <w:pStyle w:val="Heading2"/>
        <w:spacing w:after="100" w:before="200"/>
        <w:outlineLvl w:val="1"/>
      </w:pPr>
      <w:r>
        <w:t xml:space="preserve">Valuation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Current: [X]x NTM Revenue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Band: [Y]-[Z]x for [Classification]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Implied Assumptions: [Revenue growth, margins, mix]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Assessment: [Fair / Overpriced / Underpriced]</w:t>
      </w:r>
    </w:p>
    <w:p>
      <w:pPr>
        <w:pStyle w:val="Heading2"/>
        <w:spacing w:after="100" w:before="200"/>
        <w:outlineLvl w:val="1"/>
      </w:pPr>
      <w:r>
        <w:t xml:space="preserve">Recommendation</w:t>
      </w:r>
    </w:p>
    <w:p>
      <w:pPr>
        <w:spacing w:after="120" w:line="360"/>
      </w:pPr>
      <w:r>
        <w:t xml:space="preserve">[BUY / HOLD / WAIT FOR VALUATION / AVOID] at $[X]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Position Size: [X]% of portfolio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Key Monitoring Metrics: [Top 3 tripwires]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Review Date: [Date]</w:t>
      </w:r>
    </w:p>
    <w:r>
      <w:br w:type="page"/>
    </w:r>
    <w:p>
      <w:pPr>
        <w:pStyle w:val="Heading1"/>
        <w:spacing w:after="120" w:before="240"/>
        <w:outlineLvl w:val="0"/>
      </w:pPr>
      <w:r>
        <w:t xml:space="preserve">SECTION XIII: SECTOR ROUTING &amp; FRAMEWORK SELECTION APPENDIX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Sub-Sector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Primary Framework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Antifragility?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When to Combine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Pre-revenue biotech (Phase 1-2)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3+1 Filter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 applicable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N/A — too early stage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Revenue-stage pharma (approved products)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Revenue Stage Pharma v2.1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YES, disruption lens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Company has approved products, needs AI resilience assessment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Diagnostics (pure testing)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Medical Device Platform v1.0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YES, AI/regulatory risk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Both economics + disruption resilience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Precision medicine + data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Precision Medicine/Diagnostics v1.0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YES, AI durability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Dual-engine needs both assessments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Biopharma enablers (tools/services)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Biopharma Enabler v1.0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MAYBE, if facing AI disruption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Enablers facing automation risk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 IT (EHR, RCM, HIS)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Antifragility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Core use case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services (staffing, home health, telehealth)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Antifragility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Core use case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analytics/data platforms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Antifragility (data emphasis)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Core use case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Med-tech with embedded software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Medical Device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Antifragility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Both — device economics + software risk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Specialty pharmacy, consolidation plays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Antifragility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Focus D3 and CRP modifier</w:t>
            </w:r>
          </w:p>
        </w:tc>
      </w:tr>
    </w:tbl>
    <w:r>
      <w:br w:type="page"/>
    </w:r>
    <w:p>
      <w:pPr>
        <w:pStyle w:val="Heading1"/>
        <w:spacing w:after="120" w:before="240"/>
        <w:outlineLvl w:val="0"/>
      </w:pPr>
      <w:r>
        <w:t xml:space="preserve">SECTION XIV: ABBREVIATIONS &amp; DEFINITIONS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Abbreviation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Definition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Context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HMDI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Moat Destruction 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Stage 1 pre-screen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Clinical Evidence Premium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Modifier 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Integration Readiness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Modifier 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Consolidation Resilience Premium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Modifier 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EHR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Electronic Health Record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Epic, Oracle Health, Cerner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 Procedural Terminology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Billing codes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NCD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National Coverage Determination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Medicare national coverage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LCD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Local Coverage Determination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Medicare regional coverage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ASP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Average Selling 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Price per unit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NRR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Net Revenue Retention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Revenue retention/expansion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LDT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Lab-Developed 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Single-lab tests, less regulated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Food and Drug Administration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Device/drug regulator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Quality Management 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Regulatory compliance processes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RWE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Real-World Evidence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Outcomes from actual use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NCCN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National Comprehensive Cancer Network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Clinical guidelines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Intellectual Property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Patents, trade secrets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Freedom to Operate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Patent clearance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HIPAA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 Insurance Portability and Accountability 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Patient data privacy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Premarket Approval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FDA highest-risk approval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510(k)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Premarket Notification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FDA moderate-risk clearance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 Novo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 Novo Classification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FDA novel low-moderate risk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Standard of Care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Clinical treatment standard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RCM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Revenue Cycle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Healthcare billing operations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2026-02-28T02:06:37.110Z</dcterms:created>
  <dcterms:modified xsi:type="dcterms:W3CDTF">2026-02-28T02:06:37.110Z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