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B8FC" w14:textId="77777777" w:rsidR="005A35EB" w:rsidRDefault="00000000">
      <w:pPr>
        <w:spacing w:before="3000"/>
        <w:jc w:val="center"/>
      </w:pPr>
      <w:r>
        <w:rPr>
          <w:b/>
          <w:bCs/>
          <w:color w:val="1B3A5C"/>
          <w:sz w:val="48"/>
          <w:szCs w:val="48"/>
        </w:rPr>
        <w:t>INTERACTIVE BROKERS GROUP (IBKR)</w:t>
      </w:r>
    </w:p>
    <w:p w14:paraId="3D546115" w14:textId="77777777" w:rsidR="005A35EB" w:rsidRDefault="00000000">
      <w:pPr>
        <w:spacing w:after="200"/>
        <w:jc w:val="center"/>
      </w:pPr>
      <w:r>
        <w:rPr>
          <w:color w:val="2E5984"/>
          <w:sz w:val="32"/>
          <w:szCs w:val="32"/>
        </w:rPr>
        <w:t>Fintech Moat Antifragility Analysis</w:t>
      </w:r>
    </w:p>
    <w:p w14:paraId="691D2BAF" w14:textId="77777777" w:rsidR="005A35EB" w:rsidRDefault="00000000">
      <w:pPr>
        <w:spacing w:after="100"/>
        <w:jc w:val="center"/>
      </w:pPr>
      <w:r>
        <w:rPr>
          <w:color w:val="666666"/>
        </w:rPr>
        <w:t>Adapted from the Stoffel-</w:t>
      </w:r>
      <w:proofErr w:type="spellStart"/>
      <w:r>
        <w:rPr>
          <w:color w:val="666666"/>
        </w:rPr>
        <w:t>Feroldi</w:t>
      </w:r>
      <w:proofErr w:type="spellEnd"/>
      <w:r>
        <w:rPr>
          <w:color w:val="666666"/>
        </w:rPr>
        <w:t xml:space="preserve"> × Bustamante Data Infrastructure</w:t>
      </w:r>
    </w:p>
    <w:p w14:paraId="1F21B63D" w14:textId="77777777" w:rsidR="005A35EB" w:rsidRDefault="00000000">
      <w:pPr>
        <w:spacing w:after="100"/>
        <w:jc w:val="center"/>
      </w:pPr>
      <w:r>
        <w:rPr>
          <w:color w:val="666666"/>
        </w:rPr>
        <w:t>Antifragility Framework v1.0 for Consumer Fintech / Brokerage</w:t>
      </w:r>
    </w:p>
    <w:p w14:paraId="6B58F795" w14:textId="77777777" w:rsidR="005A35EB" w:rsidRDefault="00000000">
      <w:pPr>
        <w:spacing w:after="400"/>
        <w:jc w:val="center"/>
      </w:pPr>
      <w:r>
        <w:rPr>
          <w:color w:val="888888"/>
          <w:sz w:val="22"/>
          <w:szCs w:val="22"/>
        </w:rPr>
        <w:t>March 10, 2026</w:t>
      </w:r>
    </w:p>
    <w:p w14:paraId="4F1EFC86" w14:textId="77777777" w:rsidR="005A35EB" w:rsidRDefault="00000000">
      <w:pPr>
        <w:spacing w:after="200"/>
        <w:jc w:val="center"/>
      </w:pPr>
      <w:r>
        <w:rPr>
          <w:b/>
          <w:bCs/>
          <w:sz w:val="22"/>
          <w:szCs w:val="22"/>
        </w:rPr>
        <w:t>Current Price: ~$67.49 | Market Cap: ~$30.3B | Forward P/E: ~28x</w:t>
      </w:r>
    </w:p>
    <w:p w14:paraId="72CA8202" w14:textId="77777777" w:rsidR="005A35EB" w:rsidRDefault="00000000">
      <w:r>
        <w:br w:type="page"/>
      </w:r>
    </w:p>
    <w:p w14:paraId="5DEA850E" w14:textId="77777777" w:rsidR="005A35EB" w:rsidRDefault="00000000">
      <w:pPr>
        <w:pStyle w:val="Heading1"/>
      </w:pPr>
      <w:r>
        <w:lastRenderedPageBreak/>
        <w:t>FRAMEWORK APPLICATION NOTE: IBKR vs. HOOD</w:t>
      </w:r>
    </w:p>
    <w:p w14:paraId="08FF4D85" w14:textId="77777777" w:rsidR="005A35EB" w:rsidRDefault="00000000">
      <w:pPr>
        <w:spacing w:after="120"/>
      </w:pPr>
      <w:r>
        <w:t>This analysis applies the same adapted Fintech Moat Antifragility Framework used for the HOOD analysis. However, IBKR and HOOD are fundamentally different businesses that happen to share the broker-dealer license. Where Robinhood is a consumer-facing fintech platform built on mobile UX and gamification for the under-40 retail cohort, Interactive Brokers is a technology-driven institutional-grade brokerage built on 48 years of proprietary automation, serving sophisticated traders, hedge funds, RIAs, and professional investors across 200+ countries.</w:t>
      </w:r>
    </w:p>
    <w:p w14:paraId="454D9C37" w14:textId="77777777" w:rsidR="005A35EB" w:rsidRDefault="00000000">
      <w:pPr>
        <w:spacing w:after="120"/>
      </w:pPr>
      <w:r>
        <w:t>The framework adaptation retains the same five moat types and four scoring dimensions, but the application reveals a very different moat profile: IBKR’s competitive advantages are rooted in process power (automation, technology, cost efficiency) and global scale economics — moats that are harder to see but far harder to replicate than brand or product design.</w:t>
      </w:r>
    </w:p>
    <w:p w14:paraId="4D6ECCF6" w14:textId="77777777" w:rsidR="005A35EB" w:rsidRDefault="00000000">
      <w:pPr>
        <w:spacing w:after="120"/>
      </w:pPr>
      <w:r>
        <w:t>Key structural differences from HOOD that affect scoring:</w:t>
      </w:r>
    </w:p>
    <w:p w14:paraId="2EB9D12F" w14:textId="77777777" w:rsidR="005A35EB" w:rsidRDefault="00000000">
      <w:pPr>
        <w:pStyle w:val="ListParagraph"/>
        <w:numPr>
          <w:ilvl w:val="0"/>
          <w:numId w:val="2"/>
        </w:numPr>
        <w:spacing w:after="80"/>
      </w:pPr>
      <w:r>
        <w:t>Founder-controlled: Thomas Peterffy controls ~91.6% of Holdings, which owns 73.7% of IBG LLC. This is the strongest possible insider alignment — the founder IS the business.</w:t>
      </w:r>
    </w:p>
    <w:p w14:paraId="299ACD6B" w14:textId="77777777" w:rsidR="005A35EB" w:rsidRDefault="00000000">
      <w:pPr>
        <w:pStyle w:val="ListParagraph"/>
        <w:numPr>
          <w:ilvl w:val="0"/>
          <w:numId w:val="2"/>
        </w:numPr>
        <w:spacing w:after="80"/>
      </w:pPr>
      <w:r>
        <w:t>Pretax margins: 77% (industry record) vs. HOOD’s 56% EBITDA margin. IBKR is the most operationally efficient brokerage ever built.</w:t>
      </w:r>
    </w:p>
    <w:p w14:paraId="32C75771" w14:textId="77777777" w:rsidR="005A35EB" w:rsidRDefault="00000000">
      <w:pPr>
        <w:pStyle w:val="ListParagraph"/>
        <w:numPr>
          <w:ilvl w:val="0"/>
          <w:numId w:val="2"/>
        </w:numPr>
        <w:spacing w:after="80"/>
      </w:pPr>
      <w:r>
        <w:t>Client equity: $780B vs. HOOD’s $324B. IBKR holds 2.4x the assets with a more sophisticated, stickier client base.</w:t>
      </w:r>
    </w:p>
    <w:p w14:paraId="24724E2A" w14:textId="77777777" w:rsidR="005A35EB" w:rsidRDefault="00000000">
      <w:pPr>
        <w:pStyle w:val="ListParagraph"/>
        <w:numPr>
          <w:ilvl w:val="0"/>
          <w:numId w:val="2"/>
        </w:numPr>
        <w:spacing w:after="80"/>
      </w:pPr>
      <w:r>
        <w:t>Global footprint: 170+ exchanges in 33 countries, serving 200+ countries. HOOD just launched in the UK.</w:t>
      </w:r>
    </w:p>
    <w:p w14:paraId="502D5901" w14:textId="77777777" w:rsidR="005A35EB" w:rsidRDefault="00000000">
      <w:pPr>
        <w:pStyle w:val="ListParagraph"/>
        <w:numPr>
          <w:ilvl w:val="0"/>
          <w:numId w:val="2"/>
        </w:numPr>
        <w:spacing w:after="80"/>
      </w:pPr>
      <w:r>
        <w:t>Revenue quality: 58% NII + 34% commissions. NII is rate-</w:t>
      </w:r>
      <w:proofErr w:type="gramStart"/>
      <w:r>
        <w:t>sensitive</w:t>
      </w:r>
      <w:proofErr w:type="gramEnd"/>
      <w:r>
        <w:t xml:space="preserve"> but commissions are volume-driven and diversified across asset classes globally.</w:t>
      </w:r>
    </w:p>
    <w:p w14:paraId="76BC5A98" w14:textId="77777777" w:rsidR="005A35EB" w:rsidRDefault="00000000">
      <w:pPr>
        <w:pStyle w:val="ListParagraph"/>
        <w:numPr>
          <w:ilvl w:val="0"/>
          <w:numId w:val="2"/>
        </w:numPr>
        <w:spacing w:after="80"/>
      </w:pPr>
      <w:r>
        <w:t>S&amp;P 500 constituent since August 2025 — institutional validation and forced index fund buying.</w:t>
      </w:r>
    </w:p>
    <w:p w14:paraId="32EC7441" w14:textId="77777777" w:rsidR="005A35EB" w:rsidRDefault="00000000">
      <w:r>
        <w:br w:type="page"/>
      </w:r>
    </w:p>
    <w:p w14:paraId="34349EFB" w14:textId="77777777" w:rsidR="005A35EB" w:rsidRDefault="00000000">
      <w:pPr>
        <w:pStyle w:val="Heading1"/>
      </w:pPr>
      <w:r>
        <w:lastRenderedPageBreak/>
        <w:t>STAGE 1: FINTECH MOAT TAXONOMY PRE-SCREEN</w:t>
      </w:r>
    </w:p>
    <w:p w14:paraId="61C3D3F4" w14:textId="77777777" w:rsidR="005A35EB" w:rsidRDefault="00000000">
      <w:pPr>
        <w:pStyle w:val="Heading2"/>
      </w:pPr>
      <w:r>
        <w:t>Company Overview</w:t>
      </w:r>
    </w:p>
    <w:p w14:paraId="30A73080" w14:textId="77777777" w:rsidR="005A35EB" w:rsidRDefault="00000000">
      <w:pPr>
        <w:spacing w:after="120"/>
      </w:pPr>
      <w:r>
        <w:rPr>
          <w:b/>
          <w:bCs/>
        </w:rPr>
        <w:t xml:space="preserve">Company: </w:t>
      </w:r>
      <w:r>
        <w:t>Interactive Brokers Group, Inc. (NASDAQ: IBKR)</w:t>
      </w:r>
    </w:p>
    <w:p w14:paraId="18FC77D1" w14:textId="77777777" w:rsidR="005A35EB" w:rsidRDefault="00000000">
      <w:pPr>
        <w:spacing w:after="120"/>
      </w:pPr>
      <w:r>
        <w:rPr>
          <w:b/>
          <w:bCs/>
        </w:rPr>
        <w:t xml:space="preserve">Founded: </w:t>
      </w:r>
      <w:r>
        <w:t>1978 by Thomas Peterffy. 48 years of continuous operation.</w:t>
      </w:r>
    </w:p>
    <w:p w14:paraId="288D542F" w14:textId="77777777" w:rsidR="005A35EB" w:rsidRDefault="00000000">
      <w:pPr>
        <w:spacing w:after="120"/>
      </w:pPr>
      <w:r>
        <w:rPr>
          <w:b/>
          <w:bCs/>
        </w:rPr>
        <w:t xml:space="preserve">Core Business: </w:t>
      </w:r>
      <w:r>
        <w:t>Automated global electronic broker-dealer providing trade execution and clearing services across stocks, options, futures, forex, bonds, mutual funds, ETFs, precious metals, and cryptocurrencies on 170+ market destinations in 33 countries.</w:t>
      </w:r>
    </w:p>
    <w:p w14:paraId="50E35EF2" w14:textId="77777777" w:rsidR="005A35EB" w:rsidRDefault="00000000">
      <w:pPr>
        <w:spacing w:after="120"/>
      </w:pPr>
      <w:r>
        <w:rPr>
          <w:b/>
          <w:bCs/>
        </w:rPr>
        <w:t xml:space="preserve">Revenue Model: </w:t>
      </w:r>
      <w:r>
        <w:t xml:space="preserve">Primarily Net Interest Income (margin lending, customer cash, securities lending) and Commissions (per-trade/per-contract fees across all asset classes). Also earns from other fees including market data, risk exposure fees, and </w:t>
      </w:r>
      <w:proofErr w:type="gramStart"/>
      <w:r>
        <w:t>account</w:t>
      </w:r>
      <w:proofErr w:type="gramEnd"/>
      <w:r>
        <w:t xml:space="preserve"> activity fees.</w:t>
      </w:r>
    </w:p>
    <w:p w14:paraId="3DBE5BE1" w14:textId="77777777" w:rsidR="005A35EB" w:rsidRDefault="00000000">
      <w:pPr>
        <w:spacing w:after="120"/>
      </w:pPr>
      <w:r>
        <w:rPr>
          <w:b/>
          <w:bCs/>
        </w:rPr>
        <w:t xml:space="preserve">FY2025 Net Revenues: </w:t>
      </w:r>
      <w:r>
        <w:t>$6.2B (record). Commission Revenue: $2.1B (+27% YoY). Net Interest Income: $3.6B. Pretax Margin: 77% (record). Firm Equity: &gt;$20B.</w:t>
      </w:r>
    </w:p>
    <w:p w14:paraId="4AD7AB24" w14:textId="77777777" w:rsidR="005A35EB" w:rsidRDefault="00000000">
      <w:pPr>
        <w:spacing w:after="120"/>
      </w:pPr>
      <w:r>
        <w:rPr>
          <w:b/>
          <w:bCs/>
        </w:rPr>
        <w:t xml:space="preserve">Customer Accounts: </w:t>
      </w:r>
      <w:r>
        <w:t>4.4 million (+32% YoY). Added 1,000,000+ net new accounts in 2025 (record).</w:t>
      </w:r>
    </w:p>
    <w:p w14:paraId="4ECD6D34" w14:textId="77777777" w:rsidR="005A35EB" w:rsidRDefault="00000000">
      <w:pPr>
        <w:spacing w:after="120"/>
      </w:pPr>
      <w:r>
        <w:rPr>
          <w:b/>
          <w:bCs/>
        </w:rPr>
        <w:t xml:space="preserve">Client Equity: </w:t>
      </w:r>
      <w:r>
        <w:t>$780B (+37% YoY).</w:t>
      </w:r>
    </w:p>
    <w:p w14:paraId="39E337A9" w14:textId="77777777" w:rsidR="005A35EB" w:rsidRDefault="00000000">
      <w:pPr>
        <w:spacing w:after="120"/>
      </w:pPr>
      <w:r>
        <w:rPr>
          <w:b/>
          <w:bCs/>
        </w:rPr>
        <w:t xml:space="preserve">Employees: </w:t>
      </w:r>
      <w:r>
        <w:t>3,180+ across 12 offices in the US, Canada, UK, Ireland, Switzerland, Hungary, India, China (Hong Kong, Shanghai), Japan, Singapore, and Australia.</w:t>
      </w:r>
    </w:p>
    <w:p w14:paraId="5CDB2B14" w14:textId="77777777" w:rsidR="005A35EB" w:rsidRDefault="00000000">
      <w:pPr>
        <w:spacing w:after="120"/>
      </w:pPr>
      <w:r>
        <w:rPr>
          <w:b/>
          <w:bCs/>
        </w:rPr>
        <w:t xml:space="preserve">Founder/Chairman: </w:t>
      </w:r>
      <w:r>
        <w:t>Thomas Peterffy. Controls ~91.6% of IBG Holdings LLC, which owns 73.7% of operating entity IBG LLC.</w:t>
      </w:r>
    </w:p>
    <w:p w14:paraId="5F10928E" w14:textId="77777777" w:rsidR="005A35EB" w:rsidRDefault="00000000">
      <w:r>
        <w:br w:type="page"/>
      </w:r>
    </w:p>
    <w:p w14:paraId="19D327D5" w14:textId="77777777" w:rsidR="005A35EB" w:rsidRDefault="00000000">
      <w:pPr>
        <w:pStyle w:val="Heading2"/>
      </w:pPr>
      <w:r>
        <w:lastRenderedPageBreak/>
        <w:t>MOAT TYPE 1: REGULATORY LICENSING &amp; COMPLIANCE BARRIER</w:t>
      </w:r>
    </w:p>
    <w:p w14:paraId="54ABCC7A" w14:textId="77777777" w:rsidR="005A35EB" w:rsidRDefault="00000000">
      <w:pPr>
        <w:spacing w:after="120"/>
      </w:pPr>
      <w:r>
        <w:rPr>
          <w:i/>
          <w:iCs/>
          <w:color w:val="888888"/>
        </w:rPr>
        <w:t>Equivalent to: Regulatory Designation (Data Infra Framework)</w:t>
      </w:r>
    </w:p>
    <w:p w14:paraId="5DD043B4" w14:textId="77777777" w:rsidR="005A35EB" w:rsidRDefault="00000000">
      <w:pPr>
        <w:spacing w:before="200" w:after="120"/>
      </w:pPr>
      <w:r>
        <w:rPr>
          <w:b/>
          <w:bCs/>
          <w:color w:val="3A7CA5"/>
          <w:sz w:val="22"/>
          <w:szCs w:val="22"/>
        </w:rPr>
        <w:t>Assessment</w:t>
      </w:r>
    </w:p>
    <w:p w14:paraId="19C23300" w14:textId="77777777" w:rsidR="005A35EB" w:rsidRDefault="00000000">
      <w:pPr>
        <w:spacing w:after="120"/>
      </w:pPr>
      <w:r>
        <w:t>Interactive Brokers holds a far more extensive regulatory licensing portfolio than any retail-focused competitor. The company is regulated by six premier regulators worldwide: SEC and FINRA (US equities/options), CFTC/NFA (US futures/forex), FCA (UK), CBI (Ireland), ASIC (Australia), MAS (Singapore), SFC (Hong Kong), and JFSA (Japan). This multi-jurisdictional licensing portfolio represents a genuine barrier to entry that goes well beyond a single broker-dealer license.</w:t>
      </w:r>
    </w:p>
    <w:p w14:paraId="4A2B3BF9" w14:textId="77777777" w:rsidR="005A35EB" w:rsidRDefault="00000000">
      <w:pPr>
        <w:spacing w:after="120"/>
      </w:pPr>
      <w:r>
        <w:t>The critical distinction from HOOD: Robinhood has US broker-dealer and money transmitter licenses — the minimum required to operate domestically. IBKR has a global web of interconnected licenses across dozens of jurisdictions, each with its own capital requirements, compliance infrastructure, and examination regimes. Replicating this global regulatory footprint would take 5-10 years and hundreds of millions of dollars in legal and compliance costs.</w:t>
      </w:r>
    </w:p>
    <w:p w14:paraId="77A8A967" w14:textId="77777777" w:rsidR="005A35EB" w:rsidRDefault="00000000">
      <w:pPr>
        <w:spacing w:after="120"/>
      </w:pPr>
      <w:r>
        <w:t>Additionally, IBKR operates as its own clearing firm — a capability that only ~10% of FINRA-registered broker-dealers possess. IBKR clears and settles trades across 170+ exchanges in 33 countries. This is not just self-clearing for US equities (as Robinhood does); it is global multi-asset clearing across every major market on earth. The operational complexity of maintaining clearing relationships with 170+ exchanges is itself a formidable moat.</w:t>
      </w:r>
    </w:p>
    <w:p w14:paraId="1C77CE7B" w14:textId="77777777" w:rsidR="005A35EB" w:rsidRDefault="00000000">
      <w:pPr>
        <w:spacing w:after="120"/>
      </w:pPr>
      <w:r>
        <w:t>IBKR’s regulatory record is clean relative to HOOD. While no broker is penalty-free, IBKR has not experienced the pattern of repeated, large enforcement actions that characterizes Robinhood’s regulatory history. The company’s compliance infrastructure is built for institutional-grade oversight, which is a requirement for serving hedge funds, family offices, and RIAs.</w:t>
      </w:r>
    </w:p>
    <w:p w14:paraId="3B38F41D" w14:textId="77777777" w:rsidR="005A35EB" w:rsidRDefault="00000000">
      <w:pPr>
        <w:spacing w:before="200" w:after="120"/>
      </w:pPr>
      <w:r>
        <w:rPr>
          <w:b/>
          <w:bCs/>
          <w:color w:val="3A7CA5"/>
          <w:sz w:val="22"/>
          <w:szCs w:val="22"/>
        </w:rPr>
        <w:t>Scoring</w:t>
      </w:r>
    </w:p>
    <w:p w14:paraId="12F9D58E" w14:textId="77777777" w:rsidR="005A35EB" w:rsidRDefault="00000000">
      <w:pPr>
        <w:spacing w:after="120"/>
      </w:pPr>
      <w:r>
        <w:rPr>
          <w:b/>
          <w:bCs/>
        </w:rPr>
        <w:t xml:space="preserve">Regulatory Licensing Level: </w:t>
      </w:r>
      <w:r>
        <w:t>Level 2 — Multi-Jurisdictional Licensed Operator (Substantial Barrier, No Legal Force)</w:t>
      </w:r>
    </w:p>
    <w:p w14:paraId="158253F9" w14:textId="77777777" w:rsidR="005A35EB" w:rsidRDefault="00000000">
      <w:pPr>
        <w:spacing w:after="120"/>
      </w:pPr>
      <w:r>
        <w:t>IBKR holds the most comprehensive global regulatory licensing portfolio of any electronic broker-dealer. However, this is still a licensing moat, not a regulatory designation moat. No statute names IBKR specifically. A well-funded competitor could theoretically replicate the licensing portfolio — but the practical barriers (time, cost, institutional relationships) are substantial.</w:t>
      </w:r>
    </w:p>
    <w:p w14:paraId="43DC3174" w14:textId="77777777" w:rsidR="005A35EB" w:rsidRDefault="00000000">
      <w:r>
        <w:br w:type="page"/>
      </w:r>
    </w:p>
    <w:p w14:paraId="7161F93E" w14:textId="77777777" w:rsidR="005A35EB" w:rsidRDefault="00000000">
      <w:pPr>
        <w:pStyle w:val="Heading2"/>
      </w:pPr>
      <w:r>
        <w:lastRenderedPageBreak/>
        <w:t>MOAT TYPE 2: MARKET-MAKING HERITAGE &amp; EXECUTION QUALITY</w:t>
      </w:r>
    </w:p>
    <w:p w14:paraId="56A3B203" w14:textId="77777777" w:rsidR="005A35EB" w:rsidRDefault="00000000">
      <w:pPr>
        <w:spacing w:after="120"/>
      </w:pPr>
      <w:r>
        <w:rPr>
          <w:i/>
          <w:iCs/>
          <w:color w:val="888888"/>
        </w:rPr>
        <w:t>Equivalent to: Benchmark Pricing Authority (Data Infra Framework)</w:t>
      </w:r>
    </w:p>
    <w:p w14:paraId="60F10BE8" w14:textId="77777777" w:rsidR="005A35EB" w:rsidRDefault="00000000">
      <w:pPr>
        <w:spacing w:before="200" w:after="120"/>
      </w:pPr>
      <w:r>
        <w:rPr>
          <w:b/>
          <w:bCs/>
          <w:color w:val="3A7CA5"/>
          <w:sz w:val="22"/>
          <w:szCs w:val="22"/>
        </w:rPr>
        <w:t>Assessment</w:t>
      </w:r>
    </w:p>
    <w:p w14:paraId="1A62B5ED" w14:textId="77777777" w:rsidR="005A35EB" w:rsidRDefault="00000000">
      <w:pPr>
        <w:spacing w:after="120"/>
      </w:pPr>
      <w:r>
        <w:t>IBKR’s origins as an options market-maker (Timber Hill Group, founded 1978) gave it a structural advantage that persists today: the company builds its own technology from the ground up, optimized for microsecond-level execution quality. This heritage means IBKR’s execution infrastructure is not a vendor product — it is 48 years of proprietary software development.</w:t>
      </w:r>
    </w:p>
    <w:p w14:paraId="57E9F520" w14:textId="77777777" w:rsidR="005A35EB" w:rsidRDefault="00000000">
      <w:pPr>
        <w:spacing w:after="120"/>
      </w:pPr>
      <w:r>
        <w:t>Unlike Robinhood (which routes orders to market makers via PFOF), IBKR provides direct market access (DMA) and smart order routing (</w:t>
      </w:r>
      <w:proofErr w:type="spellStart"/>
      <w:r>
        <w:t>SmartRouting</w:t>
      </w:r>
      <w:proofErr w:type="spellEnd"/>
      <w:r>
        <w:t xml:space="preserve">) that actively seeks the best available price across all connected exchanges. IBKR’s price improvement statistics consistently rank among the best in the industry </w:t>
      </w:r>
      <w:proofErr w:type="gramStart"/>
      <w:r>
        <w:t>per</w:t>
      </w:r>
      <w:proofErr w:type="gramEnd"/>
      <w:r>
        <w:t xml:space="preserve"> FINRA Rule 606 reports. This execution quality is a competitive advantage that institutional and sophisticated clients will pay for.</w:t>
      </w:r>
    </w:p>
    <w:p w14:paraId="456DB706" w14:textId="77777777" w:rsidR="005A35EB" w:rsidRDefault="00000000">
      <w:pPr>
        <w:spacing w:after="120"/>
      </w:pPr>
      <w:r>
        <w:t xml:space="preserve">IBKR’s commission revenue model is also more durable than PFOF. While PFOF depends on market </w:t>
      </w:r>
      <w:proofErr w:type="gramStart"/>
      <w:r>
        <w:t>maker</w:t>
      </w:r>
      <w:proofErr w:type="gramEnd"/>
      <w:r>
        <w:t xml:space="preserve"> willingness to pay for retail flow (which can be regulated away), IBKR charges explicit commissions that are transparent and not subject to the same regulatory risk. IBKR’s commissions are the lowest or among the lowest in the industry for active/institutional traders, creating a cost leadership position.</w:t>
      </w:r>
    </w:p>
    <w:p w14:paraId="1D133853" w14:textId="77777777" w:rsidR="005A35EB" w:rsidRDefault="00000000">
      <w:pPr>
        <w:spacing w:after="120"/>
      </w:pPr>
      <w:r>
        <w:rPr>
          <w:b/>
          <w:bCs/>
        </w:rPr>
        <w:t>Revenue Composition (FY2025):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A35EB" w14:paraId="064837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648526" w14:textId="77777777" w:rsidR="005A35EB" w:rsidRDefault="00000000">
            <w:r>
              <w:rPr>
                <w:b/>
                <w:bCs/>
                <w:color w:val="FFFFFF"/>
              </w:rPr>
              <w:t>Revenue Stream</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54B0BB" w14:textId="77777777" w:rsidR="005A35EB" w:rsidRDefault="00000000">
            <w:r>
              <w:rPr>
                <w:b/>
                <w:bCs/>
                <w:color w:val="FFFFFF"/>
              </w:rPr>
              <w:t>FY2025</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0D0366" w14:textId="77777777" w:rsidR="005A35EB" w:rsidRDefault="00000000">
            <w:r>
              <w:rPr>
                <w:b/>
                <w:bCs/>
                <w:color w:val="FFFFFF"/>
              </w:rPr>
              <w:t>% of Net Rev</w:t>
            </w:r>
          </w:p>
        </w:tc>
      </w:tr>
      <w:tr w:rsidR="005A35EB" w14:paraId="239BC9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85DC01" w14:textId="77777777" w:rsidR="005A35EB" w:rsidRDefault="00000000">
            <w:r>
              <w:t>Net Interest Income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55D62C" w14:textId="77777777" w:rsidR="005A35EB" w:rsidRDefault="00000000">
            <w:r>
              <w:t>$3.6B</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063E95" w14:textId="77777777" w:rsidR="005A35EB" w:rsidRDefault="00000000">
            <w:r>
              <w:t>~58%</w:t>
            </w:r>
          </w:p>
        </w:tc>
      </w:tr>
      <w:tr w:rsidR="005A35EB" w14:paraId="259CFC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5D14" w14:textId="77777777" w:rsidR="005A35EB" w:rsidRDefault="00000000">
            <w:r>
              <w:t>Commission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E9A8A" w14:textId="77777777" w:rsidR="005A35EB" w:rsidRDefault="00000000">
            <w:r>
              <w:t>$2.1B</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648B" w14:textId="77777777" w:rsidR="005A35EB" w:rsidRDefault="00000000">
            <w:r>
              <w:t>~34%</w:t>
            </w:r>
          </w:p>
        </w:tc>
      </w:tr>
      <w:tr w:rsidR="005A35EB" w14:paraId="610DFD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80D9A7" w14:textId="77777777" w:rsidR="005A35EB" w:rsidRDefault="00000000">
            <w:r>
              <w:t>Other Revenue (data, fees, etc.)</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2A8B78" w14:textId="77777777" w:rsidR="005A35EB" w:rsidRDefault="00000000">
            <w:r>
              <w:t>~$0.5B</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357674" w14:textId="77777777" w:rsidR="005A35EB" w:rsidRDefault="00000000">
            <w:r>
              <w:t>~8%</w:t>
            </w:r>
          </w:p>
        </w:tc>
      </w:tr>
      <w:tr w:rsidR="005A35EB" w14:paraId="6A2D02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0BD7541" w14:textId="77777777" w:rsidR="005A35EB" w:rsidRDefault="00000000">
            <w:r>
              <w:t>TOTAL NET REVENUES</w:t>
            </w:r>
          </w:p>
        </w:tc>
        <w:tc>
          <w:tcPr>
            <w:tcW w:w="2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F483FB7" w14:textId="77777777" w:rsidR="005A35EB" w:rsidRDefault="00000000">
            <w:r>
              <w:t>~$6.2B</w:t>
            </w:r>
          </w:p>
        </w:tc>
        <w:tc>
          <w:tcPr>
            <w:tcW w:w="2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1C12820" w14:textId="77777777" w:rsidR="005A35EB" w:rsidRDefault="00000000">
            <w:r>
              <w:t>100%</w:t>
            </w:r>
          </w:p>
        </w:tc>
      </w:tr>
    </w:tbl>
    <w:p w14:paraId="5BC6EA02" w14:textId="77777777" w:rsidR="005A35EB" w:rsidRDefault="005A35EB">
      <w:pPr>
        <w:spacing w:after="120"/>
      </w:pPr>
    </w:p>
    <w:p w14:paraId="790C2DF5" w14:textId="77777777" w:rsidR="005A35EB" w:rsidRDefault="00000000">
      <w:pPr>
        <w:spacing w:after="120"/>
      </w:pPr>
      <w:r>
        <w:rPr>
          <w:b/>
          <w:bCs/>
        </w:rPr>
        <w:t xml:space="preserve">Key Insight: </w:t>
      </w:r>
      <w:r>
        <w:t>IBKR’s revenue model is higher quality than HOOD’s. Both are heavily NII-dependent (~58% vs. ~34%), but IBKR’s commission revenue (34%) comes from explicit, transparent per-trade fees across every asset class on earth — not from PFOF or crypto spreads. Commission revenue grew 27% YoY in 2025, driven by record trading volumes across all asset classes. This revenue is structurally more durable.</w:t>
      </w:r>
    </w:p>
    <w:p w14:paraId="634C0B09" w14:textId="77777777" w:rsidR="005A35EB" w:rsidRDefault="00000000">
      <w:r>
        <w:br w:type="page"/>
      </w:r>
    </w:p>
    <w:p w14:paraId="77503BFF" w14:textId="77777777" w:rsidR="005A35EB" w:rsidRDefault="00000000">
      <w:pPr>
        <w:pStyle w:val="Heading2"/>
      </w:pPr>
      <w:r>
        <w:lastRenderedPageBreak/>
        <w:t>MOAT TYPE 3: INSTITUTIONAL CLIENT FLYWHEEL &amp; PROCESS POWER</w:t>
      </w:r>
    </w:p>
    <w:p w14:paraId="5C1A9CC5" w14:textId="77777777" w:rsidR="005A35EB" w:rsidRDefault="00000000">
      <w:pPr>
        <w:spacing w:after="120"/>
      </w:pPr>
      <w:r>
        <w:rPr>
          <w:i/>
          <w:iCs/>
          <w:color w:val="888888"/>
        </w:rPr>
        <w:t>Equivalent to: Contributed Data Network (Data Infra Framework)</w:t>
      </w:r>
    </w:p>
    <w:p w14:paraId="03FD2A94" w14:textId="77777777" w:rsidR="005A35EB" w:rsidRDefault="00000000">
      <w:pPr>
        <w:spacing w:before="200" w:after="120"/>
      </w:pPr>
      <w:r>
        <w:rPr>
          <w:b/>
          <w:bCs/>
          <w:color w:val="3A7CA5"/>
          <w:sz w:val="22"/>
          <w:szCs w:val="22"/>
        </w:rPr>
        <w:t>Assessment</w:t>
      </w:r>
    </w:p>
    <w:p w14:paraId="225730A8" w14:textId="77777777" w:rsidR="005A35EB" w:rsidRDefault="00000000">
      <w:pPr>
        <w:spacing w:after="120"/>
      </w:pPr>
      <w:r>
        <w:t xml:space="preserve">This is IBKR’s deepest moat and the one that </w:t>
      </w:r>
      <w:proofErr w:type="gramStart"/>
      <w:r>
        <w:t>most closely</w:t>
      </w:r>
      <w:proofErr w:type="gramEnd"/>
      <w:r>
        <w:t xml:space="preserve"> parallels the Data Infrastructure Framework’s concept of structural non-replicability. IBKR’s process power is the result of 48 years of continuous proprietary software development focused on a single objective: automating every function of a broker-dealer to minimize human intervention and maximize efficiency.</w:t>
      </w:r>
    </w:p>
    <w:p w14:paraId="05F25C0D" w14:textId="77777777" w:rsidR="005A35EB" w:rsidRDefault="00000000">
      <w:pPr>
        <w:spacing w:after="120"/>
      </w:pPr>
      <w:r>
        <w:t>The results speak for themselves: 77% pretax margins with 3,180 employees serving 4.4 million accounts across 170+ exchanges. By comparison, Schwab employs approximately 33,000 people. IBKR processes more markets, more asset classes, and more currencies with roughly 10% of Schwab’s headcount. This operational efficiency is not a one-time achievement — it compounds over time as each new market, product, or feature is built on the existing automated infrastructure.</w:t>
      </w:r>
    </w:p>
    <w:p w14:paraId="3DC208FC" w14:textId="77777777" w:rsidR="005A35EB" w:rsidRDefault="00000000">
      <w:pPr>
        <w:spacing w:before="200" w:after="120"/>
      </w:pPr>
      <w:r>
        <w:rPr>
          <w:b/>
          <w:bCs/>
          <w:color w:val="3A7CA5"/>
          <w:sz w:val="22"/>
          <w:szCs w:val="22"/>
        </w:rPr>
        <w:t>Client Stickiness by Segment</w:t>
      </w:r>
    </w:p>
    <w:p w14:paraId="57DF701B" w14:textId="77777777" w:rsidR="005A35EB" w:rsidRDefault="00000000">
      <w:pPr>
        <w:pStyle w:val="ListParagraph"/>
        <w:numPr>
          <w:ilvl w:val="0"/>
          <w:numId w:val="2"/>
        </w:numPr>
        <w:spacing w:after="80"/>
      </w:pPr>
      <w:r>
        <w:t>Institutional clients (hedge funds, prop trading firms, family offices): EXTREMELY HIGH switching costs. These clients have built their own systems on top of IBKR’s API. Migrating trading infrastructure, connectivity to 170+ exchanges, multi-currency margin management, and regulatory reporting to a new broker is a multi-month, multi-million-dollar project.</w:t>
      </w:r>
    </w:p>
    <w:p w14:paraId="31DC9D5E" w14:textId="77777777" w:rsidR="005A35EB" w:rsidRDefault="00000000">
      <w:pPr>
        <w:pStyle w:val="ListParagraph"/>
        <w:numPr>
          <w:ilvl w:val="0"/>
          <w:numId w:val="2"/>
        </w:numPr>
        <w:spacing w:after="80"/>
      </w:pPr>
      <w:r>
        <w:t>RIA/Financial Advisor clients: HIGH switching costs. RIAs using IBKR custody their client assets on the platform. Moving client accounts requires ACATS transfers, new agreements, and system integration — a major operational disruption.</w:t>
      </w:r>
    </w:p>
    <w:p w14:paraId="778DE5A7" w14:textId="77777777" w:rsidR="005A35EB" w:rsidRDefault="00000000">
      <w:pPr>
        <w:pStyle w:val="ListParagraph"/>
        <w:numPr>
          <w:ilvl w:val="0"/>
          <w:numId w:val="2"/>
        </w:numPr>
        <w:spacing w:after="80"/>
      </w:pPr>
      <w:r>
        <w:t>Active individual traders: MODERATE-HIGH switching costs. Sophisticated traders who use IBKR’s API for algorithmic trading, custom order types, and multi-asset strategies face significant migration costs. Casual traders face lower switching costs.</w:t>
      </w:r>
    </w:p>
    <w:p w14:paraId="19B034F3" w14:textId="77777777" w:rsidR="005A35EB" w:rsidRDefault="00000000">
      <w:pPr>
        <w:pStyle w:val="ListParagraph"/>
        <w:numPr>
          <w:ilvl w:val="0"/>
          <w:numId w:val="2"/>
        </w:numPr>
        <w:spacing w:after="80"/>
      </w:pPr>
      <w:r>
        <w:t>Small retail investors: LOW switching costs. This is the segment IBKR is growing fastest (IBKR Lite, no-commission plan) but it is also the least sticky.</w:t>
      </w:r>
    </w:p>
    <w:p w14:paraId="17EC1CBB" w14:textId="77777777" w:rsidR="005A35EB" w:rsidRDefault="005A35EB">
      <w:pPr>
        <w:spacing w:after="120"/>
      </w:pPr>
    </w:p>
    <w:p w14:paraId="5816EC3A" w14:textId="77777777" w:rsidR="005A35EB" w:rsidRDefault="00000000">
      <w:pPr>
        <w:spacing w:after="120"/>
      </w:pPr>
      <w:r>
        <w:t>The client flywheel is self-reinforcing: institutional clients bring assets ($780B in client equity), which generates NII ($3.6B), which funds technology investment, which improves execution quality and reduces costs, which attracts more institutional clients. This virtuous cycle has been running for four decades and is accelerating: 1M+ new accounts in 2025, client equity up 37% YoY.</w:t>
      </w:r>
    </w:p>
    <w:p w14:paraId="0271530D" w14:textId="77777777" w:rsidR="005A35EB" w:rsidRDefault="00000000">
      <w:pPr>
        <w:spacing w:after="120"/>
      </w:pPr>
      <w:r>
        <w:rPr>
          <w:b/>
          <w:bCs/>
        </w:rPr>
        <w:t xml:space="preserve">Process Power Score: 3/3 (Strong). </w:t>
      </w:r>
      <w:r>
        <w:t>IBKR’s automation-driven process power is the closest thing in the brokerage industry to a structurally non-replicable asset. It cannot be licensed, scraped, or synthesized. It can only be built over decades of continuous engineering investment. A competitor would need to replicate 48 years of proprietary software development, institutional relationships with 170+ exchanges, and multi-</w:t>
      </w:r>
      <w:proofErr w:type="gramStart"/>
      <w:r>
        <w:t>jurisdictional</w:t>
      </w:r>
      <w:proofErr w:type="gramEnd"/>
      <w:r>
        <w:t xml:space="preserve"> clearing infrastructure. This is the definition of a durable competitive advantage.</w:t>
      </w:r>
    </w:p>
    <w:p w14:paraId="508BD55D" w14:textId="77777777" w:rsidR="005A35EB" w:rsidRDefault="00000000">
      <w:r>
        <w:br w:type="page"/>
      </w:r>
    </w:p>
    <w:p w14:paraId="1F85411B" w14:textId="77777777" w:rsidR="005A35EB" w:rsidRDefault="00000000">
      <w:pPr>
        <w:pStyle w:val="Heading2"/>
      </w:pPr>
      <w:r>
        <w:lastRenderedPageBreak/>
        <w:t>MOAT TYPE 4: ASSET GRAVITY &amp; NET INTEREST INCOME COMPOUNDING</w:t>
      </w:r>
    </w:p>
    <w:p w14:paraId="561F7E00" w14:textId="77777777" w:rsidR="005A35EB" w:rsidRDefault="00000000">
      <w:pPr>
        <w:spacing w:after="120"/>
      </w:pPr>
      <w:r>
        <w:rPr>
          <w:i/>
          <w:iCs/>
          <w:color w:val="888888"/>
        </w:rPr>
        <w:t>Equivalent to: Passive Capital Gravity (Data Infra Framework)</w:t>
      </w:r>
    </w:p>
    <w:p w14:paraId="1131B3FF" w14:textId="77777777" w:rsidR="005A35EB" w:rsidRDefault="00000000">
      <w:pPr>
        <w:spacing w:before="200" w:after="120"/>
      </w:pPr>
      <w:r>
        <w:rPr>
          <w:b/>
          <w:bCs/>
          <w:color w:val="3A7CA5"/>
          <w:sz w:val="22"/>
          <w:szCs w:val="22"/>
        </w:rPr>
        <w:t>Assessment</w:t>
      </w:r>
    </w:p>
    <w:p w14:paraId="3AD309FD" w14:textId="77777777" w:rsidR="005A35EB" w:rsidRDefault="00000000">
      <w:pPr>
        <w:spacing w:after="120"/>
      </w:pPr>
      <w:r>
        <w:t>IBKR’s $780B in client equity generates $3.6B in annual net interest income — a net interest margin of approximately 2.1-2.2%. This NII stream is the most predictable component of IBKR’s revenue: as long as clients keep assets on the platform and interest rates remain positive, NII flows automatically.</w:t>
      </w:r>
    </w:p>
    <w:p w14:paraId="4D330C45" w14:textId="77777777" w:rsidR="005A35EB" w:rsidRDefault="00000000">
      <w:pPr>
        <w:spacing w:after="120"/>
      </w:pPr>
      <w:r>
        <w:t xml:space="preserve">The asset gravity dynamic is powerful: IBKR’s client equity has grown from $426B (2023) to $568B (2024) to $780B (2025). This 37% YoY growth is driven by a combination of </w:t>
      </w:r>
      <w:proofErr w:type="gramStart"/>
      <w:r>
        <w:t>net new</w:t>
      </w:r>
      <w:proofErr w:type="gramEnd"/>
      <w:r>
        <w:t xml:space="preserve"> client deposits and market appreciation on existing client portfolios. Unlike HOOD (which must compete on APY and IRA match incentives to attract deposits), IBKR attracts assets organically because sophisticated investors NEED IBKR’s infrastructure — access to 170+ exchanges, multi-currency trading, professional margin rates, and institutional-grade execution.</w:t>
      </w:r>
    </w:p>
    <w:p w14:paraId="3A6A9958" w14:textId="77777777" w:rsidR="005A35EB" w:rsidRDefault="00000000">
      <w:pPr>
        <w:spacing w:after="120"/>
      </w:pPr>
      <w:r>
        <w:t xml:space="preserve">The </w:t>
      </w:r>
      <w:proofErr w:type="gramStart"/>
      <w:r>
        <w:t>rate</w:t>
      </w:r>
      <w:proofErr w:type="gramEnd"/>
      <w:r>
        <w:t xml:space="preserve"> sensitivity is real but manageable. IBKR’s NII declined as the Fed cut rates in late 2024, compressing NIM from 2.37% to 2.16%. However, the company offset this with growth in margin lending: customer margin loans hit all-time highs in 2025, running at 10-12% of client assets. As interest rates normalize, the growing asset base ensures NII continues compounding even at lower spreads.</w:t>
      </w:r>
    </w:p>
    <w:p w14:paraId="26899C7D" w14:textId="77777777" w:rsidR="005A35EB" w:rsidRDefault="00000000">
      <w:pPr>
        <w:spacing w:after="120"/>
      </w:pPr>
      <w:r>
        <w:rPr>
          <w:b/>
          <w:bCs/>
        </w:rPr>
        <w:t xml:space="preserve">Asset Gravity Assessment: Strong. </w:t>
      </w:r>
      <w:r>
        <w:t>IBKR’s asset gravity is structurally superior to HOOD’s because the assets are stickier (institutional clients with high switching costs), more diversified (global, multi-currency), and growing organically without subsidized incentives. The $780B client equity base generates reliable NII that funds continued technology investment.</w:t>
      </w:r>
    </w:p>
    <w:p w14:paraId="084520E2" w14:textId="77777777" w:rsidR="005A35EB" w:rsidRDefault="00000000">
      <w:r>
        <w:br w:type="page"/>
      </w:r>
    </w:p>
    <w:p w14:paraId="5F0B3DCA" w14:textId="77777777" w:rsidR="005A35EB" w:rsidRDefault="00000000">
      <w:pPr>
        <w:pStyle w:val="Heading2"/>
      </w:pPr>
      <w:r>
        <w:lastRenderedPageBreak/>
        <w:t>MOAT TYPE 5: BRAND FRANCHISE &amp; INSTITUTIONAL REPUTATION</w:t>
      </w:r>
    </w:p>
    <w:p w14:paraId="4D4E575B" w14:textId="77777777" w:rsidR="005A35EB" w:rsidRDefault="00000000">
      <w:pPr>
        <w:spacing w:after="120"/>
      </w:pPr>
      <w:r>
        <w:rPr>
          <w:i/>
          <w:iCs/>
          <w:color w:val="888888"/>
        </w:rPr>
        <w:t>Equivalent to: Historical Depth (Data Infra Framework)</w:t>
      </w:r>
    </w:p>
    <w:p w14:paraId="517A2A41" w14:textId="77777777" w:rsidR="005A35EB" w:rsidRDefault="00000000">
      <w:pPr>
        <w:spacing w:before="200" w:after="120"/>
      </w:pPr>
      <w:r>
        <w:rPr>
          <w:b/>
          <w:bCs/>
          <w:color w:val="3A7CA5"/>
          <w:sz w:val="22"/>
          <w:szCs w:val="22"/>
        </w:rPr>
        <w:t>Assessment</w:t>
      </w:r>
    </w:p>
    <w:p w14:paraId="56B3E48A" w14:textId="77777777" w:rsidR="005A35EB" w:rsidRDefault="00000000">
      <w:pPr>
        <w:spacing w:after="120"/>
      </w:pPr>
      <w:r>
        <w:t>IBKR’s brand is the opposite of HOOD’s. Where Robinhood has mass consumer brand recognition (especially among younger investors), IBKR has deep institutional credibility among sophisticated market participants. This is the professional’s broker — the platform that hedge funds, prop traders, and active managers choose when they need global access, low costs, and execution quality.</w:t>
      </w:r>
    </w:p>
    <w:p w14:paraId="4E5375AC" w14:textId="77777777" w:rsidR="005A35EB" w:rsidRDefault="00000000">
      <w:pPr>
        <w:spacing w:after="120"/>
      </w:pPr>
      <w:r>
        <w:t>The brand was validated by S&amp;P 500 inclusion in August 2025, replacing Walgreens Boots Alliance. This is both a recognition of IBKR’s financial scale and a catalyst for institutional ownership through index fund forced buying (estimated $3.5B in inflows). The company has become a permanent fixture in institutional portfolios.</w:t>
      </w:r>
    </w:p>
    <w:p w14:paraId="72D624C4" w14:textId="77777777" w:rsidR="005A35EB" w:rsidRDefault="00000000">
      <w:pPr>
        <w:spacing w:after="120"/>
      </w:pPr>
      <w:r>
        <w:t>IBKR’s clients outperformed the S&amp;P 500 on average in 2025 — both individual and hedge fund clients. This is a powerful brand signal: the platform’s tools and market access enable better investment outcomes. Robinhood cannot make this claim.</w:t>
      </w:r>
    </w:p>
    <w:p w14:paraId="1C4D78E1" w14:textId="77777777" w:rsidR="005A35EB" w:rsidRDefault="00000000">
      <w:pPr>
        <w:spacing w:after="120"/>
      </w:pPr>
      <w:r>
        <w:t xml:space="preserve">The brand’s weakness is its complexity. IBKR’s platform is notoriously difficult to learn, with a steep learning curve that deters casual retail investors. The company has made efforts to simplify (IBKR Lite, improved mobile app, </w:t>
      </w:r>
      <w:proofErr w:type="spellStart"/>
      <w:r>
        <w:t>GlobalTrader</w:t>
      </w:r>
      <w:proofErr w:type="spellEnd"/>
      <w:r>
        <w:t xml:space="preserve"> app), but the core Trader Workstation (TWS) remains a professional tool. This is both a moat (attracts serious investors, repels casual traders) and a limitation (harder to grow the mass-market customer base).</w:t>
      </w:r>
    </w:p>
    <w:p w14:paraId="63230503" w14:textId="77777777" w:rsidR="005A35EB" w:rsidRDefault="00000000">
      <w:pPr>
        <w:spacing w:after="120"/>
      </w:pPr>
      <w:r>
        <w:rPr>
          <w:b/>
          <w:bCs/>
        </w:rPr>
        <w:t xml:space="preserve">Brand Score: 2/3 (Moderate). </w:t>
      </w:r>
      <w:r>
        <w:t xml:space="preserve">Strong institutional brand credibility, validated by S&amp;P 500 inclusion and client outperformance. Weaker consumer </w:t>
      </w:r>
      <w:proofErr w:type="gramStart"/>
      <w:r>
        <w:t>brand</w:t>
      </w:r>
      <w:proofErr w:type="gramEnd"/>
      <w:r>
        <w:t xml:space="preserve"> than HOOD. The professional reputation is </w:t>
      </w:r>
      <w:proofErr w:type="gramStart"/>
      <w:r>
        <w:t>durable</w:t>
      </w:r>
      <w:proofErr w:type="gramEnd"/>
      <w:r>
        <w:t xml:space="preserve"> but the complexity barrier limits mass-market adoption.</w:t>
      </w:r>
    </w:p>
    <w:p w14:paraId="5184238C" w14:textId="77777777" w:rsidR="005A35EB" w:rsidRDefault="00000000">
      <w:r>
        <w:br w:type="page"/>
      </w:r>
    </w:p>
    <w:p w14:paraId="55549B6F" w14:textId="77777777" w:rsidR="005A35EB" w:rsidRDefault="00000000">
      <w:pPr>
        <w:pStyle w:val="Heading2"/>
      </w:pPr>
      <w:r>
        <w:lastRenderedPageBreak/>
        <w:t>THREE-QUESTION SCORE (Fintech Adaptation)</w:t>
      </w:r>
    </w:p>
    <w:p w14:paraId="29DBC88B" w14:textId="77777777" w:rsidR="005A35EB" w:rsidRDefault="00000000">
      <w:pPr>
        <w:spacing w:after="120"/>
      </w:pPr>
      <w:r>
        <w:rPr>
          <w:b/>
          <w:bCs/>
        </w:rPr>
        <w:t xml:space="preserve">Q1: Does this company’s product have legal or regulatory force? </w:t>
      </w:r>
    </w:p>
    <w:p w14:paraId="6FA94074" w14:textId="77777777" w:rsidR="005A35EB" w:rsidRDefault="00000000">
      <w:pPr>
        <w:spacing w:after="120"/>
      </w:pPr>
      <w:r>
        <w:rPr>
          <w:b/>
          <w:bCs/>
        </w:rPr>
        <w:t xml:space="preserve">Answer: No, but the regulatory barrier is substantially higher than HOOD. </w:t>
      </w:r>
      <w:r>
        <w:t>IBKR holds licenses in dozens of jurisdictions with clearing relationships on 170+ exchanges. No statute names IBKR specifically, but the practical barrier to replicating this global regulatory footprint is 5-10 years and hundreds of millions of dollars. This is the strongest regulatory licensing position in the electronic brokerage industry, short of being named in law.</w:t>
      </w:r>
    </w:p>
    <w:p w14:paraId="4B1A98AD" w14:textId="77777777" w:rsidR="005A35EB" w:rsidRDefault="00000000">
      <w:pPr>
        <w:spacing w:after="120"/>
      </w:pPr>
      <w:r>
        <w:rPr>
          <w:b/>
          <w:bCs/>
        </w:rPr>
        <w:t xml:space="preserve">Q2: Does this company sit on proprietary assets that cannot be replicated? </w:t>
      </w:r>
    </w:p>
    <w:p w14:paraId="56600C79" w14:textId="77777777" w:rsidR="005A35EB" w:rsidRDefault="00000000">
      <w:pPr>
        <w:spacing w:after="120"/>
      </w:pPr>
      <w:r>
        <w:rPr>
          <w:b/>
          <w:bCs/>
        </w:rPr>
        <w:t xml:space="preserve">Answer: Yes — Process Power. </w:t>
      </w:r>
      <w:r>
        <w:t xml:space="preserve">IBKR’s 48 years of proprietary automation software, institutional exchange connectivity, and multi-currency clearing infrastructure cannot be licensed, scraped, or synthesized. This is a genuinely non-replicable asset. A competitor would need decades and billions of dollars of engineering investment to match it. The 77% pretax margin IS the </w:t>
      </w:r>
      <w:proofErr w:type="gramStart"/>
      <w:r>
        <w:t>moat —</w:t>
      </w:r>
      <w:proofErr w:type="gramEnd"/>
      <w:r>
        <w:t xml:space="preserve"> </w:t>
      </w:r>
      <w:proofErr w:type="gramStart"/>
      <w:r>
        <w:t>it</w:t>
      </w:r>
      <w:proofErr w:type="gramEnd"/>
      <w:r>
        <w:t xml:space="preserve"> proves no competitor has replicated this efficiency.</w:t>
      </w:r>
    </w:p>
    <w:p w14:paraId="3DCB5FD0" w14:textId="77777777" w:rsidR="005A35EB" w:rsidRDefault="00000000">
      <w:pPr>
        <w:spacing w:after="120"/>
      </w:pPr>
      <w:r>
        <w:rPr>
          <w:b/>
          <w:bCs/>
        </w:rPr>
        <w:t xml:space="preserve">Q3: Is this company’s revenue structurally embedded in financial infrastructure? </w:t>
      </w:r>
    </w:p>
    <w:p w14:paraId="3E2790F2" w14:textId="77777777" w:rsidR="005A35EB" w:rsidRDefault="00000000">
      <w:pPr>
        <w:spacing w:after="120"/>
      </w:pPr>
      <w:r>
        <w:rPr>
          <w:b/>
          <w:bCs/>
        </w:rPr>
        <w:t xml:space="preserve">Answer: Partial. </w:t>
      </w:r>
      <w:r>
        <w:t>IBKR’s institutional clients have built their trading systems on IBKR’s API, creating structural embedding at the client level. However, IBKR is not systemically embedded in market infrastructure the way a credit rating agency or index provider is. An individual client can switch away (with high costs); the financial system does not require IBKR to function.</w:t>
      </w:r>
    </w:p>
    <w:p w14:paraId="0EF05A5A" w14:textId="77777777" w:rsidR="005A35EB" w:rsidRDefault="00000000">
      <w:pPr>
        <w:spacing w:after="120"/>
      </w:pPr>
      <w:r>
        <w:rPr>
          <w:b/>
          <w:bCs/>
        </w:rPr>
        <w:t xml:space="preserve">Three-Question Score: 1.75 / 3 </w:t>
      </w:r>
      <w:r>
        <w:t>(No + Yes + Partial)</w:t>
      </w:r>
    </w:p>
    <w:p w14:paraId="35C6D848" w14:textId="77777777" w:rsidR="005A35EB" w:rsidRDefault="00000000">
      <w:pPr>
        <w:spacing w:after="120"/>
      </w:pPr>
      <w:r>
        <w:t>This is a materially higher pre-screen score than HOOD’s 0.5/3, reflecting IBKR’s genuinely non-replicable process power.</w:t>
      </w:r>
    </w:p>
    <w:p w14:paraId="286414BB" w14:textId="77777777" w:rsidR="005A35EB" w:rsidRDefault="00000000">
      <w:pPr>
        <w:pStyle w:val="Heading2"/>
      </w:pPr>
      <w:r>
        <w:t>PRE-SCREEN VERDICT</w:t>
      </w:r>
    </w:p>
    <w:p w14:paraId="227C03DB" w14:textId="77777777" w:rsidR="005A35EB" w:rsidRDefault="00000000">
      <w:pPr>
        <w:spacing w:after="120"/>
      </w:pPr>
      <w:r>
        <w:rPr>
          <w:b/>
          <w:bCs/>
        </w:rPr>
        <w:t xml:space="preserve">Verdict: Proceed to Stage 2 with MEDIUM-HIGH confidence in defensibility. </w:t>
      </w:r>
    </w:p>
    <w:p w14:paraId="0AACABB3" w14:textId="77777777" w:rsidR="005A35EB" w:rsidRDefault="00000000">
      <w:pPr>
        <w:spacing w:after="120"/>
      </w:pPr>
      <w:r>
        <w:t>IBKR’s competitive advantages are real and durable: 48 years of proprietary technology, global regulatory licensing, institutional client lock-in, and unmatched operational efficiency. The absence of formal regulatory designation (not named in law) caps the score below the Antifragile threshold that a true data infrastructure fortress would achieve, but the process power moat is among the strongest in financial services.</w:t>
      </w:r>
    </w:p>
    <w:p w14:paraId="1D439BEA" w14:textId="77777777" w:rsidR="005A35EB" w:rsidRDefault="00000000">
      <w:pPr>
        <w:spacing w:after="120"/>
      </w:pPr>
      <w:r>
        <w:rPr>
          <w:b/>
          <w:bCs/>
        </w:rPr>
        <w:t xml:space="preserve">Stage 2 Starting Posture: </w:t>
      </w:r>
      <w:r>
        <w:t>Approach constructively. Look for evidence that the process power moat is strengthening (margin expansion, global account growth, institutional client growth) or weakening (margin compression, technology failures, competitive inroads from Schwab/Fidelity).</w:t>
      </w:r>
    </w:p>
    <w:p w14:paraId="45C12817" w14:textId="77777777" w:rsidR="005A35EB" w:rsidRDefault="00000000">
      <w:r>
        <w:br w:type="page"/>
      </w:r>
    </w:p>
    <w:p w14:paraId="1E2BCA28" w14:textId="77777777" w:rsidR="005A35EB" w:rsidRDefault="00000000">
      <w:pPr>
        <w:pStyle w:val="Heading1"/>
      </w:pPr>
      <w:r>
        <w:lastRenderedPageBreak/>
        <w:t>STAGE 2: FINTECH ANTIFRAGILITY ASSESSMENT</w:t>
      </w:r>
    </w:p>
    <w:p w14:paraId="10F7252B" w14:textId="77777777" w:rsidR="005A35EB" w:rsidRDefault="00000000">
      <w:pPr>
        <w:pStyle w:val="Heading2"/>
      </w:pPr>
      <w:r>
        <w:t>DIMENSION 1: REGULATORY LICENSING &amp; COMPLIANCE MOAT</w:t>
      </w:r>
    </w:p>
    <w:p w14:paraId="7459A4C8" w14:textId="77777777" w:rsidR="005A35EB" w:rsidRDefault="00000000">
      <w:pPr>
        <w:spacing w:after="120"/>
      </w:pPr>
      <w:r>
        <w:rPr>
          <w:b/>
          <w:bCs/>
        </w:rPr>
        <w:t>Weight: 20% of composite</w:t>
      </w:r>
    </w:p>
    <w:p w14:paraId="2E137568" w14:textId="77777777" w:rsidR="005A35EB" w:rsidRDefault="00000000">
      <w:pPr>
        <w:spacing w:after="120"/>
      </w:pPr>
      <w:r>
        <w:t>IBKR’s global regulatory portfolio is the most comprehensive in electronic brokerage. Regulated by six premier regulators (SEC, FINRA, CFTC, FCA, CBI, ASIC and additional agencies in Hong Kong, Singapore, Japan, India, and more), the company maintains clearing and settlement relationships with 170+ exchanges. Each jurisdictional license carries its own capital requirements, examination regimes, and compliance infrastructure.</w:t>
      </w:r>
    </w:p>
    <w:p w14:paraId="3B8BEE39" w14:textId="77777777" w:rsidR="005A35EB" w:rsidRDefault="00000000">
      <w:pPr>
        <w:spacing w:after="120"/>
      </w:pPr>
      <w:r>
        <w:t xml:space="preserve">The practical barrier this creates is enormous. </w:t>
      </w:r>
      <w:proofErr w:type="spellStart"/>
      <w:r>
        <w:t>Webull</w:t>
      </w:r>
      <w:proofErr w:type="spellEnd"/>
      <w:r>
        <w:t>, a HOOD competitor, has been attempting to build international presence for years and has achieved a fraction of IBKR’s reach. Schwab — with vastly more resources — does not offer comparable international market access. IBKR’s global regulatory infrastructure is effectively a 48-year head start.</w:t>
      </w:r>
    </w:p>
    <w:p w14:paraId="023ED993" w14:textId="77777777" w:rsidR="005A35EB" w:rsidRDefault="00000000">
      <w:pPr>
        <w:spacing w:after="120"/>
      </w:pPr>
      <w:r>
        <w:t>IBKR also holds advantages in specific regulatory capabilities: it supports trading in 33 countries and 27 currencies from a single unified account. This multi-currency margin management requires sophisticated regulatory and risk infrastructure that competitors have not replicated. The ability to hold, borrow, and lend in multiple currencies across jurisdictions creates a structural advantage for institutional clients who need global exposure.</w:t>
      </w:r>
    </w:p>
    <w:p w14:paraId="402DA036" w14:textId="77777777" w:rsidR="005A35EB" w:rsidRDefault="00000000">
      <w:pPr>
        <w:spacing w:after="120"/>
      </w:pPr>
      <w:r>
        <w:rPr>
          <w:b/>
          <w:bCs/>
        </w:rPr>
        <w:t xml:space="preserve">Dimension 1 </w:t>
      </w:r>
      <w:proofErr w:type="gramStart"/>
      <w:r>
        <w:rPr>
          <w:b/>
          <w:bCs/>
        </w:rPr>
        <w:t>Score</w:t>
      </w:r>
      <w:proofErr w:type="gramEnd"/>
      <w:r>
        <w:rPr>
          <w:b/>
          <w:bCs/>
        </w:rPr>
        <w:t xml:space="preserve">: 6 / 10. </w:t>
      </w:r>
      <w:r>
        <w:t>Significantly stronger regulatory moat than HOOD (4/10). The global multi-jurisdictional licensing portfolio creates a genuine barrier that would take a well-funded competitor 5-10 years to replicate. Still not a regulatory designation (no law names IBKR), so capped below 7. But this is the strongest regulatory licensing position in electronic brokerage.</w:t>
      </w:r>
    </w:p>
    <w:p w14:paraId="31682038" w14:textId="77777777" w:rsidR="005A35EB" w:rsidRDefault="00000000">
      <w:r>
        <w:br w:type="page"/>
      </w:r>
    </w:p>
    <w:p w14:paraId="02A8E4B5" w14:textId="77777777" w:rsidR="005A35EB" w:rsidRDefault="00000000">
      <w:pPr>
        <w:pStyle w:val="Heading2"/>
      </w:pPr>
      <w:r>
        <w:lastRenderedPageBreak/>
        <w:t>DIMENSION 2: CUSTOMER STICKINESS &amp; SWITCHING COSTS</w:t>
      </w:r>
    </w:p>
    <w:p w14:paraId="245A977F" w14:textId="77777777" w:rsidR="005A35EB" w:rsidRDefault="00000000">
      <w:pPr>
        <w:spacing w:after="120"/>
      </w:pPr>
      <w:r>
        <w:rPr>
          <w:b/>
          <w:bCs/>
        </w:rPr>
        <w:t>Weight: 30% of composite</w:t>
      </w:r>
    </w:p>
    <w:p w14:paraId="4272AF44" w14:textId="77777777" w:rsidR="005A35EB" w:rsidRDefault="00000000">
      <w:pPr>
        <w:spacing w:before="200" w:after="120"/>
      </w:pPr>
      <w:r>
        <w:rPr>
          <w:b/>
          <w:bCs/>
          <w:color w:val="3A7CA5"/>
          <w:sz w:val="22"/>
          <w:szCs w:val="22"/>
        </w:rPr>
        <w:t>Client Segmentation and Stickiness</w:t>
      </w:r>
    </w:p>
    <w:p w14:paraId="44BAA329" w14:textId="77777777" w:rsidR="005A35EB" w:rsidRDefault="00000000">
      <w:pPr>
        <w:spacing w:after="120"/>
      </w:pPr>
      <w:r>
        <w:t>IBKR’s client base is materially stickier than HOOD’s because it serves institutional and professional investors whose switching costs are orders of magnitude higher than retail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560"/>
        <w:gridCol w:w="2500"/>
      </w:tblGrid>
      <w:tr w:rsidR="005A35EB" w14:paraId="1F417C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124578" w14:textId="77777777" w:rsidR="005A35EB" w:rsidRDefault="00000000">
            <w:r>
              <w:rPr>
                <w:b/>
                <w:bCs/>
                <w:color w:val="FFFFFF"/>
              </w:rPr>
              <w:t>Client Segment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FFE3D0" w14:textId="77777777" w:rsidR="005A35EB" w:rsidRDefault="00000000">
            <w:r>
              <w:rPr>
                <w:b/>
                <w:bCs/>
                <w:color w:val="FFFFFF"/>
              </w:rPr>
              <w:t>Est. % of Equity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D36686" w14:textId="77777777" w:rsidR="005A35EB" w:rsidRDefault="00000000">
            <w:r>
              <w:rPr>
                <w:b/>
                <w:bCs/>
                <w:color w:val="FFFFFF"/>
              </w:rPr>
              <w:t>Switching Cost</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10F2DA" w14:textId="77777777" w:rsidR="005A35EB" w:rsidRDefault="00000000">
            <w:r>
              <w:rPr>
                <w:b/>
                <w:bCs/>
                <w:color w:val="FFFFFF"/>
              </w:rPr>
              <w:t>Retention</w:t>
            </w:r>
          </w:p>
        </w:tc>
      </w:tr>
      <w:tr w:rsidR="005A35EB" w14:paraId="144BED5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58A668" w14:textId="77777777" w:rsidR="005A35EB" w:rsidRDefault="00000000">
            <w:r>
              <w:t>Hedge Funds / Prop</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F4A80B" w14:textId="77777777" w:rsidR="005A35EB" w:rsidRDefault="00000000">
            <w:r>
              <w:t>~35%</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DF73AE" w14:textId="77777777" w:rsidR="005A35EB" w:rsidRDefault="00000000">
            <w:r>
              <w:t>Extremely High</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65B133" w14:textId="77777777" w:rsidR="005A35EB" w:rsidRDefault="00000000">
            <w:r>
              <w:t>Very High</w:t>
            </w:r>
          </w:p>
        </w:tc>
      </w:tr>
      <w:tr w:rsidR="005A35EB" w14:paraId="05BB878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CC3C" w14:textId="77777777" w:rsidR="005A35EB" w:rsidRDefault="00000000">
            <w:r>
              <w:t>RIAs / Advisors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70025" w14:textId="77777777" w:rsidR="005A35EB" w:rsidRDefault="00000000">
            <w:r>
              <w:t>~20%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904A" w14:textId="77777777" w:rsidR="005A35EB" w:rsidRDefault="00000000">
            <w:r>
              <w:t>Very 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42AB" w14:textId="77777777" w:rsidR="005A35EB" w:rsidRDefault="00000000">
            <w:r>
              <w:t>Very High</w:t>
            </w:r>
          </w:p>
        </w:tc>
      </w:tr>
      <w:tr w:rsidR="005A35EB" w14:paraId="6C880E3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4AB44A" w14:textId="77777777" w:rsidR="005A35EB" w:rsidRDefault="00000000">
            <w:r>
              <w:t>Active Individuals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F32C7B" w14:textId="77777777" w:rsidR="005A35EB" w:rsidRDefault="00000000">
            <w:r>
              <w:t>~25%</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FE7453" w14:textId="77777777" w:rsidR="005A35EB" w:rsidRDefault="00000000">
            <w:r>
              <w:t>High (API-based)</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C187EC" w14:textId="77777777" w:rsidR="005A35EB" w:rsidRDefault="00000000">
            <w:r>
              <w:t>High</w:t>
            </w:r>
          </w:p>
        </w:tc>
      </w:tr>
      <w:tr w:rsidR="005A35EB" w14:paraId="4F632BB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8D79" w14:textId="77777777" w:rsidR="005A35EB" w:rsidRDefault="00000000">
            <w:r>
              <w:t>Retail / IBKR 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37CC" w14:textId="77777777" w:rsidR="005A35EB" w:rsidRDefault="00000000">
            <w:r>
              <w:t>~10%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429C" w14:textId="77777777" w:rsidR="005A35EB" w:rsidRDefault="00000000">
            <w:r>
              <w:t>Low-Moderate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28AC" w14:textId="77777777" w:rsidR="005A35EB" w:rsidRDefault="00000000">
            <w:r>
              <w:t>Moderate</w:t>
            </w:r>
          </w:p>
        </w:tc>
      </w:tr>
      <w:tr w:rsidR="005A35EB" w14:paraId="632BE0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902402" w14:textId="77777777" w:rsidR="005A35EB" w:rsidRDefault="00000000">
            <w:r>
              <w:t>Intl / Emerging Mkt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C21A1E" w14:textId="77777777" w:rsidR="005A35EB" w:rsidRDefault="00000000">
            <w:r>
              <w:t>~10%</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0F659" w14:textId="77777777" w:rsidR="005A35EB" w:rsidRDefault="00000000">
            <w:r>
              <w:t>High (few alternatives)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A77B23" w14:textId="77777777" w:rsidR="005A35EB" w:rsidRDefault="00000000">
            <w:r>
              <w:t>High</w:t>
            </w:r>
          </w:p>
        </w:tc>
      </w:tr>
    </w:tbl>
    <w:p w14:paraId="25509932" w14:textId="77777777" w:rsidR="005A35EB" w:rsidRDefault="005A35EB">
      <w:pPr>
        <w:spacing w:after="120"/>
      </w:pPr>
    </w:p>
    <w:p w14:paraId="2011CEF6" w14:textId="77777777" w:rsidR="005A35EB" w:rsidRDefault="00000000">
      <w:pPr>
        <w:spacing w:after="120"/>
      </w:pPr>
      <w:r>
        <w:t>The institutional client segment is where IBKR’s switching costs are uniquely strong. Hedge funds and prop trading firms that have built their execution infrastructure on IBKR’s API face switching costs measured in months of engineering time and potential trading disruption. These are not customers who will leave for a 0.25% APY difference — they need IBKR’s specific functionality.</w:t>
      </w:r>
    </w:p>
    <w:p w14:paraId="663D64E5" w14:textId="77777777" w:rsidR="005A35EB" w:rsidRDefault="00000000">
      <w:pPr>
        <w:spacing w:after="120"/>
      </w:pPr>
      <w:r>
        <w:t>International clients face a different kind of lock-</w:t>
      </w:r>
      <w:proofErr w:type="gramStart"/>
      <w:r>
        <w:t>in:</w:t>
      </w:r>
      <w:proofErr w:type="gramEnd"/>
      <w:r>
        <w:t xml:space="preserve"> for investors in many emerging and developing markets, IBKR is often the ONLY way to access US and global markets with institutional-grade execution and multi-currency capability. There is simply no equivalent alternative in much of Asia, Latin America, Eastern Europe, and the Middle East. This “no alternative” moat is extremely durable.</w:t>
      </w:r>
    </w:p>
    <w:p w14:paraId="5C548180" w14:textId="77777777" w:rsidR="005A35EB" w:rsidRDefault="00000000">
      <w:pPr>
        <w:spacing w:after="120"/>
      </w:pPr>
      <w:r>
        <w:t>The growth metrics confirm stickiness: 4.4M accounts (+32% YoY), $780B client equity (+37% YoY). The fact that equity is growing faster than accounts means existing clients are adding assets — a strong signal of deepening engagement, not just customer acquisition.</w:t>
      </w:r>
    </w:p>
    <w:p w14:paraId="30F90350" w14:textId="77777777" w:rsidR="005A35EB" w:rsidRDefault="00000000">
      <w:pPr>
        <w:spacing w:after="120"/>
      </w:pPr>
      <w:r>
        <w:rPr>
          <w:b/>
          <w:bCs/>
        </w:rPr>
        <w:t xml:space="preserve">Dimension 2 </w:t>
      </w:r>
      <w:proofErr w:type="gramStart"/>
      <w:r>
        <w:rPr>
          <w:b/>
          <w:bCs/>
        </w:rPr>
        <w:t>Score</w:t>
      </w:r>
      <w:proofErr w:type="gramEnd"/>
      <w:r>
        <w:rPr>
          <w:b/>
          <w:bCs/>
        </w:rPr>
        <w:t xml:space="preserve">: 8 / 10. </w:t>
      </w:r>
      <w:r>
        <w:t>The strongest dimension for IBKR and dramatically stronger than HOOD (6/10). Institutional switching costs are among the highest in financial services. International clients have few alternatives. The API-dependency moat deepens with every algorithm built on IBKR’s infrastructure. The only deduction: the growing retail/IBKR Lite segment has lower switching costs and could eventually dilute the overall stickiness profile.</w:t>
      </w:r>
    </w:p>
    <w:p w14:paraId="5C00D88C" w14:textId="77777777" w:rsidR="005A35EB" w:rsidRDefault="00000000">
      <w:r>
        <w:br w:type="page"/>
      </w:r>
    </w:p>
    <w:p w14:paraId="27804D73" w14:textId="77777777" w:rsidR="005A35EB" w:rsidRDefault="00000000">
      <w:pPr>
        <w:pStyle w:val="Heading2"/>
      </w:pPr>
      <w:r>
        <w:lastRenderedPageBreak/>
        <w:t>DIMENSION 3: BUSINESS MODEL &amp; AI ADAPTABILITY</w:t>
      </w:r>
    </w:p>
    <w:p w14:paraId="0027FF69" w14:textId="77777777" w:rsidR="005A35EB" w:rsidRDefault="00000000">
      <w:pPr>
        <w:spacing w:after="120"/>
      </w:pPr>
      <w:r>
        <w:rPr>
          <w:b/>
          <w:bCs/>
        </w:rPr>
        <w:t>Weight: 25% of composite</w:t>
      </w:r>
    </w:p>
    <w:p w14:paraId="197E0F53" w14:textId="77777777" w:rsidR="005A35EB" w:rsidRDefault="00000000">
      <w:pPr>
        <w:spacing w:before="200" w:after="120"/>
      </w:pPr>
      <w:r>
        <w:rPr>
          <w:b/>
          <w:bCs/>
          <w:color w:val="3A7CA5"/>
          <w:sz w:val="22"/>
          <w:szCs w:val="22"/>
        </w:rPr>
        <w:t>AI Strategy: Measured and Pragmatic</w:t>
      </w:r>
    </w:p>
    <w:p w14:paraId="141EB521" w14:textId="77777777" w:rsidR="005A35EB" w:rsidRDefault="00000000">
      <w:pPr>
        <w:spacing w:after="120"/>
      </w:pPr>
      <w:r>
        <w:t xml:space="preserve">IBKR’s approach to AI is characteristically conservative and </w:t>
      </w:r>
      <w:proofErr w:type="gramStart"/>
      <w:r>
        <w:t>engineering-driven</w:t>
      </w:r>
      <w:proofErr w:type="gramEnd"/>
      <w:r>
        <w:t>. The company launched “Ask IBKR” in October 2025 — an AI-powered portfolio analysis tool that uses proprietary techniques to avoid the uncertainty of generative AI. This reflects IBKR’s DNA: build reliable, accurate tools rather than chase hype.</w:t>
      </w:r>
    </w:p>
    <w:p w14:paraId="791769E4" w14:textId="77777777" w:rsidR="005A35EB" w:rsidRDefault="00000000">
      <w:pPr>
        <w:spacing w:after="120"/>
      </w:pPr>
      <w:r>
        <w:t xml:space="preserve">Future AI capabilities include fundamentals data queries, tax lot analysis, corporate actions intelligence, and expanded portfolio analytics. The company is also enhancing its API for machine learning integration (v10.42, December </w:t>
      </w:r>
      <w:proofErr w:type="gramStart"/>
      <w:r>
        <w:t>2025) —</w:t>
      </w:r>
      <w:proofErr w:type="gramEnd"/>
      <w:r>
        <w:t xml:space="preserve"> enabling institutional clients to build their own AI-powered trading strategies on IBKR’s infrastructure.</w:t>
      </w:r>
    </w:p>
    <w:p w14:paraId="124636FD" w14:textId="77777777" w:rsidR="005A35EB" w:rsidRDefault="00000000">
      <w:pPr>
        <w:spacing w:before="200" w:after="120"/>
      </w:pPr>
      <w:r>
        <w:rPr>
          <w:b/>
          <w:bCs/>
          <w:color w:val="3A7CA5"/>
          <w:sz w:val="22"/>
          <w:szCs w:val="22"/>
        </w:rPr>
        <w:t>AI Disruption Risk</w:t>
      </w:r>
    </w:p>
    <w:p w14:paraId="2AB847D3" w14:textId="77777777" w:rsidR="005A35EB" w:rsidRDefault="00000000">
      <w:pPr>
        <w:spacing w:after="120"/>
      </w:pPr>
      <w:r>
        <w:t>IBKR’s AI disruption risk is LOW for the same structural reasons as the HOOD analysis: the core value proposition is execution, clearing, custody, and regulatory compliance — functions that AI cannot perform independently. AI cannot hold a broker-dealer license, clear trades with 170+ exchanges, or maintain segregated customer accounts.</w:t>
      </w:r>
    </w:p>
    <w:p w14:paraId="7AA8412A" w14:textId="77777777" w:rsidR="005A35EB" w:rsidRDefault="00000000">
      <w:pPr>
        <w:spacing w:after="120"/>
      </w:pPr>
      <w:r>
        <w:t>Where IBKR has an additional AI advantage over HOOD: IBKR’s institutional clients are themselves heavy AI users (quant funds, algo traders). These clients need IBKR’s API and infrastructure to DEPLOY their AI strategies. As AI trading proliferates, IBKR benefits from increased trading volumes and the infrastructure complexity that AI strategies require (multi-market, multi-currency, multi-asset). AI is a demand driver for IBKR, not a threat.</w:t>
      </w:r>
    </w:p>
    <w:p w14:paraId="23D8EE75" w14:textId="77777777" w:rsidR="005A35EB" w:rsidRDefault="00000000">
      <w:pPr>
        <w:spacing w:after="120"/>
      </w:pPr>
      <w:r>
        <w:t>The risk is more subtle: could a well-funded tech company (Google, Apple, or a large AI lab) build a competing brokerage from scratch using AI to automate the compliance and operations that IBKR has built with human engineering? Theoretically, yes. Practically, the regulatory barriers, exchange connectivity, and institutional trust required would take years to build, and the regulatory agencies would scrutinize any AI-first compliance model intensely.</w:t>
      </w:r>
    </w:p>
    <w:p w14:paraId="5440BE44" w14:textId="77777777" w:rsidR="005A35EB" w:rsidRDefault="00000000">
      <w:pPr>
        <w:spacing w:after="120"/>
      </w:pPr>
      <w:r>
        <w:rPr>
          <w:b/>
          <w:bCs/>
        </w:rPr>
        <w:t xml:space="preserve">Dimension 3 </w:t>
      </w:r>
      <w:proofErr w:type="gramStart"/>
      <w:r>
        <w:rPr>
          <w:b/>
          <w:bCs/>
        </w:rPr>
        <w:t>Score</w:t>
      </w:r>
      <w:proofErr w:type="gramEnd"/>
      <w:r>
        <w:rPr>
          <w:b/>
          <w:bCs/>
        </w:rPr>
        <w:t xml:space="preserve">: 7 / 10. </w:t>
      </w:r>
      <w:r>
        <w:t>AI is a net positive for IBKR: it drives trading volumes (institutional AI strategies need IBKR’s infrastructure), enhances the product (Ask IBKR, API ML integration), and does not threaten the core value proposition (execution, clearing, custody). The conservative AI approach is appropriate for a company serving institutional clients who value reliability over novelty. Slightly lower CPP potential than HOOD because IBKR is not pursuing an aggressive AI-first product transformation.</w:t>
      </w:r>
    </w:p>
    <w:p w14:paraId="52D026A5" w14:textId="77777777" w:rsidR="005A35EB" w:rsidRDefault="00000000">
      <w:r>
        <w:br w:type="page"/>
      </w:r>
    </w:p>
    <w:p w14:paraId="16677005" w14:textId="77777777" w:rsidR="005A35EB" w:rsidRDefault="00000000">
      <w:pPr>
        <w:pStyle w:val="Heading2"/>
      </w:pPr>
      <w:r>
        <w:lastRenderedPageBreak/>
        <w:t>DIMENSION 4: MARKET STRUCTURE &amp; COMPETITIVE POSITION</w:t>
      </w:r>
    </w:p>
    <w:p w14:paraId="19412EC2" w14:textId="77777777" w:rsidR="005A35EB" w:rsidRDefault="00000000">
      <w:pPr>
        <w:spacing w:after="120"/>
      </w:pPr>
      <w:r>
        <w:rPr>
          <w:b/>
          <w:bCs/>
        </w:rPr>
        <w:t>Weight: 25% of composite</w:t>
      </w:r>
    </w:p>
    <w:p w14:paraId="74AB9221" w14:textId="77777777" w:rsidR="005A35EB" w:rsidRDefault="00000000">
      <w:pPr>
        <w:spacing w:before="200" w:after="120"/>
      </w:pPr>
      <w:r>
        <w:rPr>
          <w:b/>
          <w:bCs/>
          <w:color w:val="3A7CA5"/>
          <w:sz w:val="22"/>
          <w:szCs w:val="22"/>
        </w:rPr>
        <w:t>Market Position</w:t>
      </w:r>
    </w:p>
    <w:p w14:paraId="7511EB07" w14:textId="77777777" w:rsidR="005A35EB" w:rsidRDefault="00000000">
      <w:pPr>
        <w:spacing w:after="120"/>
      </w:pPr>
      <w:r>
        <w:t xml:space="preserve">IBKR occupies a unique position in the brokerage industry: it is the technology leader serving the sophisticated end of the market, sitting between consumer-focused brokers (HOOD, </w:t>
      </w:r>
      <w:proofErr w:type="spellStart"/>
      <w:r>
        <w:t>Webull</w:t>
      </w:r>
      <w:proofErr w:type="spellEnd"/>
      <w:r>
        <w:t>, SoFi) and full-service investment banks (Goldman Sachs Prime Brokerage, Morgan Stanley Prime). This positioning creates a competitive moat: IBKR offers institutional-grade capabilities at a fraction of the cost of prime brokerage, and global market access that consumer brokers cannot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60"/>
        <w:gridCol w:w="1800"/>
      </w:tblGrid>
      <w:tr w:rsidR="005A35EB" w14:paraId="4886B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72733D" w14:textId="77777777" w:rsidR="005A35EB" w:rsidRDefault="00000000">
            <w:r>
              <w:rPr>
                <w:b/>
                <w:bCs/>
                <w:color w:val="FFFFFF"/>
              </w:rPr>
              <w:t>Competitor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BBC335" w14:textId="77777777" w:rsidR="005A35EB" w:rsidRDefault="00000000">
            <w:r>
              <w:rPr>
                <w:b/>
                <w:bCs/>
                <w:color w:val="FFFFFF"/>
              </w:rPr>
              <w:t>Client Assets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3C65C7" w14:textId="77777777" w:rsidR="005A35EB" w:rsidRDefault="00000000">
            <w:r>
              <w:rPr>
                <w:b/>
                <w:bCs/>
                <w:color w:val="FFFFFF"/>
              </w:rPr>
              <w:t>Accounts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194C80" w14:textId="77777777" w:rsidR="005A35EB" w:rsidRDefault="00000000">
            <w:r>
              <w:rPr>
                <w:b/>
                <w:bCs/>
                <w:color w:val="FFFFFF"/>
              </w:rPr>
              <w:t>Pretax Margin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989B33" w14:textId="77777777" w:rsidR="005A35EB" w:rsidRDefault="00000000">
            <w:r>
              <w:rPr>
                <w:b/>
                <w:bCs/>
                <w:color w:val="FFFFFF"/>
              </w:rPr>
              <w:t>Global Reach</w:t>
            </w:r>
          </w:p>
        </w:tc>
      </w:tr>
      <w:tr w:rsidR="005A35EB" w14:paraId="13CCB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5C5985" w14:textId="77777777" w:rsidR="005A35EB" w:rsidRDefault="00000000">
            <w:r>
              <w:rPr>
                <w:b/>
                <w:bCs/>
              </w:rPr>
              <w:t>IBKR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E33091" w14:textId="77777777" w:rsidR="005A35EB" w:rsidRDefault="00000000">
            <w:r>
              <w:t>$780B</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CAD7DB" w14:textId="77777777" w:rsidR="005A35EB" w:rsidRDefault="00000000">
            <w:r>
              <w:t>4.4M</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C7DAB4" w14:textId="77777777" w:rsidR="005A35EB" w:rsidRDefault="00000000">
            <w:r>
              <w:t>77%</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1E05AE" w14:textId="77777777" w:rsidR="005A35EB" w:rsidRDefault="00000000">
            <w:r>
              <w:t>33 countries</w:t>
            </w:r>
          </w:p>
        </w:tc>
      </w:tr>
      <w:tr w:rsidR="005A35EB" w14:paraId="32284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EB28B" w14:textId="77777777" w:rsidR="005A35EB" w:rsidRDefault="00000000">
            <w:r>
              <w:t>Schwab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44EF7" w14:textId="77777777" w:rsidR="005A35EB" w:rsidRDefault="00000000">
            <w:r>
              <w:t>$9.9T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5D15" w14:textId="77777777" w:rsidR="005A35EB" w:rsidRDefault="00000000">
            <w:r>
              <w:t>~36M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DB225" w14:textId="77777777" w:rsidR="005A35EB" w:rsidRDefault="00000000">
            <w:r>
              <w:t>~48%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7DBCE" w14:textId="77777777" w:rsidR="005A35EB" w:rsidRDefault="00000000">
            <w:r>
              <w:t>US-focused</w:t>
            </w:r>
          </w:p>
        </w:tc>
      </w:tr>
      <w:tr w:rsidR="005A35EB" w14:paraId="64E27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528985" w14:textId="77777777" w:rsidR="005A35EB" w:rsidRDefault="00000000">
            <w:r>
              <w:t>Fidelity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728CB5" w14:textId="77777777" w:rsidR="005A35EB" w:rsidRDefault="00000000">
            <w:r>
              <w:t>$14.1T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8CC9FA" w14:textId="77777777" w:rsidR="005A35EB" w:rsidRDefault="00000000">
            <w:r>
              <w:t>~50M</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2D6DF0" w14:textId="77777777" w:rsidR="005A35EB" w:rsidRDefault="00000000">
            <w:r>
              <w:t>N/A (private)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DF5C3E" w14:textId="77777777" w:rsidR="005A35EB" w:rsidRDefault="00000000">
            <w:r>
              <w:t>US-focused</w:t>
            </w:r>
          </w:p>
        </w:tc>
      </w:tr>
      <w:tr w:rsidR="005A35EB" w14:paraId="763D7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DB7C" w14:textId="77777777" w:rsidR="005A35EB" w:rsidRDefault="00000000">
            <w:r>
              <w:t>Robinhood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206D" w14:textId="77777777" w:rsidR="005A35EB" w:rsidRDefault="00000000">
            <w:r>
              <w:t>$324B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E384" w14:textId="77777777" w:rsidR="005A35EB" w:rsidRDefault="00000000">
            <w:r>
              <w:t>27M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2AB4" w14:textId="77777777" w:rsidR="005A35EB" w:rsidRDefault="00000000">
            <w:r>
              <w:t>~42%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F6A8" w14:textId="77777777" w:rsidR="005A35EB" w:rsidRDefault="00000000">
            <w:r>
              <w:t>US + UK</w:t>
            </w:r>
          </w:p>
        </w:tc>
      </w:tr>
      <w:tr w:rsidR="005A35EB" w14:paraId="222FE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3903F5" w14:textId="77777777" w:rsidR="005A35EB" w:rsidRDefault="00000000">
            <w:proofErr w:type="spellStart"/>
            <w:r>
              <w:t>Webull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59AAD8" w14:textId="77777777" w:rsidR="005A35EB" w:rsidRDefault="00000000">
            <w:r>
              <w:t>~$50B</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FBD5F9" w14:textId="77777777" w:rsidR="005A35EB" w:rsidRDefault="00000000">
            <w:r>
              <w:t>~23M</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4C5918" w14:textId="77777777" w:rsidR="005A35EB" w:rsidRDefault="00000000">
            <w:r>
              <w:t>N/A (private)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02CAEE" w14:textId="77777777" w:rsidR="005A35EB" w:rsidRDefault="00000000">
            <w:r>
              <w:t>US + limited</w:t>
            </w:r>
          </w:p>
        </w:tc>
      </w:tr>
    </w:tbl>
    <w:p w14:paraId="22696C3C" w14:textId="77777777" w:rsidR="005A35EB" w:rsidRDefault="005A35EB">
      <w:pPr>
        <w:spacing w:after="120"/>
      </w:pPr>
    </w:p>
    <w:p w14:paraId="4169F285" w14:textId="77777777" w:rsidR="005A35EB" w:rsidRDefault="00000000">
      <w:pPr>
        <w:spacing w:before="200" w:after="120"/>
      </w:pPr>
      <w:r>
        <w:rPr>
          <w:b/>
          <w:bCs/>
          <w:color w:val="3A7CA5"/>
          <w:sz w:val="22"/>
          <w:szCs w:val="22"/>
        </w:rPr>
        <w:t>Competitive Advantages</w:t>
      </w:r>
    </w:p>
    <w:p w14:paraId="18899F0D" w14:textId="77777777" w:rsidR="005A35EB" w:rsidRDefault="00000000">
      <w:pPr>
        <w:pStyle w:val="ListParagraph"/>
        <w:numPr>
          <w:ilvl w:val="0"/>
          <w:numId w:val="2"/>
        </w:numPr>
        <w:spacing w:after="80"/>
      </w:pPr>
      <w:r>
        <w:t>Operational efficiency: 77% pretax margin is ~30 percentage points higher than Schwab and ~35 points higher than HOOD. This is the single most operationally efficient brokerage ever built.</w:t>
      </w:r>
    </w:p>
    <w:p w14:paraId="72A77B2E" w14:textId="77777777" w:rsidR="005A35EB" w:rsidRDefault="00000000">
      <w:pPr>
        <w:pStyle w:val="ListParagraph"/>
        <w:numPr>
          <w:ilvl w:val="0"/>
          <w:numId w:val="2"/>
        </w:numPr>
        <w:spacing w:after="80"/>
      </w:pPr>
      <w:r>
        <w:t>Global market access: 170+ exchanges in 33 countries from a single account. No competitor offers comparable breadth.</w:t>
      </w:r>
    </w:p>
    <w:p w14:paraId="1E2D7C2A" w14:textId="77777777" w:rsidR="005A35EB" w:rsidRDefault="00000000">
      <w:pPr>
        <w:pStyle w:val="ListParagraph"/>
        <w:numPr>
          <w:ilvl w:val="0"/>
          <w:numId w:val="2"/>
        </w:numPr>
        <w:spacing w:after="80"/>
      </w:pPr>
      <w:r>
        <w:t>Cost leadership: Lowest or near-lowest commissions for active/institutional traders across every asset class.</w:t>
      </w:r>
    </w:p>
    <w:p w14:paraId="520112D3" w14:textId="77777777" w:rsidR="005A35EB" w:rsidRDefault="00000000">
      <w:pPr>
        <w:pStyle w:val="ListParagraph"/>
        <w:numPr>
          <w:ilvl w:val="0"/>
          <w:numId w:val="2"/>
        </w:numPr>
        <w:spacing w:after="80"/>
      </w:pPr>
      <w:r>
        <w:t>Multi-currency capability: Trade, hold, borrow, and lend in 27 currencies. Essential for global institutional clients.</w:t>
      </w:r>
    </w:p>
    <w:p w14:paraId="0E3C1201" w14:textId="77777777" w:rsidR="005A35EB" w:rsidRDefault="00000000">
      <w:pPr>
        <w:pStyle w:val="ListParagraph"/>
        <w:numPr>
          <w:ilvl w:val="0"/>
          <w:numId w:val="2"/>
        </w:numPr>
        <w:spacing w:after="80"/>
      </w:pPr>
      <w:r>
        <w:t>API ecosystem: Thousands of institutional clients have built their trading infrastructure on IBKR’s API, creating deep structural lock-in.</w:t>
      </w:r>
    </w:p>
    <w:p w14:paraId="318B72AD" w14:textId="77777777" w:rsidR="005A35EB" w:rsidRDefault="00000000">
      <w:pPr>
        <w:pStyle w:val="ListParagraph"/>
        <w:numPr>
          <w:ilvl w:val="0"/>
          <w:numId w:val="2"/>
        </w:numPr>
        <w:spacing w:after="80"/>
      </w:pPr>
      <w:r>
        <w:t>S&amp;P 500 inclusion (August 2025): Institutional validation and forced index fund ownership.</w:t>
      </w:r>
    </w:p>
    <w:p w14:paraId="4DBB272C" w14:textId="77777777" w:rsidR="005A35EB" w:rsidRDefault="00000000">
      <w:pPr>
        <w:spacing w:before="200" w:after="120"/>
      </w:pPr>
      <w:r>
        <w:rPr>
          <w:b/>
          <w:bCs/>
          <w:color w:val="3A7CA5"/>
          <w:sz w:val="22"/>
          <w:szCs w:val="22"/>
        </w:rPr>
        <w:t>Competitive Vulnerabilities</w:t>
      </w:r>
    </w:p>
    <w:p w14:paraId="1FDA9209" w14:textId="77777777" w:rsidR="005A35EB" w:rsidRDefault="00000000">
      <w:pPr>
        <w:pStyle w:val="ListParagraph"/>
        <w:numPr>
          <w:ilvl w:val="0"/>
          <w:numId w:val="2"/>
        </w:numPr>
        <w:spacing w:after="80"/>
      </w:pPr>
      <w:r>
        <w:t>Scale gap: $780B vs. $14.1T (Fidelity) in client assets. IBKR is still small relative to the full-service wealth management giants.</w:t>
      </w:r>
    </w:p>
    <w:p w14:paraId="1F212EF3" w14:textId="77777777" w:rsidR="005A35EB" w:rsidRDefault="00000000">
      <w:pPr>
        <w:pStyle w:val="ListParagraph"/>
        <w:numPr>
          <w:ilvl w:val="0"/>
          <w:numId w:val="2"/>
        </w:numPr>
        <w:spacing w:after="80"/>
      </w:pPr>
      <w:r>
        <w:t xml:space="preserve">Complexity barrier: Platform is notoriously difficult for casual investors. IBKR Lite and </w:t>
      </w:r>
      <w:proofErr w:type="spellStart"/>
      <w:r>
        <w:t>GlobalTrader</w:t>
      </w:r>
      <w:proofErr w:type="spellEnd"/>
      <w:r>
        <w:t xml:space="preserve"> help but the core TWS remains intimidating.</w:t>
      </w:r>
    </w:p>
    <w:p w14:paraId="5712E549" w14:textId="77777777" w:rsidR="005A35EB" w:rsidRDefault="00000000">
      <w:pPr>
        <w:pStyle w:val="ListParagraph"/>
        <w:numPr>
          <w:ilvl w:val="0"/>
          <w:numId w:val="2"/>
        </w:numPr>
        <w:spacing w:after="80"/>
      </w:pPr>
      <w:r>
        <w:t>NII rate sensitivity: 58% of revenue from NII. Aggressive rate cuts would compress earnings materially.</w:t>
      </w:r>
    </w:p>
    <w:p w14:paraId="0AF30687" w14:textId="77777777" w:rsidR="005A35EB" w:rsidRDefault="00000000">
      <w:pPr>
        <w:pStyle w:val="ListParagraph"/>
        <w:numPr>
          <w:ilvl w:val="0"/>
          <w:numId w:val="2"/>
        </w:numPr>
        <w:spacing w:after="80"/>
      </w:pPr>
      <w:r>
        <w:t>Concentration: Thomas Peterffy is 81 years old. Succession planning is the most critical strategic risk for the next decade.</w:t>
      </w:r>
    </w:p>
    <w:p w14:paraId="284E16D3" w14:textId="77777777" w:rsidR="005A35EB" w:rsidRDefault="00000000">
      <w:pPr>
        <w:spacing w:after="120"/>
      </w:pPr>
      <w:r>
        <w:rPr>
          <w:b/>
          <w:bCs/>
        </w:rPr>
        <w:t xml:space="preserve">Dimension 4 </w:t>
      </w:r>
      <w:proofErr w:type="gramStart"/>
      <w:r>
        <w:rPr>
          <w:b/>
          <w:bCs/>
        </w:rPr>
        <w:t>Score</w:t>
      </w:r>
      <w:proofErr w:type="gramEnd"/>
      <w:r>
        <w:rPr>
          <w:b/>
          <w:bCs/>
        </w:rPr>
        <w:t xml:space="preserve">: 8 / 10. </w:t>
      </w:r>
      <w:r>
        <w:t>IBKR occupies a uniquely defensible competitive position: too sophisticated for consumer brokers to attack, too cost-efficient for prime brokers to match. The 77% pretax margin is the ultimate proof of competitive advantage — no competitor comes close. Global reach and multi-asset capability create additional moat layers. The Peterffy succession risk and NII sensitivity prevent a perfect score.</w:t>
      </w:r>
    </w:p>
    <w:p w14:paraId="56CE75D1" w14:textId="77777777" w:rsidR="005A35EB" w:rsidRDefault="00000000">
      <w:r>
        <w:br w:type="page"/>
      </w:r>
    </w:p>
    <w:p w14:paraId="498AB29C" w14:textId="77777777" w:rsidR="005A35EB" w:rsidRDefault="00000000">
      <w:pPr>
        <w:pStyle w:val="Heading1"/>
      </w:pPr>
      <w:r>
        <w:lastRenderedPageBreak/>
        <w:t>COMPOSITE SCORING</w:t>
      </w:r>
    </w:p>
    <w:p w14:paraId="68F2E2C9" w14:textId="77777777" w:rsidR="005A35EB" w:rsidRDefault="00000000">
      <w:pPr>
        <w:pStyle w:val="Heading2"/>
      </w:pPr>
      <w:r>
        <w:t>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360"/>
        <w:gridCol w:w="1500"/>
      </w:tblGrid>
      <w:tr w:rsidR="005A35EB" w14:paraId="526785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F32A3C" w14:textId="77777777" w:rsidR="005A35EB" w:rsidRDefault="00000000">
            <w:r>
              <w:rPr>
                <w:b/>
                <w:bCs/>
                <w:color w:val="FFFFFF"/>
              </w:rPr>
              <w:t>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A82B3F" w14:textId="77777777" w:rsidR="005A35EB" w:rsidRDefault="00000000">
            <w:r>
              <w:rPr>
                <w:b/>
                <w:bCs/>
                <w:color w:val="FFFFFF"/>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8FD57E" w14:textId="77777777" w:rsidR="005A35EB" w:rsidRDefault="00000000">
            <w:r>
              <w:rPr>
                <w:b/>
                <w:bCs/>
                <w:color w:val="FFFFFF"/>
              </w:rPr>
              <w:t>Weight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FE392A" w14:textId="77777777" w:rsidR="005A35EB" w:rsidRDefault="00000000">
            <w:r>
              <w:rPr>
                <w:b/>
                <w:bCs/>
                <w:color w:val="FFFFFF"/>
              </w:rPr>
              <w:t>Weighted</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E3B36E" w14:textId="77777777" w:rsidR="005A35EB" w:rsidRDefault="00000000">
            <w:r>
              <w:rPr>
                <w:b/>
                <w:bCs/>
                <w:color w:val="FFFFFF"/>
              </w:rPr>
              <w:t>Trend</w:t>
            </w:r>
          </w:p>
        </w:tc>
      </w:tr>
      <w:tr w:rsidR="005A35EB" w14:paraId="55E92B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78D011" w14:textId="77777777" w:rsidR="005A35EB" w:rsidRDefault="00000000">
            <w:r>
              <w:t>D1: Regulatory Licensing</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D31D33" w14:textId="77777777" w:rsidR="005A35EB" w:rsidRDefault="00000000">
            <w:r>
              <w:t>6 / 10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14257D" w14:textId="77777777" w:rsidR="005A35EB" w:rsidRDefault="00000000">
            <w:r>
              <w:t>20%</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EEFEE8" w14:textId="77777777" w:rsidR="005A35EB" w:rsidRDefault="00000000">
            <w:r>
              <w:t>1.20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B5E398" w14:textId="77777777" w:rsidR="005A35EB" w:rsidRDefault="00000000">
            <w:r>
              <w:t>→ Stable</w:t>
            </w:r>
          </w:p>
        </w:tc>
      </w:tr>
      <w:tr w:rsidR="005A35EB" w14:paraId="57A00A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3A6FA" w14:textId="77777777" w:rsidR="005A35EB" w:rsidRDefault="00000000">
            <w:r>
              <w:t>D2: Customer Stickiness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B6C9" w14:textId="77777777" w:rsidR="005A35EB" w:rsidRDefault="00000000">
            <w:r>
              <w:t>8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62180" w14:textId="77777777" w:rsidR="005A35EB" w:rsidRDefault="00000000">
            <w:r>
              <w:t>30%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FF53B" w14:textId="77777777" w:rsidR="005A35EB" w:rsidRDefault="00000000">
            <w:r>
              <w:t>2.40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A815" w14:textId="77777777" w:rsidR="005A35EB" w:rsidRDefault="00000000">
            <w:r>
              <w:t>↑ Improving</w:t>
            </w:r>
          </w:p>
        </w:tc>
      </w:tr>
      <w:tr w:rsidR="005A35EB" w14:paraId="6E598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C6F2B5" w14:textId="77777777" w:rsidR="005A35EB" w:rsidRDefault="00000000">
            <w:r>
              <w:t>D3: AI Adaptability</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59CB64" w14:textId="77777777" w:rsidR="005A35EB" w:rsidRDefault="00000000">
            <w:r>
              <w:t>7 / 10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DC99A9" w14:textId="77777777" w:rsidR="005A35EB" w:rsidRDefault="00000000">
            <w:r>
              <w:t>25%</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FFDC89" w14:textId="77777777" w:rsidR="005A35EB" w:rsidRDefault="00000000">
            <w:r>
              <w:t>1.75</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C3C14" w14:textId="77777777" w:rsidR="005A35EB" w:rsidRDefault="00000000">
            <w:r>
              <w:t>↑ Improving</w:t>
            </w:r>
          </w:p>
        </w:tc>
      </w:tr>
      <w:tr w:rsidR="005A35EB" w14:paraId="2AEEC6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DDF1" w14:textId="77777777" w:rsidR="005A35EB" w:rsidRDefault="00000000">
            <w:r>
              <w:t>D4: Market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5046" w14:textId="77777777" w:rsidR="005A35EB" w:rsidRDefault="00000000">
            <w:r>
              <w:t>8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772A9" w14:textId="77777777" w:rsidR="005A35EB" w:rsidRDefault="00000000">
            <w:r>
              <w:t>25%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68014" w14:textId="77777777" w:rsidR="005A35EB" w:rsidRDefault="00000000">
            <w:r>
              <w:t>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726F" w14:textId="77777777" w:rsidR="005A35EB" w:rsidRDefault="00000000">
            <w:r>
              <w:t>↑ Improving</w:t>
            </w:r>
          </w:p>
        </w:tc>
      </w:tr>
      <w:tr w:rsidR="005A35EB" w14:paraId="0C19E1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54F20FD" w14:textId="77777777" w:rsidR="005A35EB" w:rsidRDefault="00000000">
            <w:r>
              <w:t>RAW COMPOSITE</w:t>
            </w:r>
          </w:p>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7B15F8D" w14:textId="77777777" w:rsidR="005A35EB" w:rsidRDefault="005A35EB"/>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AAB95AB" w14:textId="77777777" w:rsidR="005A35EB" w:rsidRDefault="00000000">
            <w:r>
              <w:t>100%</w:t>
            </w:r>
          </w:p>
        </w:tc>
        <w:tc>
          <w:tcPr>
            <w:tcW w:w="1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39974BF" w14:textId="77777777" w:rsidR="005A35EB" w:rsidRDefault="00000000">
            <w:r>
              <w:t>7.35</w:t>
            </w:r>
          </w:p>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120A2FE" w14:textId="77777777" w:rsidR="005A35EB" w:rsidRDefault="005A35EB"/>
        </w:tc>
      </w:tr>
    </w:tbl>
    <w:p w14:paraId="57F7AB11" w14:textId="77777777" w:rsidR="005A35EB" w:rsidRDefault="005A35EB">
      <w:pPr>
        <w:spacing w:after="120"/>
      </w:pPr>
    </w:p>
    <w:p w14:paraId="536A9D37" w14:textId="77777777" w:rsidR="005A35EB" w:rsidRDefault="00000000">
      <w:pPr>
        <w:spacing w:after="120"/>
      </w:pPr>
      <w:r>
        <w:rPr>
          <w:b/>
          <w:bCs/>
        </w:rPr>
        <w:t xml:space="preserve">Raw Classification: ROBUST </w:t>
      </w:r>
      <w:r>
        <w:t>(6.5–7.4 range)</w:t>
      </w:r>
    </w:p>
    <w:p w14:paraId="3C1E325A" w14:textId="77777777" w:rsidR="005A35EB" w:rsidRDefault="00000000">
      <w:pPr>
        <w:spacing w:after="120"/>
      </w:pPr>
      <w:r>
        <w:t xml:space="preserve">IBKR achieves Robust classification on raw scores alone, driven by exceptional customer stickiness (8/10) and market structure scores (8/10). The </w:t>
      </w:r>
      <w:proofErr w:type="gramStart"/>
      <w:r>
        <w:t>company’s process</w:t>
      </w:r>
      <w:proofErr w:type="gramEnd"/>
      <w:r>
        <w:t xml:space="preserve"> power moat and institutional client lock-in create a fundamentally more defensible position than HOOD’s brand-and-growth driven model.</w:t>
      </w:r>
    </w:p>
    <w:p w14:paraId="6D7E8BB2" w14:textId="77777777" w:rsidR="005A35EB" w:rsidRDefault="00000000">
      <w:r>
        <w:br w:type="page"/>
      </w:r>
    </w:p>
    <w:p w14:paraId="2AC2262C" w14:textId="77777777" w:rsidR="005A35EB" w:rsidRDefault="00000000">
      <w:pPr>
        <w:pStyle w:val="Heading2"/>
      </w:pPr>
      <w:r>
        <w:lastRenderedPageBreak/>
        <w:t>MODIFIER 1: REGULATORY DESIGNATION PREMIUM (RDP)</w:t>
      </w:r>
    </w:p>
    <w:p w14:paraId="753F3F39" w14:textId="77777777" w:rsidR="005A35EB" w:rsidRDefault="00000000">
      <w:pPr>
        <w:spacing w:after="120"/>
      </w:pPr>
      <w:r>
        <w:t>IBKR holds no regulatory designation (not named in law). However, its global multi-jurisdictional licensing portfolio is the strongest in electronic brokerage, and its institutional-grade compliance infrastructure serves as a de facto barrier.</w:t>
      </w:r>
    </w:p>
    <w:p w14:paraId="1669545D" w14:textId="77777777" w:rsidR="005A35EB" w:rsidRDefault="00000000">
      <w:pPr>
        <w:spacing w:after="120"/>
      </w:pPr>
      <w:r>
        <w:rPr>
          <w:b/>
          <w:bCs/>
        </w:rPr>
        <w:t>RDP Score: 0.5. RDP Modifier: +0.5</w:t>
      </w:r>
    </w:p>
    <w:p w14:paraId="61D62191" w14:textId="77777777" w:rsidR="005A35EB" w:rsidRDefault="00000000">
      <w:pPr>
        <w:spacing w:after="120"/>
      </w:pPr>
      <w:r>
        <w:t>A partial RDP is warranted — not because IBKR has a formal designation, but because its accumulated global licensing portfolio creates a practical barrier equivalent to a weak regulatory designation. Replicating IBKR’s regulatory footprint would take 5-10 years, which is comparable to the timeline for certain contractual boilerplate moats in the Data Infrastructure Framework.</w:t>
      </w:r>
    </w:p>
    <w:p w14:paraId="6ED290D7" w14:textId="77777777" w:rsidR="005A35EB" w:rsidRDefault="00000000">
      <w:pPr>
        <w:pStyle w:val="Heading2"/>
      </w:pPr>
      <w:r>
        <w:t>MODIFIER 2: COUNTER-POSITIONING POTENTIAL (CPP)</w:t>
      </w:r>
    </w:p>
    <w:p w14:paraId="1F0B67CB" w14:textId="77777777" w:rsidR="005A35EB" w:rsidRDefault="00000000">
      <w:pPr>
        <w:pStyle w:val="ListParagraph"/>
        <w:numPr>
          <w:ilvl w:val="0"/>
          <w:numId w:val="2"/>
        </w:numPr>
        <w:spacing w:after="80"/>
      </w:pPr>
      <w:r>
        <w:t>API ecosystem enabling institutional AI/algo trading — IBKR infrastructure benefits directly from AI trading proliferation. Score: 2/2</w:t>
      </w:r>
    </w:p>
    <w:p w14:paraId="13998894" w14:textId="77777777" w:rsidR="005A35EB" w:rsidRDefault="00000000">
      <w:pPr>
        <w:pStyle w:val="ListParagraph"/>
        <w:numPr>
          <w:ilvl w:val="0"/>
          <w:numId w:val="2"/>
        </w:numPr>
        <w:spacing w:after="80"/>
      </w:pPr>
      <w:r>
        <w:t>Ask IBKR AI tool — launched October 2025, pragmatic AI product enhancing client experience. Score: 1/2</w:t>
      </w:r>
    </w:p>
    <w:p w14:paraId="0419413A" w14:textId="77777777" w:rsidR="005A35EB" w:rsidRDefault="00000000">
      <w:pPr>
        <w:pStyle w:val="ListParagraph"/>
        <w:numPr>
          <w:ilvl w:val="0"/>
          <w:numId w:val="2"/>
        </w:numPr>
        <w:spacing w:after="80"/>
      </w:pPr>
      <w:proofErr w:type="spellStart"/>
      <w:r>
        <w:t>GlobalTrader</w:t>
      </w:r>
      <w:proofErr w:type="spellEnd"/>
      <w:r>
        <w:t xml:space="preserve"> simplified mobile app — expanding addressable market to less sophisticated international investors. Score: 1/2</w:t>
      </w:r>
    </w:p>
    <w:p w14:paraId="57E80F08" w14:textId="77777777" w:rsidR="005A35EB" w:rsidRDefault="00000000">
      <w:pPr>
        <w:pStyle w:val="ListParagraph"/>
        <w:numPr>
          <w:ilvl w:val="0"/>
          <w:numId w:val="2"/>
        </w:numPr>
        <w:spacing w:after="80"/>
      </w:pPr>
      <w:r>
        <w:t>1M+ net new accounts in 2025 (</w:t>
      </w:r>
      <w:proofErr w:type="gramStart"/>
      <w:r>
        <w:t>record) —</w:t>
      </w:r>
      <w:proofErr w:type="gramEnd"/>
      <w:r>
        <w:t xml:space="preserve"> growth is accelerating, not decelerating. Score: 2/2</w:t>
      </w:r>
    </w:p>
    <w:p w14:paraId="7C959240" w14:textId="77777777" w:rsidR="005A35EB" w:rsidRDefault="00000000">
      <w:pPr>
        <w:pStyle w:val="ListParagraph"/>
        <w:numPr>
          <w:ilvl w:val="0"/>
          <w:numId w:val="2"/>
        </w:numPr>
        <w:spacing w:after="80"/>
      </w:pPr>
      <w:r>
        <w:t>S&amp;P 500 inclusion — institutional validation and permanent capital flows. Score: 1/2</w:t>
      </w:r>
    </w:p>
    <w:p w14:paraId="1118941E" w14:textId="77777777" w:rsidR="005A35EB" w:rsidRDefault="00000000">
      <w:pPr>
        <w:pStyle w:val="ListParagraph"/>
        <w:numPr>
          <w:ilvl w:val="0"/>
          <w:numId w:val="2"/>
        </w:numPr>
        <w:spacing w:after="80"/>
      </w:pPr>
      <w:r>
        <w:t>Firm equity exceeding $20B — massive capital cushion enabling continued investment and market expansion. Score: 2/2</w:t>
      </w:r>
    </w:p>
    <w:p w14:paraId="76F707E8" w14:textId="77777777" w:rsidR="005A35EB" w:rsidRDefault="00000000">
      <w:pPr>
        <w:spacing w:after="120"/>
      </w:pPr>
      <w:r>
        <w:rPr>
          <w:b/>
          <w:bCs/>
        </w:rPr>
        <w:t>CPP Score: 9 / 12. CPP Modifier: +1.0</w:t>
      </w:r>
    </w:p>
    <w:p w14:paraId="7DF73448" w14:textId="77777777" w:rsidR="005A35EB" w:rsidRDefault="00000000">
      <w:pPr>
        <w:spacing w:after="120"/>
      </w:pPr>
      <w:r>
        <w:t>IBKR’s counter-positioning is more measured than HOOD’s (HOOD scored +1.25). IBKR is not pursuing a flashy AI transformation — it is quietly extending the same automation-first model that has driven 48 years of compounding. The lower CPP reflects this pragmatism, not a weakness.</w:t>
      </w:r>
    </w:p>
    <w:p w14:paraId="0F9DA8AB" w14:textId="77777777" w:rsidR="005A35EB" w:rsidRDefault="00000000">
      <w:r>
        <w:br w:type="page"/>
      </w:r>
    </w:p>
    <w:p w14:paraId="2E5C5B00" w14:textId="77777777" w:rsidR="005A35EB" w:rsidRDefault="00000000">
      <w:pPr>
        <w:pStyle w:val="Heading2"/>
      </w:pPr>
      <w:r>
        <w:lastRenderedPageBreak/>
        <w:t>FINAL COMPOSITE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5A35EB" w14:paraId="76430BF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1BCF4A" w14:textId="77777777" w:rsidR="005A35EB" w:rsidRDefault="00000000">
            <w:r>
              <w:rPr>
                <w:b/>
                <w:bCs/>
                <w:color w:val="FFFFFF"/>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EC1DE0" w14:textId="77777777" w:rsidR="005A35EB" w:rsidRDefault="00000000">
            <w:r>
              <w:rPr>
                <w:b/>
                <w:bCs/>
                <w:color w:val="FFFFFF"/>
              </w:rPr>
              <w:t>Value</w:t>
            </w:r>
          </w:p>
        </w:tc>
      </w:tr>
      <w:tr w:rsidR="005A35EB" w14:paraId="671E28D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2EEAA9" w14:textId="77777777" w:rsidR="005A35EB" w:rsidRDefault="00000000">
            <w:r>
              <w:t>Raw Composite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ED0678" w14:textId="77777777" w:rsidR="005A35EB" w:rsidRDefault="00000000">
            <w:r>
              <w:t>7.35</w:t>
            </w:r>
          </w:p>
        </w:tc>
      </w:tr>
      <w:tr w:rsidR="005A35EB" w14:paraId="1F3C2DB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EA9E" w14:textId="77777777" w:rsidR="005A35EB" w:rsidRDefault="00000000">
            <w:r>
              <w:t>RDP Modifier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5936" w14:textId="77777777" w:rsidR="005A35EB" w:rsidRDefault="00000000">
            <w:r>
              <w:t>+0.50</w:t>
            </w:r>
          </w:p>
        </w:tc>
      </w:tr>
      <w:tr w:rsidR="005A35EB" w14:paraId="5775A0F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B332DA" w14:textId="77777777" w:rsidR="005A35EB" w:rsidRDefault="00000000">
            <w:r>
              <w:t>CPP Modifier</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B2BFD2" w14:textId="77777777" w:rsidR="005A35EB" w:rsidRDefault="00000000">
            <w:r>
              <w:t>+1.00</w:t>
            </w:r>
          </w:p>
        </w:tc>
      </w:tr>
      <w:tr w:rsidR="005A35EB" w14:paraId="5FFE46B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AD4773" w14:textId="77777777" w:rsidR="005A35EB" w:rsidRDefault="00000000">
            <w:r>
              <w:t>FINAL COMPOSITE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9ADC32" w14:textId="77777777" w:rsidR="005A35EB" w:rsidRDefault="00000000">
            <w:r>
              <w:t>8.85</w:t>
            </w:r>
          </w:p>
        </w:tc>
      </w:tr>
    </w:tbl>
    <w:p w14:paraId="38EB2761" w14:textId="77777777" w:rsidR="005A35EB" w:rsidRDefault="005A35EB">
      <w:pPr>
        <w:spacing w:after="120"/>
      </w:pPr>
    </w:p>
    <w:p w14:paraId="305292B9" w14:textId="77777777" w:rsidR="005A35EB" w:rsidRDefault="00000000">
      <w:pPr>
        <w:spacing w:after="120"/>
      </w:pPr>
      <w:r>
        <w:rPr>
          <w:b/>
          <w:bCs/>
        </w:rPr>
        <w:t xml:space="preserve">Final Classification: ANTIFRAGILE </w:t>
      </w:r>
      <w:r>
        <w:t>(8.5–10.0 range)</w:t>
      </w:r>
    </w:p>
    <w:p w14:paraId="6AD39EEB" w14:textId="77777777" w:rsidR="005A35EB" w:rsidRDefault="00000000">
      <w:pPr>
        <w:spacing w:after="120"/>
      </w:pPr>
      <w:r>
        <w:t>IBKR is the first company to achieve Antifragile classification under the adapted Fintech Framework. This reflects the convergence of genuinely non-replicable process power (48 years of proprietary automation), institutional client lock-in (API-dependent trading infrastructure), global regulatory licensing (170+ exchange connectivity), and founder-controlled governance (Peterffy ~91.6% of Holdings).</w:t>
      </w:r>
    </w:p>
    <w:p w14:paraId="538483CC" w14:textId="77777777" w:rsidR="005A35EB" w:rsidRDefault="00000000">
      <w:pPr>
        <w:spacing w:after="120"/>
      </w:pPr>
      <w:r>
        <w:t>The Antifragile classification means IBKR’s moats are expected to STRENGTHEN under stress: in market volatility, trading volumes spike (more commission revenue); in competitive pressure, the 77% pretax margin provides enormous pricing flexibility; in AI disruption, institutional clients need MORE infrastructure complexity (IBKR benefits). This is antifragility in the Nassim Taleb sense — the company gains from disorder.</w:t>
      </w:r>
    </w:p>
    <w:p w14:paraId="1DC10EA4" w14:textId="77777777" w:rsidR="005A35EB" w:rsidRDefault="00000000">
      <w:pPr>
        <w:spacing w:after="120"/>
      </w:pPr>
      <w:r>
        <w:rPr>
          <w:b/>
          <w:bCs/>
        </w:rPr>
        <w:t xml:space="preserve">RDP/CPP Profile: Low-Moderate RDP + High CPP. </w:t>
      </w:r>
      <w:r>
        <w:t>No formal regulatory designation but strong practical licensing barrier. Aggressive growth execution while maintaining industry-leading margins. Position size guidance: 3-5%.</w:t>
      </w:r>
    </w:p>
    <w:p w14:paraId="125B61C7" w14:textId="77777777" w:rsidR="005A35EB" w:rsidRDefault="00000000">
      <w:r>
        <w:br w:type="page"/>
      </w:r>
    </w:p>
    <w:p w14:paraId="56C2CB9C" w14:textId="77777777" w:rsidR="005A35EB" w:rsidRDefault="00000000">
      <w:pPr>
        <w:pStyle w:val="Heading1"/>
      </w:pPr>
      <w:r>
        <w:lastRenderedPageBreak/>
        <w:t>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A35EB" w14:paraId="79B0E95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0A01FB" w14:textId="77777777" w:rsidR="005A35EB" w:rsidRDefault="00000000">
            <w:r>
              <w:rPr>
                <w:b/>
                <w:bCs/>
                <w:color w:val="FFFFFF"/>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FAB9A6" w14:textId="77777777" w:rsidR="005A35EB" w:rsidRDefault="00000000">
            <w:r>
              <w:rPr>
                <w:b/>
                <w:bCs/>
                <w:color w:val="FFFFFF"/>
              </w:rPr>
              <w:t>Value</w:t>
            </w:r>
          </w:p>
        </w:tc>
      </w:tr>
      <w:tr w:rsidR="005A35EB" w14:paraId="4B048F9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F5DA13" w14:textId="77777777" w:rsidR="005A35EB" w:rsidRDefault="00000000">
            <w:r>
              <w:t>Current Stock Price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BBC86A" w14:textId="77777777" w:rsidR="005A35EB" w:rsidRDefault="00000000">
            <w:r>
              <w:t>~$67.49</w:t>
            </w:r>
          </w:p>
        </w:tc>
      </w:tr>
      <w:tr w:rsidR="005A35EB" w14:paraId="0C047E5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1163" w14:textId="77777777" w:rsidR="005A35EB" w:rsidRDefault="00000000">
            <w:r>
              <w:t>Market Cap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B6AB" w14:textId="77777777" w:rsidR="005A35EB" w:rsidRDefault="00000000">
            <w:r>
              <w:t>~$30.3B</w:t>
            </w:r>
          </w:p>
        </w:tc>
      </w:tr>
      <w:tr w:rsidR="005A35EB" w14:paraId="08CB3E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6F7645" w14:textId="77777777" w:rsidR="005A35EB" w:rsidRDefault="00000000">
            <w:r>
              <w:t>Forward P/E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19046B" w14:textId="77777777" w:rsidR="005A35EB" w:rsidRDefault="00000000">
            <w:r>
              <w:t>~28x</w:t>
            </w:r>
          </w:p>
        </w:tc>
      </w:tr>
      <w:tr w:rsidR="005A35EB" w14:paraId="20D30A7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8A056" w14:textId="77777777" w:rsidR="005A35EB" w:rsidRDefault="00000000">
            <w:r>
              <w:t>EV/EBITDA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E9BE" w14:textId="77777777" w:rsidR="005A35EB" w:rsidRDefault="00000000">
            <w:r>
              <w:t>~4.8x</w:t>
            </w:r>
          </w:p>
        </w:tc>
      </w:tr>
      <w:tr w:rsidR="005A35EB" w14:paraId="25056D3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448AE2" w14:textId="77777777" w:rsidR="005A35EB" w:rsidRDefault="00000000">
            <w:r>
              <w:t>FY2025 Net Revenues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90E746" w14:textId="77777777" w:rsidR="005A35EB" w:rsidRDefault="00000000">
            <w:r>
              <w:t>$6.2B</w:t>
            </w:r>
          </w:p>
        </w:tc>
      </w:tr>
      <w:tr w:rsidR="005A35EB" w14:paraId="67BBF32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38A2" w14:textId="77777777" w:rsidR="005A35EB" w:rsidRDefault="00000000">
            <w:r>
              <w:t>Pretax Margin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8966" w14:textId="77777777" w:rsidR="005A35EB" w:rsidRDefault="00000000">
            <w:r>
              <w:t>77% (record)</w:t>
            </w:r>
          </w:p>
        </w:tc>
      </w:tr>
      <w:tr w:rsidR="005A35EB" w14:paraId="7679A97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6B3A77" w14:textId="77777777" w:rsidR="005A35EB" w:rsidRDefault="00000000">
            <w:r>
              <w:t>Net Income to Common</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AEBC47" w14:textId="77777777" w:rsidR="005A35EB" w:rsidRDefault="00000000">
            <w:r>
              <w:t>~$984M</w:t>
            </w:r>
          </w:p>
        </w:tc>
      </w:tr>
      <w:tr w:rsidR="005A35EB" w14:paraId="0DBB34A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F501" w14:textId="77777777" w:rsidR="005A35EB" w:rsidRDefault="00000000">
            <w:r>
              <w:t>Firm Equity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040D" w14:textId="77777777" w:rsidR="005A35EB" w:rsidRDefault="00000000">
            <w:r>
              <w:t>&gt;$20B</w:t>
            </w:r>
          </w:p>
        </w:tc>
      </w:tr>
      <w:tr w:rsidR="005A35EB" w14:paraId="4F902E2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DF9A8C" w14:textId="77777777" w:rsidR="005A35EB" w:rsidRDefault="00000000">
            <w:r>
              <w:t>S&amp;P 500 Member Since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38C952" w14:textId="77777777" w:rsidR="005A35EB" w:rsidRDefault="00000000">
            <w:r>
              <w:t>August 2025</w:t>
            </w:r>
          </w:p>
        </w:tc>
      </w:tr>
      <w:tr w:rsidR="005A35EB" w14:paraId="007DFD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83096" w14:textId="77777777" w:rsidR="005A35EB" w:rsidRDefault="00000000">
            <w:r>
              <w:t>Analyst Consensus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EC32" w14:textId="77777777" w:rsidR="005A35EB" w:rsidRDefault="00000000">
            <w:r>
              <w:t>Strong Buy</w:t>
            </w:r>
          </w:p>
        </w:tc>
      </w:tr>
    </w:tbl>
    <w:p w14:paraId="7C7C8271" w14:textId="77777777" w:rsidR="005A35EB" w:rsidRDefault="005A35EB">
      <w:pPr>
        <w:spacing w:after="120"/>
      </w:pPr>
    </w:p>
    <w:p w14:paraId="4FA52522" w14:textId="77777777" w:rsidR="005A35EB" w:rsidRDefault="00000000">
      <w:pPr>
        <w:spacing w:before="200" w:after="120"/>
      </w:pPr>
      <w:r>
        <w:rPr>
          <w:b/>
          <w:bCs/>
          <w:color w:val="3A7CA5"/>
          <w:sz w:val="22"/>
          <w:szCs w:val="22"/>
        </w:rPr>
        <w:t>Valuation Assessment</w:t>
      </w:r>
    </w:p>
    <w:p w14:paraId="0D8E66F1" w14:textId="77777777" w:rsidR="005A35EB" w:rsidRDefault="00000000">
      <w:pPr>
        <w:spacing w:after="120"/>
      </w:pPr>
      <w:r>
        <w:t>IBKR trades at a forward P/E of approximately 28x, which is elevated for a financial services company but reasonable for a technology-driven compounder with 77% pretax margins, 32% account growth, and 37% client equity growth. The low EV/EBITDA of 4.8x reflects the financial services industry classification and the high-quality NII stream.</w:t>
      </w:r>
    </w:p>
    <w:p w14:paraId="2B0FDA02" w14:textId="77777777" w:rsidR="005A35EB" w:rsidRDefault="00000000">
      <w:pPr>
        <w:spacing w:after="120"/>
      </w:pPr>
      <w:r>
        <w:t>Critical context: IBKR’s P/E appears high because only ~26.3% of the economic interest flows to Class A shareholders (the publicly traded stock). Thomas Peterffy and his affiliates own 73.7% of the economics through IBG Holdings LLC. This ownership structure means the market cap understates the company’s true enterprise value. The EV/EBITDA of 4.8x is a more accurate valuation measure and is quite reasonable for a business of this quality.</w:t>
      </w:r>
    </w:p>
    <w:p w14:paraId="1A2B49E2" w14:textId="77777777" w:rsidR="005A35EB" w:rsidRDefault="00000000">
      <w:pPr>
        <w:spacing w:after="120"/>
      </w:pPr>
      <w:r>
        <w:t>The reverse DCF implies: At $67.49 and ~$984M net income to common shareholders, the market prices in approximately 10-15% earnings growth for the next 3-5 years. Given IBKR’s track record (32% account growth, 37% equity growth, record margins), this is a reasonable-to-conservative expectation. The valuation does NOT price in perfection — it leaves room for upside if global account growth continues accelerating.</w:t>
      </w:r>
    </w:p>
    <w:p w14:paraId="09BE1DB3" w14:textId="77777777" w:rsidR="005A35EB" w:rsidRDefault="00000000">
      <w:pPr>
        <w:spacing w:after="120"/>
      </w:pPr>
      <w:r>
        <w:rPr>
          <w:b/>
          <w:bCs/>
        </w:rPr>
        <w:t xml:space="preserve">Valuation Gate: PASS. </w:t>
      </w:r>
      <w:r>
        <w:t>The valuation is reasonable relative to the quality of the business. At 28x forward P/E (or 4.8x EV/EBITDA), IBKR is cheaper than many lower-quality growth stocks while delivering superior margins, growth, and founder alignment. The ownership structure creates a valuation anomaly that benefits Class A shareholders as the economic interest gradually shifts through dilution/buybacks over decades.</w:t>
      </w:r>
    </w:p>
    <w:p w14:paraId="5D861126" w14:textId="77777777" w:rsidR="005A35EB" w:rsidRDefault="00000000">
      <w:r>
        <w:br w:type="page"/>
      </w:r>
    </w:p>
    <w:p w14:paraId="7B4CD6B0" w14:textId="77777777" w:rsidR="005A35EB" w:rsidRDefault="00000000">
      <w:pPr>
        <w:pStyle w:val="Heading1"/>
      </w:pPr>
      <w:r>
        <w:lastRenderedPageBreak/>
        <w:t>SCENARIO MODELING</w:t>
      </w:r>
    </w:p>
    <w:p w14:paraId="4DD50FC1" w14:textId="77777777" w:rsidR="005A35EB" w:rsidRDefault="00000000">
      <w:pPr>
        <w:pStyle w:val="Heading2"/>
      </w:pPr>
      <w:r>
        <w:t xml:space="preserve">Bull Case (Global Fintech </w:t>
      </w:r>
      <w:proofErr w:type="gramStart"/>
      <w:r>
        <w:t>Dominance) —</w:t>
      </w:r>
      <w:proofErr w:type="gramEnd"/>
      <w:r>
        <w:t xml:space="preserve"> 30% Probability</w:t>
      </w:r>
    </w:p>
    <w:p w14:paraId="01CA35A9" w14:textId="77777777" w:rsidR="005A35EB" w:rsidRDefault="00000000">
      <w:pPr>
        <w:spacing w:after="120"/>
      </w:pPr>
      <w:r>
        <w:t xml:space="preserve">IBKR </w:t>
      </w:r>
      <w:proofErr w:type="gramStart"/>
      <w:r>
        <w:t>becomes</w:t>
      </w:r>
      <w:proofErr w:type="gramEnd"/>
      <w:r>
        <w:t xml:space="preserve"> the default global brokerage platform for the AI trading era. Account growth accelerates to 40%+ as international retail and institutional adoption expands. Client equity reaches $1.5T by 2028. AI-driven trading volumes increase commission revenue. NII remains robust as margin lending grows faster than rate cuts. Pretax margins hold at 75%+. Revenue reaches $9-10B by 2028 (net revenues). Stock re-rates to $100-120.</w:t>
      </w:r>
    </w:p>
    <w:p w14:paraId="45794001" w14:textId="77777777" w:rsidR="005A35EB" w:rsidRDefault="00000000">
      <w:pPr>
        <w:spacing w:after="120"/>
      </w:pPr>
      <w:r>
        <w:rPr>
          <w:b/>
          <w:bCs/>
        </w:rPr>
        <w:t xml:space="preserve">What must be true: </w:t>
      </w:r>
      <w:r>
        <w:t>Global account growth sustains 25%+, AI/algo trading proliferation drives volumes, rate cuts are gradual not aggressive, Peterffy succession is handled smoothly.</w:t>
      </w:r>
    </w:p>
    <w:p w14:paraId="57993544" w14:textId="77777777" w:rsidR="005A35EB" w:rsidRDefault="00000000">
      <w:pPr>
        <w:pStyle w:val="Heading2"/>
      </w:pPr>
      <w:r>
        <w:t xml:space="preserve">Base Case (Steady </w:t>
      </w:r>
      <w:proofErr w:type="gramStart"/>
      <w:r>
        <w:t>Compounding) —</w:t>
      </w:r>
      <w:proofErr w:type="gramEnd"/>
      <w:r>
        <w:t xml:space="preserve"> 50% Probability</w:t>
      </w:r>
    </w:p>
    <w:p w14:paraId="2B9D4673" w14:textId="77777777" w:rsidR="005A35EB" w:rsidRDefault="00000000">
      <w:pPr>
        <w:spacing w:after="120"/>
      </w:pPr>
      <w:r>
        <w:t>Account growth moderates to 15-20% as the base grows larger. Client equity reaches $1.1-1.2T by 2028. NII moderates with rate cuts but is offset by growing margin loan balances. Commission revenue grows 10-15% annually. Pretax margins stable at 72-77%. Revenue reaches $7.5-8.5B by 2028. Stock trades in $75-95 range.</w:t>
      </w:r>
    </w:p>
    <w:p w14:paraId="4BA46DF6" w14:textId="77777777" w:rsidR="005A35EB" w:rsidRDefault="00000000">
      <w:pPr>
        <w:spacing w:after="120"/>
      </w:pPr>
      <w:r>
        <w:rPr>
          <w:b/>
          <w:bCs/>
        </w:rPr>
        <w:t xml:space="preserve">What must be true: </w:t>
      </w:r>
      <w:r>
        <w:t>No aggressive rate-cutting cycle, competitive position maintained, international expansion continues, Peterffy remains engaged or succession is smooth.</w:t>
      </w:r>
    </w:p>
    <w:p w14:paraId="7E1B5B71" w14:textId="77777777" w:rsidR="005A35EB" w:rsidRDefault="00000000">
      <w:pPr>
        <w:pStyle w:val="Heading2"/>
      </w:pPr>
      <w:r>
        <w:t>Bear Case (Rate Shock + Succession Crisis</w:t>
      </w:r>
      <w:proofErr w:type="gramStart"/>
      <w:r>
        <w:t>) — 20</w:t>
      </w:r>
      <w:proofErr w:type="gramEnd"/>
      <w:r>
        <w:t>% Probability</w:t>
      </w:r>
    </w:p>
    <w:p w14:paraId="7A8FFF86" w14:textId="77777777" w:rsidR="005A35EB" w:rsidRDefault="00000000">
      <w:pPr>
        <w:spacing w:after="120"/>
      </w:pPr>
      <w:r>
        <w:t xml:space="preserve">Fed </w:t>
      </w:r>
      <w:proofErr w:type="gramStart"/>
      <w:r>
        <w:t>cuts</w:t>
      </w:r>
      <w:proofErr w:type="gramEnd"/>
      <w:r>
        <w:t xml:space="preserve"> rates aggressively (300bps+), compressing NII by 25-30%. Simultaneously, Thomas Peterffy’s health or retirement creates leadership uncertainty. Trading volumes normalize after 2024-2025 bull market. Account growth slows to 10%. Client equity stagnates at $800-900B. Revenue contracts to $5-5.5B. Pretax margins compress to 65-70%. Stock drops to $45-55.</w:t>
      </w:r>
    </w:p>
    <w:p w14:paraId="014AB317" w14:textId="77777777" w:rsidR="005A35EB" w:rsidRDefault="00000000">
      <w:pPr>
        <w:spacing w:after="120"/>
      </w:pPr>
      <w:r>
        <w:rPr>
          <w:b/>
          <w:bCs/>
        </w:rPr>
        <w:t xml:space="preserve">What must be true: </w:t>
      </w:r>
      <w:r>
        <w:t>Deep rate-cutting cycle, Peterffy exit without clear successor, prolonged market bear cycle reducing both trading volumes and AUC.</w:t>
      </w:r>
    </w:p>
    <w:p w14:paraId="29C53320" w14:textId="77777777" w:rsidR="005A35EB" w:rsidRDefault="00000000">
      <w:pPr>
        <w:spacing w:before="200" w:after="120"/>
      </w:pPr>
      <w:r>
        <w:rPr>
          <w:b/>
          <w:bCs/>
          <w:color w:val="3A7CA5"/>
          <w:sz w:val="22"/>
          <w:szCs w:val="22"/>
        </w:rPr>
        <w:t>Probability-Weighted Expected Value</w:t>
      </w:r>
    </w:p>
    <w:p w14:paraId="0D472E31" w14:textId="77777777" w:rsidR="005A35EB" w:rsidRDefault="00000000">
      <w:pPr>
        <w:spacing w:after="120"/>
      </w:pPr>
      <w:r>
        <w:t>Bull: 30% × $110 = $33.00</w:t>
      </w:r>
    </w:p>
    <w:p w14:paraId="7EC3CB6D" w14:textId="77777777" w:rsidR="005A35EB" w:rsidRDefault="00000000">
      <w:pPr>
        <w:spacing w:after="120"/>
      </w:pPr>
      <w:r>
        <w:t>Base: 50% × $85 = $42.50</w:t>
      </w:r>
    </w:p>
    <w:p w14:paraId="386010F1" w14:textId="77777777" w:rsidR="005A35EB" w:rsidRDefault="00000000">
      <w:pPr>
        <w:spacing w:after="120"/>
      </w:pPr>
      <w:r>
        <w:t>Bear: 20% × $50 = $10.00</w:t>
      </w:r>
    </w:p>
    <w:p w14:paraId="5876C4D7" w14:textId="77777777" w:rsidR="005A35EB" w:rsidRDefault="00000000">
      <w:pPr>
        <w:spacing w:after="120"/>
      </w:pPr>
      <w:r>
        <w:rPr>
          <w:b/>
          <w:bCs/>
        </w:rPr>
        <w:t xml:space="preserve">Probability-Weighted Target: $85.50 </w:t>
      </w:r>
      <w:r>
        <w:t>(— implied upside of ~27% from $67.49)</w:t>
      </w:r>
    </w:p>
    <w:p w14:paraId="5F6A5D65" w14:textId="77777777" w:rsidR="005A35EB" w:rsidRDefault="00000000">
      <w:r>
        <w:br w:type="page"/>
      </w:r>
    </w:p>
    <w:p w14:paraId="0E8DDE1C" w14:textId="77777777" w:rsidR="005A35EB" w:rsidRDefault="00000000">
      <w:pPr>
        <w:pStyle w:val="Heading1"/>
      </w:pPr>
      <w:r>
        <w:lastRenderedPageBreak/>
        <w:t>BEAR CASE STEELMAN</w:t>
      </w:r>
    </w:p>
    <w:p w14:paraId="738E99A8" w14:textId="77777777" w:rsidR="005A35EB" w:rsidRDefault="00000000">
      <w:pPr>
        <w:spacing w:after="120"/>
      </w:pPr>
      <w:r>
        <w:t>1. Thomas Peterffy Succession Is an Existential Risk. Thomas Peterffy is 81 years old and controls 91.6% of IBG Holdings. He IS the company’s culture, strategy, and competitive advantage. His compensation philosophy (low headcount, extreme automation) drives the 77% margin. If Peterffy steps back or his health declines, the next generation of management may not maintain the same discipline. Every founder-driven company faces this risk, but IBKR’s concentration of control makes it uniquely severe. There is no obvious successor who embodies the same engineering-first, cost-obsessed mentality.</w:t>
      </w:r>
    </w:p>
    <w:p w14:paraId="40A9B8CB" w14:textId="77777777" w:rsidR="005A35EB" w:rsidRDefault="00000000">
      <w:pPr>
        <w:spacing w:after="120"/>
      </w:pPr>
      <w:r>
        <w:t>2. NII Vulnerability Is Understated. 58% of net revenue comes from NII. In a severe rate-cutting cycle (Fed funds rate to 2% or below), NII could contract by 30-40%, which would translate to a 17-23% decline in total net revenue with no offsetting cost reduction. The 2024-2025 period was unusually favorable for NII (high rates + growing balances). This tailwind WILL reverse. The question is severity and timing.</w:t>
      </w:r>
    </w:p>
    <w:p w14:paraId="4A2319D7" w14:textId="77777777" w:rsidR="005A35EB" w:rsidRDefault="00000000">
      <w:pPr>
        <w:spacing w:after="120"/>
      </w:pPr>
      <w:r>
        <w:t>3. The Valuation Embeds a Dual-Class Premium That May Not Persist. IBKR trades at 28x forward P/E, which seems reasonable until you realize that only 26.3% of the economics flow to public shareholders. The implied full-company P/E is much lower, but public shareholders are buying a minority economic interest in a founder-controlled entity. If institutional investors become less tolerant of dual-class structures (a trend that is accelerating), the stock could face structural selling pressure.</w:t>
      </w:r>
    </w:p>
    <w:p w14:paraId="3FA31BA1" w14:textId="77777777" w:rsidR="005A35EB" w:rsidRDefault="00000000">
      <w:pPr>
        <w:spacing w:after="120"/>
      </w:pPr>
      <w:r>
        <w:t xml:space="preserve">4. The Retail Push May Dilute Quality. IBKR’s 1M+ net new accounts in 2025 were disproportionately retail/IBKR Lite users who generate lower revenue per account and have lower switching costs. If this trend continues, the institutional client quality that drives the moat could be diluted by a growing tail of low-value, </w:t>
      </w:r>
      <w:proofErr w:type="gramStart"/>
      <w:r>
        <w:t>easily-churnable</w:t>
      </w:r>
      <w:proofErr w:type="gramEnd"/>
      <w:r>
        <w:t xml:space="preserve"> retail accounts. The 77% margin could mask a deteriorating client mix for years before it becomes visible.</w:t>
      </w:r>
    </w:p>
    <w:p w14:paraId="6F67D71D" w14:textId="77777777" w:rsidR="005A35EB" w:rsidRDefault="00000000">
      <w:pPr>
        <w:spacing w:after="120"/>
      </w:pPr>
      <w:r>
        <w:t>5. Regulatory Risk Is Global and Unpredictable. Operating in 33 countries means exposure to regulatory changes in every major jurisdiction. A single adverse regulatory action (e.g., new capital requirements in the EU, restriction on US securities access for foreign investors, crypto trading bans in key markets) could impact a meaningful portion of the business. The global footprint is a moat but also a surface area for regulatory risk.</w:t>
      </w:r>
    </w:p>
    <w:p w14:paraId="7DB45563" w14:textId="77777777" w:rsidR="005A35EB" w:rsidRDefault="00000000">
      <w:pPr>
        <w:spacing w:after="120"/>
      </w:pPr>
      <w:r>
        <w:rPr>
          <w:b/>
          <w:bCs/>
        </w:rPr>
        <w:t xml:space="preserve">What would have to be true for the bear case to play out? </w:t>
      </w:r>
      <w:r>
        <w:t>Peterffy steps back within 2 years without a clear succession plan, the Fed cuts rates below 2.5%, and account growth increasingly shifts to low-value retail. All three happening simultaneously would compress the business from both revenue and quality dimensions.</w:t>
      </w:r>
    </w:p>
    <w:p w14:paraId="0A3CBFDD" w14:textId="77777777" w:rsidR="005A35EB" w:rsidRDefault="00000000">
      <w:pPr>
        <w:spacing w:after="120"/>
      </w:pPr>
      <w:r>
        <w:rPr>
          <w:b/>
          <w:bCs/>
        </w:rPr>
        <w:t xml:space="preserve">How would you know if the bear case is winning? </w:t>
      </w:r>
      <w:r>
        <w:t>Watch for: (1) Peterffy health/succession announcements, (2) NIM compression below 1.8%, (3) pretax margin declining below 70% for two consecutive quarters, (4) ARPU declining as retail accounts dilute the mix.</w:t>
      </w:r>
    </w:p>
    <w:p w14:paraId="57992F5D" w14:textId="77777777" w:rsidR="005A35EB" w:rsidRDefault="00000000">
      <w:r>
        <w:br w:type="page"/>
      </w:r>
    </w:p>
    <w:p w14:paraId="2ABAF7D3" w14:textId="77777777" w:rsidR="005A35EB" w:rsidRDefault="00000000">
      <w:pPr>
        <w:pStyle w:val="Heading1"/>
      </w:pPr>
      <w:r>
        <w:lastRenderedPageBreak/>
        <w:t>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A35EB" w14:paraId="2D46445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C228DA" w14:textId="77777777" w:rsidR="005A35EB" w:rsidRDefault="005A35EB"/>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A60CCF" w14:textId="77777777" w:rsidR="005A35EB" w:rsidRDefault="005A35EB"/>
        </w:tc>
      </w:tr>
      <w:tr w:rsidR="005A35EB" w14:paraId="3F2775F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B83057" w14:textId="77777777" w:rsidR="005A35EB" w:rsidRDefault="00000000">
            <w:r>
              <w:rPr>
                <w:b/>
                <w:bCs/>
              </w:rPr>
              <w:t>Company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237409" w14:textId="77777777" w:rsidR="005A35EB" w:rsidRDefault="00000000">
            <w:r>
              <w:t>Interactive Brokers Group (IBKR)</w:t>
            </w:r>
          </w:p>
        </w:tc>
      </w:tr>
      <w:tr w:rsidR="005A35EB" w14:paraId="38E4E2B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E98F" w14:textId="77777777" w:rsidR="005A35EB" w:rsidRDefault="00000000">
            <w:r>
              <w:rPr>
                <w:b/>
                <w:bCs/>
              </w:rPr>
              <w:t>Final Composite Score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08CF" w14:textId="77777777" w:rsidR="005A35EB" w:rsidRDefault="00000000">
            <w:r>
              <w:t>8.85 / 10</w:t>
            </w:r>
          </w:p>
        </w:tc>
      </w:tr>
      <w:tr w:rsidR="005A35EB" w14:paraId="7462899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D94C95" w14:textId="77777777" w:rsidR="005A35EB" w:rsidRDefault="00000000">
            <w:r>
              <w:rPr>
                <w:b/>
                <w:bCs/>
              </w:rPr>
              <w:t>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5BD762" w14:textId="77777777" w:rsidR="005A35EB" w:rsidRDefault="00000000">
            <w:r>
              <w:t>ANTIFRAGILE</w:t>
            </w:r>
          </w:p>
        </w:tc>
      </w:tr>
      <w:tr w:rsidR="005A35EB" w14:paraId="64FD913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4306" w14:textId="77777777" w:rsidR="005A35EB" w:rsidRDefault="00000000">
            <w:r>
              <w:rPr>
                <w:b/>
                <w:bCs/>
              </w:rPr>
              <w:t>Valuation Gate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601BD" w14:textId="77777777" w:rsidR="005A35EB" w:rsidRDefault="00000000">
            <w:r>
              <w:t>PASS</w:t>
            </w:r>
          </w:p>
        </w:tc>
      </w:tr>
      <w:tr w:rsidR="005A35EB" w14:paraId="49322C7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B8EEDA" w14:textId="77777777" w:rsidR="005A35EB" w:rsidRDefault="00000000">
            <w:r>
              <w:rPr>
                <w:b/>
                <w:bCs/>
              </w:rPr>
              <w:t>Prob-Weighted Upside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B01569" w14:textId="77777777" w:rsidR="005A35EB" w:rsidRDefault="00000000">
            <w:r>
              <w:t>+27% ($85.50 target)</w:t>
            </w:r>
          </w:p>
        </w:tc>
      </w:tr>
      <w:tr w:rsidR="005A35EB" w14:paraId="5315522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1C554" w14:textId="77777777" w:rsidR="005A35EB" w:rsidRDefault="00000000">
            <w:r>
              <w:rPr>
                <w:b/>
                <w:bCs/>
              </w:rPr>
              <w:t>RDP/CPP Profile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DC0B" w14:textId="77777777" w:rsidR="005A35EB" w:rsidRDefault="00000000">
            <w:r>
              <w:t>Low-Mod RDP / High CPP</w:t>
            </w:r>
          </w:p>
        </w:tc>
      </w:tr>
    </w:tbl>
    <w:p w14:paraId="73FCCEC5" w14:textId="77777777" w:rsidR="005A35EB" w:rsidRDefault="005A35EB">
      <w:pPr>
        <w:spacing w:after="120"/>
      </w:pPr>
    </w:p>
    <w:p w14:paraId="44955566" w14:textId="77777777" w:rsidR="005A35EB" w:rsidRDefault="00000000">
      <w:pPr>
        <w:spacing w:after="120"/>
      </w:pPr>
      <w:r>
        <w:rPr>
          <w:b/>
          <w:bCs/>
        </w:rPr>
        <w:t>VERDICT: COMPOUNDER — Full Position (3-5%) at Current Levels</w:t>
      </w:r>
    </w:p>
    <w:p w14:paraId="2FFA1162" w14:textId="77777777" w:rsidR="005A35EB" w:rsidRDefault="00000000">
      <w:pPr>
        <w:spacing w:after="120"/>
      </w:pPr>
      <w:r>
        <w:t xml:space="preserve">Interactive Brokers is </w:t>
      </w:r>
      <w:proofErr w:type="gramStart"/>
      <w:r>
        <w:t>the</w:t>
      </w:r>
      <w:proofErr w:type="gramEnd"/>
      <w:r>
        <w:t xml:space="preserve"> rare company that achieves Antifragile classification under the adapted framework. Its competitive advantages are genuine, durable, and strengthening: 48 years of proprietary automation (process power), institutional client lock-in (API dependency), global regulatory licensing (170+ exchange connectivity), and founder-controlled governance (Peterffy alignment). The 77% pretax margin is the ultimate proof — no competitor has come within 20 percentage points of replicating this efficiency.</w:t>
      </w:r>
    </w:p>
    <w:p w14:paraId="2779A296" w14:textId="77777777" w:rsidR="005A35EB" w:rsidRDefault="00000000">
      <w:pPr>
        <w:spacing w:after="120"/>
      </w:pPr>
      <w:r>
        <w:t>The valuation at 28x forward P/E (4.8x EV/EBITDA) is reasonable for a business of this quality. The dual-class structure means public shareholders own a minority economic interest, but the ownership structure also ensures founder alignment and long-term capital allocation discipline. The probability-weighted expected return of +27% is compelling for a business with Antifragile moats.</w:t>
      </w:r>
    </w:p>
    <w:p w14:paraId="005F2100" w14:textId="77777777" w:rsidR="005A35EB" w:rsidRDefault="00000000">
      <w:pPr>
        <w:spacing w:after="120"/>
      </w:pPr>
      <w:r>
        <w:rPr>
          <w:b/>
          <w:bCs/>
        </w:rPr>
        <w:t xml:space="preserve">Recommended Action: </w:t>
      </w:r>
      <w:r>
        <w:t>Full position (3-5%) with a plan to add aggressively on pullbacks below $55 (meaningful compression from rate shock or succession fears). The Peterffy succession risk is the single most important monitoring variable. If Peterffy announces retirement or health issues without a clear successor, reduce position to 2% and reassess.</w:t>
      </w:r>
    </w:p>
    <w:p w14:paraId="5C819B92" w14:textId="77777777" w:rsidR="005A35EB" w:rsidRDefault="00000000">
      <w:pPr>
        <w:spacing w:after="120"/>
      </w:pPr>
      <w:r>
        <w:rPr>
          <w:b/>
          <w:bCs/>
        </w:rPr>
        <w:t xml:space="preserve">Conviction Level: High. </w:t>
      </w:r>
      <w:r>
        <w:t>IBKR’s moats are structural and compounding. This is a 48-year compounder that is still accelerating. The market does not fully appreciate the durability of the process power moat or the magnitude of the global opportunity.</w:t>
      </w:r>
    </w:p>
    <w:p w14:paraId="733A0E13" w14:textId="77777777" w:rsidR="005A35EB" w:rsidRDefault="00000000">
      <w:r>
        <w:br w:type="page"/>
      </w:r>
    </w:p>
    <w:p w14:paraId="153AD58F" w14:textId="77777777" w:rsidR="005A35EB" w:rsidRDefault="00000000">
      <w:pPr>
        <w:pStyle w:val="Heading1"/>
      </w:pPr>
      <w:r>
        <w:lastRenderedPageBreak/>
        <w:t>COMPARATIVE ANALYSIS: IBKR vs. HOOD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A35EB" w14:paraId="56DF20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1F7CBC" w14:textId="77777777" w:rsidR="005A35EB" w:rsidRDefault="00000000">
            <w:r>
              <w:rPr>
                <w:b/>
                <w:bCs/>
                <w:color w:val="FFFFFF"/>
              </w:rPr>
              <w:t>Dimension</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00EB1A" w14:textId="77777777" w:rsidR="005A35EB" w:rsidRDefault="00000000">
            <w:r>
              <w:rPr>
                <w:b/>
                <w:bCs/>
                <w:color w:val="FFFFFF"/>
              </w:rPr>
              <w:t>IBKR</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47FDC5" w14:textId="77777777" w:rsidR="005A35EB" w:rsidRDefault="00000000">
            <w:r>
              <w:rPr>
                <w:b/>
                <w:bCs/>
                <w:color w:val="FFFFFF"/>
              </w:rPr>
              <w:t>HOOD</w:t>
            </w:r>
          </w:p>
        </w:tc>
      </w:tr>
      <w:tr w:rsidR="005A35EB" w14:paraId="099E2D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E7B4A4" w14:textId="77777777" w:rsidR="005A35EB" w:rsidRDefault="00000000">
            <w:r>
              <w:rPr>
                <w:b/>
                <w:bCs/>
              </w:rPr>
              <w:t>D1: Regulatory</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09E306" w14:textId="77777777" w:rsidR="005A35EB" w:rsidRDefault="00000000">
            <w:r>
              <w:t>6 / 10 (global)</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574927" w14:textId="77777777" w:rsidR="005A35EB" w:rsidRDefault="00000000">
            <w:r>
              <w:t>4 / 10 (US only)</w:t>
            </w:r>
          </w:p>
        </w:tc>
      </w:tr>
      <w:tr w:rsidR="005A35EB" w14:paraId="5633A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6A37" w14:textId="77777777" w:rsidR="005A35EB" w:rsidRDefault="00000000">
            <w:r>
              <w:rPr>
                <w:b/>
                <w:bCs/>
              </w:rPr>
              <w:t>D2: Stickiness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71A8" w14:textId="77777777" w:rsidR="005A35EB" w:rsidRDefault="00000000">
            <w:r>
              <w:t>8 / 10 (institutional)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2447" w14:textId="77777777" w:rsidR="005A35EB" w:rsidRDefault="00000000">
            <w:r>
              <w:t>6 / 10 (retail)</w:t>
            </w:r>
          </w:p>
        </w:tc>
      </w:tr>
      <w:tr w:rsidR="005A35EB" w14:paraId="777A5A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A86006" w14:textId="77777777" w:rsidR="005A35EB" w:rsidRDefault="00000000">
            <w:r>
              <w:rPr>
                <w:b/>
                <w:bCs/>
              </w:rPr>
              <w:t>D3: AI</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78735C" w14:textId="77777777" w:rsidR="005A35EB" w:rsidRDefault="00000000">
            <w:r>
              <w:t>7 / 10 (infrastructure)</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EE7E91" w14:textId="77777777" w:rsidR="005A35EB" w:rsidRDefault="00000000">
            <w:r>
              <w:t>7 / 10 (Cortex)</w:t>
            </w:r>
          </w:p>
        </w:tc>
      </w:tr>
      <w:tr w:rsidR="005A35EB" w14:paraId="7FE85C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8ADA" w14:textId="77777777" w:rsidR="005A35EB" w:rsidRDefault="00000000">
            <w:r>
              <w:rPr>
                <w:b/>
                <w:bCs/>
              </w:rPr>
              <w:t>D4: Market Structure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B8DDC" w14:textId="77777777" w:rsidR="005A35EB" w:rsidRDefault="00000000">
            <w:r>
              <w:t>8 / 10 (unique niche)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0166" w14:textId="77777777" w:rsidR="005A35EB" w:rsidRDefault="00000000">
            <w:r>
              <w:t>6 / 10 (competitive)</w:t>
            </w:r>
          </w:p>
        </w:tc>
      </w:tr>
      <w:tr w:rsidR="005A35EB" w14:paraId="546E7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3842A6" w14:textId="77777777" w:rsidR="005A35EB" w:rsidRDefault="00000000">
            <w:r>
              <w:rPr>
                <w:b/>
                <w:bCs/>
              </w:rPr>
              <w:t>Raw Composite</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61A010" w14:textId="77777777" w:rsidR="005A35EB" w:rsidRDefault="00000000">
            <w:r>
              <w:t>7.35</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4663C7" w14:textId="77777777" w:rsidR="005A35EB" w:rsidRDefault="00000000">
            <w:r>
              <w:t>5.85</w:t>
            </w:r>
          </w:p>
        </w:tc>
      </w:tr>
      <w:tr w:rsidR="005A35EB" w14:paraId="023B86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B1FC" w14:textId="77777777" w:rsidR="005A35EB" w:rsidRDefault="00000000">
            <w:r>
              <w:rPr>
                <w:b/>
                <w:bCs/>
              </w:rPr>
              <w:t>RDP Modifier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CD05" w14:textId="77777777" w:rsidR="005A35EB" w:rsidRDefault="00000000">
            <w:r>
              <w:t>+0.50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2DC55" w14:textId="77777777" w:rsidR="005A35EB" w:rsidRDefault="00000000">
            <w:r>
              <w:t>+0.00</w:t>
            </w:r>
          </w:p>
        </w:tc>
      </w:tr>
      <w:tr w:rsidR="005A35EB" w14:paraId="265E97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A2580D" w14:textId="77777777" w:rsidR="005A35EB" w:rsidRDefault="00000000">
            <w:r>
              <w:rPr>
                <w:b/>
                <w:bCs/>
              </w:rPr>
              <w:t>CPP Modifier</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18B5E1" w14:textId="77777777" w:rsidR="005A35EB" w:rsidRDefault="00000000">
            <w:r>
              <w:t>+1.00</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064A55" w14:textId="77777777" w:rsidR="005A35EB" w:rsidRDefault="00000000">
            <w:r>
              <w:t>+1.25</w:t>
            </w:r>
          </w:p>
        </w:tc>
      </w:tr>
      <w:tr w:rsidR="005A35EB" w14:paraId="5A825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ED271B" w14:textId="77777777" w:rsidR="005A35EB" w:rsidRDefault="00000000">
            <w:r>
              <w:rPr>
                <w:b/>
                <w:bCs/>
              </w:rPr>
              <w:t>FINAL SCORE</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020230" w14:textId="77777777" w:rsidR="005A35EB" w:rsidRDefault="00000000">
            <w:r>
              <w:t>8.85 — ANTIFRAGILE</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1ABAEF" w14:textId="77777777" w:rsidR="005A35EB" w:rsidRDefault="00000000">
            <w:r>
              <w:t>7.10 — ROBUST</w:t>
            </w:r>
          </w:p>
        </w:tc>
      </w:tr>
      <w:tr w:rsidR="005A35EB" w14:paraId="5326AA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C7B5" w14:textId="77777777" w:rsidR="005A35EB" w:rsidRDefault="00000000">
            <w:r>
              <w:rPr>
                <w:b/>
                <w:bCs/>
              </w:rPr>
              <w:t>Verdict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5202" w14:textId="77777777" w:rsidR="005A35EB" w:rsidRDefault="00000000">
            <w:r>
              <w:t>COMPOUNDER (3-5%)</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D5BF" w14:textId="77777777" w:rsidR="005A35EB" w:rsidRDefault="00000000">
            <w:r>
              <w:t>QUALITY HOLD (1-2%)</w:t>
            </w:r>
          </w:p>
        </w:tc>
      </w:tr>
      <w:tr w:rsidR="005A35EB" w14:paraId="082396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6D66DE" w14:textId="77777777" w:rsidR="005A35EB" w:rsidRDefault="00000000">
            <w:r>
              <w:rPr>
                <w:b/>
                <w:bCs/>
              </w:rPr>
              <w:t>Pretax Margin</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100DD8" w14:textId="77777777" w:rsidR="005A35EB" w:rsidRDefault="00000000">
            <w:r>
              <w:t>77%</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EFDDFA" w14:textId="77777777" w:rsidR="005A35EB" w:rsidRDefault="00000000">
            <w:r>
              <w:t>~42% pretax</w:t>
            </w:r>
          </w:p>
        </w:tc>
      </w:tr>
      <w:tr w:rsidR="005A35EB" w14:paraId="7756F1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9F1C" w14:textId="77777777" w:rsidR="005A35EB" w:rsidRDefault="00000000">
            <w:r>
              <w:rPr>
                <w:b/>
                <w:bCs/>
              </w:rPr>
              <w:t>Client Assets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D5D5" w14:textId="77777777" w:rsidR="005A35EB" w:rsidRDefault="00000000">
            <w:r>
              <w:t>$780B</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0BFE" w14:textId="77777777" w:rsidR="005A35EB" w:rsidRDefault="00000000">
            <w:r>
              <w:t>$324B</w:t>
            </w:r>
          </w:p>
        </w:tc>
      </w:tr>
      <w:tr w:rsidR="005A35EB" w14:paraId="30F567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73211C" w14:textId="77777777" w:rsidR="005A35EB" w:rsidRDefault="00000000">
            <w:r>
              <w:rPr>
                <w:b/>
                <w:bCs/>
              </w:rPr>
              <w:t>Insider Alignment</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CA13CD" w14:textId="77777777" w:rsidR="005A35EB" w:rsidRDefault="00000000">
            <w:r>
              <w:t>91.6% control (founder)</w:t>
            </w:r>
          </w:p>
        </w:tc>
        <w:tc>
          <w:tcPr>
            <w:tcW w:w="3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667723" w14:textId="77777777" w:rsidR="005A35EB" w:rsidRDefault="00000000">
            <w:r>
              <w:t>1.3% economic</w:t>
            </w:r>
          </w:p>
        </w:tc>
      </w:tr>
      <w:tr w:rsidR="005A35EB" w14:paraId="3C67B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DDEE" w14:textId="77777777" w:rsidR="005A35EB" w:rsidRDefault="00000000">
            <w:r>
              <w:rPr>
                <w:b/>
                <w:bCs/>
              </w:rPr>
              <w:t>Key Risk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E428" w14:textId="77777777" w:rsidR="005A35EB" w:rsidRDefault="00000000">
            <w:r>
              <w:t>Peterffy succession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8D33" w14:textId="77777777" w:rsidR="005A35EB" w:rsidRDefault="00000000">
            <w:r>
              <w:t>Crypto cyclicality</w:t>
            </w:r>
          </w:p>
        </w:tc>
      </w:tr>
    </w:tbl>
    <w:p w14:paraId="733CF3F2" w14:textId="77777777" w:rsidR="005A35EB" w:rsidRDefault="005A35EB">
      <w:pPr>
        <w:spacing w:after="120"/>
      </w:pPr>
    </w:p>
    <w:p w14:paraId="04677D1C" w14:textId="77777777" w:rsidR="005A35EB" w:rsidRDefault="00000000">
      <w:pPr>
        <w:spacing w:after="120"/>
      </w:pPr>
      <w:r>
        <w:t>The comparative analysis reveals the fundamental quality difference: IBKR has structural moats (process power, institutional lock-in, global infrastructure) while HOOD has conventional competitive advantages (brand, UX, growth execution). Both are well-run companies, but IBKR’s advantages compound over decades while HOOD’s require continuous execution to maintain.</w:t>
      </w:r>
    </w:p>
    <w:p w14:paraId="113747C2" w14:textId="77777777" w:rsidR="005A35EB" w:rsidRDefault="00000000">
      <w:r>
        <w:br w:type="page"/>
      </w:r>
    </w:p>
    <w:p w14:paraId="10C893E1" w14:textId="77777777" w:rsidR="005A35EB" w:rsidRDefault="00000000">
      <w:pPr>
        <w:pStyle w:val="Heading1"/>
      </w:pPr>
      <w:r>
        <w:lastRenderedPageBreak/>
        <w:t>MONITORING TRIPWIRES</w:t>
      </w:r>
    </w:p>
    <w:p w14:paraId="79DDCD44" w14:textId="77777777" w:rsidR="005A35EB" w:rsidRDefault="00000000">
      <w:pPr>
        <w:pStyle w:val="ListParagraph"/>
        <w:numPr>
          <w:ilvl w:val="0"/>
          <w:numId w:val="3"/>
        </w:numPr>
        <w:spacing w:after="100"/>
      </w:pPr>
      <w:r>
        <w:t>Thomas Peterffy announces retirement, health issues, or reduces governance involvement without a clear, credible successor in place — this is the single most important monitoring variable</w:t>
      </w:r>
    </w:p>
    <w:p w14:paraId="4D18A230" w14:textId="77777777" w:rsidR="005A35EB" w:rsidRDefault="00000000">
      <w:pPr>
        <w:pStyle w:val="ListParagraph"/>
        <w:numPr>
          <w:ilvl w:val="0"/>
          <w:numId w:val="3"/>
        </w:numPr>
        <w:spacing w:after="100"/>
      </w:pPr>
      <w:r>
        <w:t>Pretax margin falls below 70% for two consecutive quarters — would signal that the automation efficiency moat is eroding or that pricing competition is compressing margins</w:t>
      </w:r>
    </w:p>
    <w:p w14:paraId="4512E846" w14:textId="77777777" w:rsidR="005A35EB" w:rsidRDefault="00000000">
      <w:pPr>
        <w:pStyle w:val="ListParagraph"/>
        <w:numPr>
          <w:ilvl w:val="0"/>
          <w:numId w:val="3"/>
        </w:numPr>
        <w:spacing w:after="100"/>
      </w:pPr>
      <w:r>
        <w:t>Net Interest Margin compresses below 1.7% (from current ~2.1</w:t>
      </w:r>
      <w:proofErr w:type="gramStart"/>
      <w:r>
        <w:t>%) —</w:t>
      </w:r>
      <w:proofErr w:type="gramEnd"/>
      <w:r>
        <w:t xml:space="preserve"> would signal that rate cuts are outpacing the company’s ability to offset through margin lending growth</w:t>
      </w:r>
    </w:p>
    <w:p w14:paraId="0165A14C" w14:textId="77777777" w:rsidR="005A35EB" w:rsidRDefault="00000000">
      <w:pPr>
        <w:pStyle w:val="ListParagraph"/>
        <w:numPr>
          <w:ilvl w:val="0"/>
          <w:numId w:val="3"/>
        </w:numPr>
        <w:spacing w:after="100"/>
      </w:pPr>
      <w:r>
        <w:t>Account growth decelerates below 15% YoY for two consecutive quarters while ARPU declines — would signal retail dilution without offsetting institutional growth</w:t>
      </w:r>
    </w:p>
    <w:p w14:paraId="32E9883F" w14:textId="77777777" w:rsidR="005A35EB" w:rsidRDefault="00000000">
      <w:pPr>
        <w:pStyle w:val="ListParagraph"/>
        <w:numPr>
          <w:ilvl w:val="0"/>
          <w:numId w:val="3"/>
        </w:numPr>
        <w:spacing w:after="100"/>
      </w:pPr>
      <w:r>
        <w:t>A major regulatory action in a key international market (EU, UK, or Asia) restricts IBKR’s ability to serve foreign clients or increases capital requirements materially</w:t>
      </w:r>
    </w:p>
    <w:p w14:paraId="441CB619" w14:textId="77777777" w:rsidR="005A35EB" w:rsidRDefault="00000000">
      <w:pPr>
        <w:spacing w:after="120"/>
      </w:pPr>
      <w:r>
        <w:rPr>
          <w:b/>
          <w:bCs/>
        </w:rPr>
        <w:t xml:space="preserve">Kill Switch: </w:t>
      </w:r>
      <w:r>
        <w:t>Exit if Peterffy departs without a succession plan AND pretax margin falls below 70% simultaneously. This combination would signal that the process power moat is degrading without the founder’s oversight.</w:t>
      </w:r>
    </w:p>
    <w:p w14:paraId="1C82C0ED" w14:textId="77777777" w:rsidR="005A35EB" w:rsidRDefault="00000000">
      <w:pPr>
        <w:pStyle w:val="Heading1"/>
      </w:pPr>
      <w:r>
        <w:t>CATALYSTS TO WATCH</w:t>
      </w:r>
    </w:p>
    <w:p w14:paraId="5F300C2D" w14:textId="77777777" w:rsidR="005A35EB" w:rsidRDefault="00000000">
      <w:pPr>
        <w:spacing w:before="200" w:after="120"/>
      </w:pPr>
      <w:r>
        <w:rPr>
          <w:b/>
          <w:bCs/>
          <w:color w:val="3A7CA5"/>
          <w:sz w:val="22"/>
          <w:szCs w:val="22"/>
        </w:rPr>
        <w:t>Positive Catalysts</w:t>
      </w:r>
    </w:p>
    <w:p w14:paraId="51501082" w14:textId="77777777" w:rsidR="005A35EB" w:rsidRDefault="00000000">
      <w:pPr>
        <w:pStyle w:val="ListParagraph"/>
        <w:numPr>
          <w:ilvl w:val="0"/>
          <w:numId w:val="2"/>
        </w:numPr>
        <w:spacing w:after="80"/>
      </w:pPr>
      <w:r>
        <w:t>Peterffy succession announcement with a strong internal candidate — would remove the single largest overhang</w:t>
      </w:r>
    </w:p>
    <w:p w14:paraId="0796363A" w14:textId="77777777" w:rsidR="005A35EB" w:rsidRDefault="00000000">
      <w:pPr>
        <w:pStyle w:val="ListParagraph"/>
        <w:numPr>
          <w:ilvl w:val="0"/>
          <w:numId w:val="2"/>
        </w:numPr>
        <w:spacing w:after="80"/>
      </w:pPr>
      <w:r>
        <w:t>Client equity reaching $1T — psychological milestone and NII inflection point</w:t>
      </w:r>
    </w:p>
    <w:p w14:paraId="28AB113C" w14:textId="77777777" w:rsidR="005A35EB" w:rsidRDefault="00000000">
      <w:pPr>
        <w:pStyle w:val="ListParagraph"/>
        <w:numPr>
          <w:ilvl w:val="0"/>
          <w:numId w:val="2"/>
        </w:numPr>
        <w:spacing w:after="80"/>
      </w:pPr>
      <w:r>
        <w:t>Crypto trading expansion — IBKR adding spot crypto trading directly (currently limited) would unlock a new revenue stream</w:t>
      </w:r>
    </w:p>
    <w:p w14:paraId="45C0ED2F" w14:textId="77777777" w:rsidR="005A35EB" w:rsidRDefault="00000000">
      <w:pPr>
        <w:pStyle w:val="ListParagraph"/>
        <w:numPr>
          <w:ilvl w:val="0"/>
          <w:numId w:val="2"/>
        </w:numPr>
        <w:spacing w:after="80"/>
      </w:pPr>
      <w:r>
        <w:t>International account growth acceleration — particularly in India, Southeast Asia, and Latin America where alternatives are limited</w:t>
      </w:r>
    </w:p>
    <w:p w14:paraId="1557FB5E" w14:textId="77777777" w:rsidR="005A35EB" w:rsidRDefault="00000000">
      <w:pPr>
        <w:pStyle w:val="ListParagraph"/>
        <w:numPr>
          <w:ilvl w:val="0"/>
          <w:numId w:val="2"/>
        </w:numPr>
        <w:spacing w:after="80"/>
      </w:pPr>
      <w:r>
        <w:t>AI trading volume surge — quant/algo strategies proliferating on IBKR’s API would drive commission revenue</w:t>
      </w:r>
    </w:p>
    <w:p w14:paraId="6B531013" w14:textId="77777777" w:rsidR="005A35EB" w:rsidRDefault="00000000">
      <w:pPr>
        <w:spacing w:before="200" w:after="120"/>
      </w:pPr>
      <w:r>
        <w:rPr>
          <w:b/>
          <w:bCs/>
          <w:color w:val="3A7CA5"/>
          <w:sz w:val="22"/>
          <w:szCs w:val="22"/>
        </w:rPr>
        <w:t>Negative Catalysts</w:t>
      </w:r>
    </w:p>
    <w:p w14:paraId="6C9C9B51" w14:textId="77777777" w:rsidR="005A35EB" w:rsidRDefault="00000000">
      <w:pPr>
        <w:pStyle w:val="ListParagraph"/>
        <w:numPr>
          <w:ilvl w:val="0"/>
          <w:numId w:val="2"/>
        </w:numPr>
        <w:spacing w:after="80"/>
      </w:pPr>
      <w:r>
        <w:t xml:space="preserve">Aggressive Fed rate cuts (&gt;200bps in 12 </w:t>
      </w:r>
      <w:proofErr w:type="gramStart"/>
      <w:r>
        <w:t>months) —</w:t>
      </w:r>
      <w:proofErr w:type="gramEnd"/>
      <w:r>
        <w:t xml:space="preserve"> would compress NII significantly</w:t>
      </w:r>
    </w:p>
    <w:p w14:paraId="4EFF5A5A" w14:textId="77777777" w:rsidR="005A35EB" w:rsidRDefault="00000000">
      <w:pPr>
        <w:pStyle w:val="ListParagraph"/>
        <w:numPr>
          <w:ilvl w:val="0"/>
          <w:numId w:val="2"/>
        </w:numPr>
        <w:spacing w:after="80"/>
      </w:pPr>
      <w:r>
        <w:t>Peterffy health event or unexpected retirement — would create leadership vacuum</w:t>
      </w:r>
    </w:p>
    <w:p w14:paraId="353A0623" w14:textId="77777777" w:rsidR="005A35EB" w:rsidRDefault="00000000">
      <w:pPr>
        <w:pStyle w:val="ListParagraph"/>
        <w:numPr>
          <w:ilvl w:val="0"/>
          <w:numId w:val="2"/>
        </w:numPr>
        <w:spacing w:after="80"/>
      </w:pPr>
      <w:r>
        <w:t>Major technology outage during market stress — would undermine the automation reliability narrative</w:t>
      </w:r>
    </w:p>
    <w:p w14:paraId="0E0A4595" w14:textId="77777777" w:rsidR="005A35EB" w:rsidRDefault="00000000">
      <w:pPr>
        <w:pStyle w:val="ListParagraph"/>
        <w:numPr>
          <w:ilvl w:val="0"/>
          <w:numId w:val="2"/>
        </w:numPr>
        <w:spacing w:after="80"/>
      </w:pPr>
      <w:r>
        <w:t>Regulatory change restricting foreign access to US markets — would impact international growth</w:t>
      </w:r>
    </w:p>
    <w:p w14:paraId="3B1C28F1" w14:textId="77777777" w:rsidR="005A35EB" w:rsidRDefault="00000000">
      <w:pPr>
        <w:pStyle w:val="ListParagraph"/>
        <w:numPr>
          <w:ilvl w:val="0"/>
          <w:numId w:val="2"/>
        </w:numPr>
        <w:spacing w:after="80"/>
      </w:pPr>
      <w:r>
        <w:t>Schwab or Fidelity launching competitive global multi-asset platform — would challenge IBKR’s unique positioning (low probability)</w:t>
      </w:r>
    </w:p>
    <w:p w14:paraId="425B67CA" w14:textId="77777777" w:rsidR="005A35EB" w:rsidRDefault="005A35EB">
      <w:pPr>
        <w:spacing w:after="120"/>
      </w:pPr>
    </w:p>
    <w:p w14:paraId="47A979BD" w14:textId="77777777" w:rsidR="005A35EB" w:rsidRDefault="00000000">
      <w:pPr>
        <w:spacing w:after="120"/>
      </w:pPr>
      <w:r>
        <w:rPr>
          <w:i/>
          <w:iCs/>
          <w:color w:val="888888"/>
        </w:rPr>
        <w:t>— End of Fintech Moat Antifragility Analysis —</w:t>
      </w:r>
    </w:p>
    <w:p w14:paraId="4BB01AD5" w14:textId="77777777" w:rsidR="005A35EB" w:rsidRDefault="00000000">
      <w:pPr>
        <w:spacing w:after="120"/>
      </w:pPr>
      <w:r>
        <w:rPr>
          <w:i/>
          <w:iCs/>
          <w:color w:val="888888"/>
        </w:rPr>
        <w:t>Framework version: Consumer Fintech Adaptation v1.0 — March 2026</w:t>
      </w:r>
    </w:p>
    <w:p w14:paraId="3E0228AF" w14:textId="77777777" w:rsidR="005A35EB" w:rsidRDefault="00000000">
      <w:pPr>
        <w:spacing w:after="120"/>
      </w:pPr>
      <w:r>
        <w:rPr>
          <w:i/>
          <w:iCs/>
          <w:color w:val="888888"/>
        </w:rPr>
        <w:t>Adapted from: Data Infrastructure Antifragility Framework v1.0 (Stoffel-</w:t>
      </w:r>
      <w:proofErr w:type="spellStart"/>
      <w:r>
        <w:rPr>
          <w:i/>
          <w:iCs/>
          <w:color w:val="888888"/>
        </w:rPr>
        <w:t>Feroldi</w:t>
      </w:r>
      <w:proofErr w:type="spellEnd"/>
      <w:r>
        <w:rPr>
          <w:i/>
          <w:iCs/>
          <w:color w:val="888888"/>
        </w:rPr>
        <w:t xml:space="preserve"> × Bustamante)</w:t>
      </w:r>
    </w:p>
    <w:p w14:paraId="73DF8A1A" w14:textId="77777777" w:rsidR="005A35EB" w:rsidRDefault="00000000">
      <w:pPr>
        <w:spacing w:after="120"/>
      </w:pPr>
      <w:r>
        <w:rPr>
          <w:i/>
          <w:iCs/>
          <w:color w:val="888888"/>
        </w:rPr>
        <w:t xml:space="preserve">All claims </w:t>
      </w:r>
      <w:proofErr w:type="gramStart"/>
      <w:r>
        <w:rPr>
          <w:i/>
          <w:iCs/>
          <w:color w:val="888888"/>
        </w:rPr>
        <w:t>subject</w:t>
      </w:r>
      <w:proofErr w:type="gramEnd"/>
      <w:r>
        <w:rPr>
          <w:i/>
          <w:iCs/>
          <w:color w:val="888888"/>
        </w:rPr>
        <w:t xml:space="preserve"> to mandatory verification </w:t>
      </w:r>
      <w:proofErr w:type="gramStart"/>
      <w:r>
        <w:rPr>
          <w:i/>
          <w:iCs/>
          <w:color w:val="888888"/>
        </w:rPr>
        <w:t>pass per</w:t>
      </w:r>
      <w:proofErr w:type="gramEnd"/>
      <w:r>
        <w:rPr>
          <w:i/>
          <w:iCs/>
          <w:color w:val="888888"/>
        </w:rPr>
        <w:t xml:space="preserve"> standard protocol.</w:t>
      </w:r>
    </w:p>
    <w:sectPr w:rsidR="005A35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7507" w14:textId="77777777" w:rsidR="000B7CBB" w:rsidRDefault="000B7CBB">
      <w:r>
        <w:separator/>
      </w:r>
    </w:p>
  </w:endnote>
  <w:endnote w:type="continuationSeparator" w:id="0">
    <w:p w14:paraId="245F19CC" w14:textId="77777777" w:rsidR="000B7CBB" w:rsidRDefault="000B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456F" w14:textId="77777777" w:rsidR="005A35EB"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627C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55518" w14:textId="77777777" w:rsidR="000B7CBB" w:rsidRDefault="000B7CBB">
      <w:r>
        <w:separator/>
      </w:r>
    </w:p>
  </w:footnote>
  <w:footnote w:type="continuationSeparator" w:id="0">
    <w:p w14:paraId="5848D272" w14:textId="77777777" w:rsidR="000B7CBB" w:rsidRDefault="000B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3CB1" w14:textId="77777777" w:rsidR="005A35EB" w:rsidRDefault="00000000">
    <w:pPr>
      <w:pBdr>
        <w:bottom w:val="single" w:sz="4" w:space="1" w:color="CCCCCC"/>
      </w:pBdr>
      <w:tabs>
        <w:tab w:val="right" w:pos="9026"/>
      </w:tabs>
    </w:pPr>
    <w:r>
      <w:rPr>
        <w:color w:val="888888"/>
        <w:sz w:val="16"/>
        <w:szCs w:val="16"/>
      </w:rPr>
      <w:t>IBKR — Fintech Moat Antifragility Analysis</w:t>
    </w:r>
    <w:r>
      <w:rPr>
        <w:color w:val="888888"/>
        <w:sz w:val="16"/>
        <w:szCs w:val="16"/>
      </w:rPr>
      <w:tab/>
      <w:t>March 10,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D3290"/>
    <w:multiLevelType w:val="hybridMultilevel"/>
    <w:tmpl w:val="E70A1E82"/>
    <w:lvl w:ilvl="0" w:tplc="ABF41D62">
      <w:start w:val="1"/>
      <w:numFmt w:val="decimal"/>
      <w:lvlText w:val="%1."/>
      <w:lvlJc w:val="left"/>
      <w:pPr>
        <w:ind w:left="720" w:hanging="360"/>
      </w:pPr>
    </w:lvl>
    <w:lvl w:ilvl="1" w:tplc="809EA094">
      <w:numFmt w:val="decimal"/>
      <w:lvlText w:val=""/>
      <w:lvlJc w:val="left"/>
    </w:lvl>
    <w:lvl w:ilvl="2" w:tplc="BFD275B6">
      <w:numFmt w:val="decimal"/>
      <w:lvlText w:val=""/>
      <w:lvlJc w:val="left"/>
    </w:lvl>
    <w:lvl w:ilvl="3" w:tplc="4F26DF18">
      <w:numFmt w:val="decimal"/>
      <w:lvlText w:val=""/>
      <w:lvlJc w:val="left"/>
    </w:lvl>
    <w:lvl w:ilvl="4" w:tplc="36C8DE5C">
      <w:numFmt w:val="decimal"/>
      <w:lvlText w:val=""/>
      <w:lvlJc w:val="left"/>
    </w:lvl>
    <w:lvl w:ilvl="5" w:tplc="2660B746">
      <w:numFmt w:val="decimal"/>
      <w:lvlText w:val=""/>
      <w:lvlJc w:val="left"/>
    </w:lvl>
    <w:lvl w:ilvl="6" w:tplc="A89ACBC8">
      <w:numFmt w:val="decimal"/>
      <w:lvlText w:val=""/>
      <w:lvlJc w:val="left"/>
    </w:lvl>
    <w:lvl w:ilvl="7" w:tplc="5336CAC0">
      <w:numFmt w:val="decimal"/>
      <w:lvlText w:val=""/>
      <w:lvlJc w:val="left"/>
    </w:lvl>
    <w:lvl w:ilvl="8" w:tplc="E630862E">
      <w:numFmt w:val="decimal"/>
      <w:lvlText w:val=""/>
      <w:lvlJc w:val="left"/>
    </w:lvl>
  </w:abstractNum>
  <w:abstractNum w:abstractNumId="1" w15:restartNumberingAfterBreak="0">
    <w:nsid w:val="61CB77BC"/>
    <w:multiLevelType w:val="hybridMultilevel"/>
    <w:tmpl w:val="958C93F8"/>
    <w:lvl w:ilvl="0" w:tplc="100055EE">
      <w:start w:val="1"/>
      <w:numFmt w:val="bullet"/>
      <w:lvlText w:val="•"/>
      <w:lvlJc w:val="left"/>
      <w:pPr>
        <w:ind w:left="720" w:hanging="360"/>
      </w:pPr>
    </w:lvl>
    <w:lvl w:ilvl="1" w:tplc="05F85F84">
      <w:numFmt w:val="decimal"/>
      <w:lvlText w:val=""/>
      <w:lvlJc w:val="left"/>
    </w:lvl>
    <w:lvl w:ilvl="2" w:tplc="D7CC6854">
      <w:numFmt w:val="decimal"/>
      <w:lvlText w:val=""/>
      <w:lvlJc w:val="left"/>
    </w:lvl>
    <w:lvl w:ilvl="3" w:tplc="E98C3CFE">
      <w:numFmt w:val="decimal"/>
      <w:lvlText w:val=""/>
      <w:lvlJc w:val="left"/>
    </w:lvl>
    <w:lvl w:ilvl="4" w:tplc="5F165872">
      <w:numFmt w:val="decimal"/>
      <w:lvlText w:val=""/>
      <w:lvlJc w:val="left"/>
    </w:lvl>
    <w:lvl w:ilvl="5" w:tplc="786E8F5E">
      <w:numFmt w:val="decimal"/>
      <w:lvlText w:val=""/>
      <w:lvlJc w:val="left"/>
    </w:lvl>
    <w:lvl w:ilvl="6" w:tplc="96828CF4">
      <w:numFmt w:val="decimal"/>
      <w:lvlText w:val=""/>
      <w:lvlJc w:val="left"/>
    </w:lvl>
    <w:lvl w:ilvl="7" w:tplc="E5186C8C">
      <w:numFmt w:val="decimal"/>
      <w:lvlText w:val=""/>
      <w:lvlJc w:val="left"/>
    </w:lvl>
    <w:lvl w:ilvl="8" w:tplc="BCA48A2C">
      <w:numFmt w:val="decimal"/>
      <w:lvlText w:val=""/>
      <w:lvlJc w:val="left"/>
    </w:lvl>
  </w:abstractNum>
  <w:abstractNum w:abstractNumId="2" w15:restartNumberingAfterBreak="0">
    <w:nsid w:val="623274FD"/>
    <w:multiLevelType w:val="hybridMultilevel"/>
    <w:tmpl w:val="D3947544"/>
    <w:lvl w:ilvl="0" w:tplc="45E83E74">
      <w:start w:val="1"/>
      <w:numFmt w:val="bullet"/>
      <w:lvlText w:val="●"/>
      <w:lvlJc w:val="left"/>
      <w:pPr>
        <w:ind w:left="720" w:hanging="360"/>
      </w:pPr>
    </w:lvl>
    <w:lvl w:ilvl="1" w:tplc="6910285A">
      <w:start w:val="1"/>
      <w:numFmt w:val="bullet"/>
      <w:lvlText w:val="○"/>
      <w:lvlJc w:val="left"/>
      <w:pPr>
        <w:ind w:left="1440" w:hanging="360"/>
      </w:pPr>
    </w:lvl>
    <w:lvl w:ilvl="2" w:tplc="521A2B66">
      <w:start w:val="1"/>
      <w:numFmt w:val="bullet"/>
      <w:lvlText w:val="■"/>
      <w:lvlJc w:val="left"/>
      <w:pPr>
        <w:ind w:left="2160" w:hanging="360"/>
      </w:pPr>
    </w:lvl>
    <w:lvl w:ilvl="3" w:tplc="6C985DB2">
      <w:start w:val="1"/>
      <w:numFmt w:val="bullet"/>
      <w:lvlText w:val="●"/>
      <w:lvlJc w:val="left"/>
      <w:pPr>
        <w:ind w:left="2880" w:hanging="360"/>
      </w:pPr>
    </w:lvl>
    <w:lvl w:ilvl="4" w:tplc="06068B5A">
      <w:start w:val="1"/>
      <w:numFmt w:val="bullet"/>
      <w:lvlText w:val="○"/>
      <w:lvlJc w:val="left"/>
      <w:pPr>
        <w:ind w:left="3600" w:hanging="360"/>
      </w:pPr>
    </w:lvl>
    <w:lvl w:ilvl="5" w:tplc="7304C31A">
      <w:start w:val="1"/>
      <w:numFmt w:val="bullet"/>
      <w:lvlText w:val="■"/>
      <w:lvlJc w:val="left"/>
      <w:pPr>
        <w:ind w:left="4320" w:hanging="360"/>
      </w:pPr>
    </w:lvl>
    <w:lvl w:ilvl="6" w:tplc="3CB443F0">
      <w:start w:val="1"/>
      <w:numFmt w:val="bullet"/>
      <w:lvlText w:val="●"/>
      <w:lvlJc w:val="left"/>
      <w:pPr>
        <w:ind w:left="5040" w:hanging="360"/>
      </w:pPr>
    </w:lvl>
    <w:lvl w:ilvl="7" w:tplc="B136D9D4">
      <w:start w:val="1"/>
      <w:numFmt w:val="bullet"/>
      <w:lvlText w:val="●"/>
      <w:lvlJc w:val="left"/>
      <w:pPr>
        <w:ind w:left="5760" w:hanging="360"/>
      </w:pPr>
    </w:lvl>
    <w:lvl w:ilvl="8" w:tplc="2DB6252C">
      <w:start w:val="1"/>
      <w:numFmt w:val="bullet"/>
      <w:lvlText w:val="●"/>
      <w:lvlJc w:val="left"/>
      <w:pPr>
        <w:ind w:left="6480" w:hanging="360"/>
      </w:pPr>
    </w:lvl>
  </w:abstractNum>
  <w:num w:numId="1" w16cid:durableId="994724678">
    <w:abstractNumId w:val="2"/>
    <w:lvlOverride w:ilvl="0">
      <w:startOverride w:val="1"/>
    </w:lvlOverride>
  </w:num>
  <w:num w:numId="2" w16cid:durableId="2085226637">
    <w:abstractNumId w:val="1"/>
    <w:lvlOverride w:ilvl="0">
      <w:startOverride w:val="1"/>
    </w:lvlOverride>
  </w:num>
  <w:num w:numId="3" w16cid:durableId="136559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EB"/>
    <w:rsid w:val="000627CE"/>
    <w:rsid w:val="000B7CBB"/>
    <w:rsid w:val="00342045"/>
    <w:rsid w:val="005A35EB"/>
    <w:rsid w:val="00666782"/>
    <w:rsid w:val="00894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4ABE1"/>
  <w15:docId w15:val="{4C932D02-EF85-4018-B012-EDC62F4A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598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5834</Words>
  <Characters>35395</Characters>
  <Application>Microsoft Office Word</Application>
  <DocSecurity>0</DocSecurity>
  <Lines>719</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2026-03-11T01:28:00Z</dcterms:created>
  <dcterms:modified xsi:type="dcterms:W3CDTF">2026-03-11T02:23:00Z</dcterms:modified>
</cp:coreProperties>
</file>