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TEMPUS AI (TEM)</w:t>
      </w:r>
    </w:p>
    <w:p>
      <w:pPr>
        <w:spacing w:after="200"/>
        <w:jc w:val="center"/>
      </w:pPr>
      <w:r>
        <w:rPr>
          <w:b/>
          <w:bCs/>
          <w:sz w:val="32"/>
          <w:szCs w:val="32"/>
        </w:rPr>
        <w:t xml:space="preserve">Precision Medicine &amp; Diagnostics-Data Platform Analysis</w:t>
      </w:r>
    </w:p>
    <w:p/>
    <w:p>
      <w:pPr>
        <w:spacing w:after="120" w:before="200"/>
      </w:pPr>
      <w:r>
        <w:rPr>
          <w:b/>
          <w:bCs/>
        </w:rPr>
        <w:t xml:space="preserve">Framework: Precision Medicine &amp; Diagnostics-Data Platform Investment Framework v1.0</w:t>
      </w:r>
    </w:p>
    <w:p>
      <w:pPr>
        <w:spacing w:after="120"/>
      </w:pPr>
      <w:r>
        <w:t xml:space="preserve">Date: February 27, 2026</w:t>
      </w:r>
    </w:p>
    <w:p>
      <w:pPr>
        <w:spacing w:after="120"/>
      </w:pPr>
      <w:r>
        <w:t xml:space="preserve">Current Price: $55.00</w:t>
      </w:r>
    </w:p>
    <w:p>
      <w:pPr>
        <w:spacing w:after="400"/>
      </w:pPr>
      <w:r>
        <w:t xml:space="preserve">Market Cap: $10.3B</w:t>
      </w:r>
    </w:p>
    <w:p>
      <w:r>
        <w:br w:type="page"/>
      </w:r>
    </w:p>
    <w:p>
      <w:pPr>
        <w:pStyle w:val="Heading1"/>
      </w:pPr>
      <w:r>
        <w:t xml:space="preserve">STAGE 1: DUAL-ENGINE MOAT INDEX (DEMI) SCORING</w:t>
      </w:r>
    </w:p>
    <w:p>
      <w:pPr>
        <w:spacing w:after="240"/>
      </w:pPr>
      <w:r>
        <w:t xml:space="preserve">Score each of the 8 core moats with detailed evidence:</w:t>
      </w:r>
    </w:p>
    <w:p>
      <w:pPr>
        <w:pStyle w:val="Heading2"/>
      </w:pPr>
      <w:r>
        <w:t xml:space="preserve">Moat 1: Proprietary Clinico-Genomic Dataset</w:t>
      </w:r>
    </w:p>
    <w:p>
      <w:pPr>
        <w:spacing w:after="120"/>
      </w:pPr>
      <w:r>
        <w:rPr>
          <w:b/>
          <w:bCs/>
        </w:rPr>
        <w:t xml:space="preserve">Score: 2/2</w:t>
      </w:r>
    </w:p>
    <w:p>
      <w:pPr>
        <w:spacing w:after="80"/>
      </w:pPr>
      <w:r>
        <w:t xml:space="preserve">Evidence:</w:t>
      </w:r>
    </w:p>
    <w:p>
      <w:pPr>
        <w:pStyle w:val="ListParagraph"/>
        <w:numPr>
          <w:ilvl w:val="0"/>
          <w:numId w:val="2"/>
        </w:numPr>
      </w:pPr>
      <w:r>
        <w:t xml:space="preserve">40M+ research records (multimodal)</w:t>
      </w:r>
    </w:p>
    <w:p>
      <w:pPr>
        <w:pStyle w:val="ListParagraph"/>
        <w:numPr>
          <w:ilvl w:val="0"/>
          <w:numId w:val="2"/>
        </w:numPr>
      </w:pPr>
      <w:r>
        <w:t xml:space="preserve">1.5M records with matched clinical + genomic data</w:t>
      </w:r>
    </w:p>
    <w:p>
      <w:pPr>
        <w:pStyle w:val="ListParagraph"/>
        <w:numPr>
          <w:ilvl w:val="0"/>
          <w:numId w:val="2"/>
        </w:numPr>
      </w:pPr>
      <w:r>
        <w:t xml:space="preserve">2M records with imaging data</w:t>
      </w:r>
    </w:p>
    <w:p>
      <w:pPr>
        <w:pStyle w:val="ListParagraph"/>
        <w:numPr>
          <w:ilvl w:val="0"/>
          <w:numId w:val="2"/>
        </w:numPr>
      </w:pPr>
      <w:r>
        <w:t xml:space="preserve">60+ petabytes of data—20x the Cancer Genome Atlas</w:t>
      </w:r>
    </w:p>
    <w:p>
      <w:pPr>
        <w:pStyle w:val="ListParagraph"/>
        <w:numPr>
          <w:ilvl w:val="0"/>
          <w:numId w:val="2"/>
        </w:numPr>
      </w:pPr>
      <w:r>
        <w:t xml:space="preserve">Longitudinal outcomes data (treatment response, survival, progression)</w:t>
      </w:r>
    </w:p>
    <w:p>
      <w:pPr>
        <w:pStyle w:val="ListParagraph"/>
        <w:numPr>
          <w:ilvl w:val="0"/>
          <w:numId w:val="2"/>
        </w:numPr>
      </w:pPr>
      <w:r>
        <w:t xml:space="preserve">4,500+ hospital partnerships in the US</w:t>
      </w:r>
    </w:p>
    <w:p>
      <w:pPr>
        <w:pStyle w:val="ListParagraph"/>
        <w:numPr>
          <w:ilvl w:val="0"/>
          <w:numId w:val="2"/>
        </w:numPr>
        <w:spacing w:after="240"/>
      </w:pPr>
      <w:r>
        <w:t xml:space="preserve">Compounding advantage: ~$955M in annual diagnostic revenue = hundreds of thousands of new data points yearly</w:t>
      </w:r>
    </w:p>
    <w:p>
      <w:pPr>
        <w:pStyle w:val="Heading2"/>
      </w:pPr>
      <w:r>
        <w:t xml:space="preserve">Moat 2: Clinical Guideline &amp; Payer Embedding</w:t>
      </w:r>
    </w:p>
    <w:p>
      <w:pPr>
        <w:spacing w:after="120"/>
      </w:pPr>
      <w:r>
        <w:rPr>
          <w:b/>
          <w:bCs/>
        </w:rPr>
        <w:t xml:space="preserve">Score: 1/2</w:t>
      </w:r>
    </w:p>
    <w:p>
      <w:pPr>
        <w:spacing w:after="80"/>
      </w:pPr>
      <w:r>
        <w:t xml:space="preserve">Evidence:</w:t>
      </w:r>
    </w:p>
    <w:p>
      <w:pPr>
        <w:pStyle w:val="ListParagraph"/>
        <w:numPr>
          <w:ilvl w:val="0"/>
          <w:numId w:val="2"/>
        </w:numPr>
      </w:pPr>
      <w:r>
        <w:t xml:space="preserve">xT CDx FDA-approved with companion diagnostic claims for colorectal cancer (Jan 2025)</w:t>
      </w:r>
    </w:p>
    <w:p>
      <w:pPr>
        <w:pStyle w:val="ListParagraph"/>
        <w:numPr>
          <w:ilvl w:val="0"/>
          <w:numId w:val="2"/>
        </w:numPr>
      </w:pPr>
      <w:r>
        <w:t xml:space="preserve">NCCN integration: xT CDx leverages OncoKB and NCCN Guidelines</w:t>
      </w:r>
    </w:p>
    <w:p>
      <w:pPr>
        <w:pStyle w:val="ListParagraph"/>
        <w:numPr>
          <w:ilvl w:val="0"/>
          <w:numId w:val="2"/>
        </w:numPr>
      </w:pPr>
      <w:r>
        <w:t xml:space="preserve">Limitation: Core oncology business still primarily LDT-based, not fortress-level embedding</w:t>
      </w:r>
    </w:p>
    <w:p>
      <w:pPr>
        <w:pStyle w:val="ListParagraph"/>
        <w:numPr>
          <w:ilvl w:val="0"/>
          <w:numId w:val="2"/>
        </w:numPr>
        <w:spacing w:after="240"/>
      </w:pPr>
      <w:r>
        <w:t xml:space="preserve">Reimbursement adequate but not at NCD-level; varies by jurisdiction</w:t>
      </w:r>
    </w:p>
    <w:p>
      <w:pPr>
        <w:pStyle w:val="Heading2"/>
      </w:pPr>
      <w:r>
        <w:t xml:space="preserve">Moat 3: AI/ML Model Superiority</w:t>
      </w:r>
    </w:p>
    <w:p>
      <w:pPr>
        <w:spacing w:after="120"/>
      </w:pPr>
      <w:r>
        <w:rPr>
          <w:b/>
          <w:bCs/>
        </w:rPr>
        <w:t xml:space="preserve">Score: 2/2</w:t>
      </w:r>
    </w:p>
    <w:p>
      <w:pPr>
        <w:spacing w:after="80"/>
      </w:pPr>
      <w:r>
        <w:t xml:space="preserve">Evidence:</w:t>
      </w:r>
    </w:p>
    <w:p>
      <w:pPr>
        <w:pStyle w:val="ListParagraph"/>
        <w:numPr>
          <w:ilvl w:val="0"/>
          <w:numId w:val="2"/>
        </w:numPr>
      </w:pPr>
      <w:r>
        <w:t xml:space="preserve">Published peer-reviewed validation in Nature Biotechnology and JCO Precision Oncology</w:t>
      </w:r>
    </w:p>
    <w:p>
      <w:pPr>
        <w:pStyle w:val="ListParagraph"/>
        <w:numPr>
          <w:ilvl w:val="0"/>
          <w:numId w:val="2"/>
        </w:numPr>
      </w:pPr>
      <w:r>
        <w:t xml:space="preserve">PurIST algorithm validated for pancreatic cancer chemotherapy selection</w:t>
      </w:r>
    </w:p>
    <w:p>
      <w:pPr>
        <w:pStyle w:val="ListParagraph"/>
        <w:numPr>
          <w:ilvl w:val="0"/>
          <w:numId w:val="2"/>
        </w:numPr>
      </w:pPr>
      <w:r>
        <w:t xml:space="preserve">5 FDA-cleared AI algorithms: ECG-AF, ECG-Low EF, Tempus Pixel, xR IVD, more</w:t>
      </w:r>
    </w:p>
    <w:p>
      <w:pPr>
        <w:pStyle w:val="ListParagraph"/>
        <w:numPr>
          <w:ilvl w:val="0"/>
          <w:numId w:val="2"/>
        </w:numPr>
      </w:pPr>
      <w:r>
        <w:t xml:space="preserve">Models trained on proprietary dataset no competitor can access</w:t>
      </w:r>
    </w:p>
    <w:p>
      <w:pPr>
        <w:pStyle w:val="ListParagraph"/>
        <w:numPr>
          <w:ilvl w:val="0"/>
          <w:numId w:val="2"/>
        </w:numPr>
        <w:spacing w:after="240"/>
      </w:pPr>
      <w:r>
        <w:t xml:space="preserve">Foundation model program (Tempus Fuses) launched May 2025, directly fueled by dataset</w:t>
      </w:r>
    </w:p>
    <w:p>
      <w:pPr>
        <w:pStyle w:val="Heading2"/>
      </w:pPr>
      <w:r>
        <w:t xml:space="preserve">Moat 4: Regulatory Approval Barriers</w:t>
      </w:r>
    </w:p>
    <w:p>
      <w:pPr>
        <w:spacing w:after="120"/>
      </w:pPr>
      <w:r>
        <w:rPr>
          <w:b/>
          <w:bCs/>
        </w:rPr>
        <w:t xml:space="preserve">Score: 1/2</w:t>
      </w:r>
    </w:p>
    <w:p>
      <w:pPr>
        <w:spacing w:after="80"/>
      </w:pPr>
      <w:r>
        <w:t xml:space="preserve">Evidence:</w:t>
      </w:r>
    </w:p>
    <w:p>
      <w:pPr>
        <w:pStyle w:val="ListParagraph"/>
        <w:numPr>
          <w:ilvl w:val="0"/>
          <w:numId w:val="2"/>
        </w:numPr>
      </w:pPr>
      <w:r>
        <w:t xml:space="preserve">xT CDx FDA-approved CDx with companion diagnostic claims</w:t>
      </w:r>
    </w:p>
    <w:p>
      <w:pPr>
        <w:pStyle w:val="ListParagraph"/>
        <w:numPr>
          <w:ilvl w:val="0"/>
          <w:numId w:val="2"/>
        </w:numPr>
      </w:pPr>
      <w:r>
        <w:t xml:space="preserve">Multiple 510(k) clearances: xR IVD (Sept 2025), Pixel (Sept 2025), ECG devices</w:t>
      </w:r>
    </w:p>
    <w:p>
      <w:pPr>
        <w:pStyle w:val="ListParagraph"/>
        <w:numPr>
          <w:ilvl w:val="0"/>
          <w:numId w:val="2"/>
        </w:numPr>
      </w:pPr>
      <w:r>
        <w:t xml:space="preserve">Limitation: Only 1 CDx approval with companion diagnostic claims to date</w:t>
      </w:r>
    </w:p>
    <w:p>
      <w:pPr>
        <w:pStyle w:val="ListParagraph"/>
        <w:numPr>
          <w:ilvl w:val="0"/>
          <w:numId w:val="2"/>
        </w:numPr>
        <w:spacing w:after="240"/>
      </w:pPr>
      <w:r>
        <w:t xml:space="preserve">Core business largely LDT-based; positioned to benefit if LDT regulation enforced</w:t>
      </w:r>
    </w:p>
    <w:p>
      <w:pPr>
        <w:pStyle w:val="Heading2"/>
      </w:pPr>
      <w:r>
        <w:t xml:space="preserve">Moat 5: Network Effects &amp; Data Flywheel</w:t>
      </w:r>
    </w:p>
    <w:p>
      <w:pPr>
        <w:spacing w:after="120"/>
      </w:pPr>
      <w:r>
        <w:rPr>
          <w:b/>
          <w:bCs/>
        </w:rPr>
        <w:t xml:space="preserve">Score: 2/2</w:t>
      </w:r>
    </w:p>
    <w:p>
      <w:pPr>
        <w:spacing w:after="80"/>
      </w:pPr>
      <w:r>
        <w:t xml:space="preserve">Evidence (THE KEY MOAT):</w:t>
      </w:r>
    </w:p>
    <w:p>
      <w:pPr>
        <w:pStyle w:val="ListParagraph"/>
        <w:numPr>
          <w:ilvl w:val="0"/>
          <w:numId w:val="2"/>
        </w:numPr>
      </w:pPr>
      <w:r>
        <w:t xml:space="preserve">Data platform revenue ($316M) growing 38% YoY (69.5% ex-AstraZeneca warrant impact)</w:t>
      </w:r>
    </w:p>
    <w:p>
      <w:pPr>
        <w:pStyle w:val="ListParagraph"/>
        <w:numPr>
          <w:ilvl w:val="0"/>
          <w:numId w:val="2"/>
        </w:numPr>
      </w:pPr>
      <w:r>
        <w:t xml:space="preserve">Diagnostic volume driving dataset growth: 29% oncology YoY, 23% hereditary YoY</w:t>
      </w:r>
    </w:p>
    <w:p>
      <w:pPr>
        <w:pStyle w:val="ListParagraph"/>
        <w:numPr>
          <w:ilvl w:val="0"/>
          <w:numId w:val="2"/>
        </w:numPr>
      </w:pPr>
      <w:r>
        <w:t xml:space="preserve">AstraZeneca $200M 3-year deal to build largest foundation model in oncology—direct proof pharma values flywheel</w:t>
      </w:r>
    </w:p>
    <w:p>
      <w:pPr>
        <w:pStyle w:val="ListParagraph"/>
        <w:numPr>
          <w:ilvl w:val="0"/>
          <w:numId w:val="2"/>
        </w:numPr>
      </w:pPr>
      <w:r>
        <w:t xml:space="preserve">NRR of 126% demonstrates existing partners expanding spend</w:t>
      </w:r>
    </w:p>
    <w:p>
      <w:pPr>
        <w:pStyle w:val="ListParagraph"/>
        <w:numPr>
          <w:ilvl w:val="0"/>
          <w:numId w:val="2"/>
        </w:numPr>
      </w:pPr>
      <w:r>
        <w:t xml:space="preserve">70+ data customers signed in 2025 (vs. smaller base prior year)</w:t>
      </w:r>
    </w:p>
    <w:p>
      <w:pPr>
        <w:pStyle w:val="ListParagraph"/>
        <w:numPr>
          <w:ilvl w:val="0"/>
          <w:numId w:val="2"/>
        </w:numPr>
        <w:spacing w:after="240"/>
      </w:pPr>
      <w:r>
        <w:t xml:space="preserve">Platform revenue growing faster than diagnostic revenue on organic basis (excluding Ambry)</w:t>
      </w:r>
    </w:p>
    <w:p>
      <w:pPr>
        <w:pStyle w:val="Heading2"/>
      </w:pPr>
      <w:r>
        <w:t xml:space="preserve">Moat 6: EHR Integration &amp; Clinical Workflow Embedding</w:t>
      </w:r>
    </w:p>
    <w:p>
      <w:pPr>
        <w:spacing w:after="120"/>
      </w:pPr>
      <w:r>
        <w:rPr>
          <w:b/>
          <w:bCs/>
        </w:rPr>
        <w:t xml:space="preserve">Score: 2/2</w:t>
      </w:r>
    </w:p>
    <w:p>
      <w:pPr>
        <w:spacing w:after="80"/>
      </w:pPr>
      <w:r>
        <w:t xml:space="preserve">Evidence:</w:t>
      </w:r>
    </w:p>
    <w:p>
      <w:pPr>
        <w:pStyle w:val="ListParagraph"/>
        <w:numPr>
          <w:ilvl w:val="0"/>
          <w:numId w:val="2"/>
        </w:numPr>
      </w:pPr>
      <w:r>
        <w:t xml:space="preserve">Deep Epic integration via Epic Genomics module</w:t>
      </w:r>
    </w:p>
    <w:p>
      <w:pPr>
        <w:pStyle w:val="ListParagraph"/>
        <w:numPr>
          <w:ilvl w:val="0"/>
          <w:numId w:val="2"/>
        </w:numPr>
      </w:pPr>
      <w:r>
        <w:t xml:space="preserve">8+ institutions live with EHR integration</w:t>
      </w:r>
    </w:p>
    <w:p>
      <w:pPr>
        <w:pStyle w:val="ListParagraph"/>
        <w:numPr>
          <w:ilvl w:val="0"/>
          <w:numId w:val="2"/>
        </w:numPr>
      </w:pPr>
      <w:r>
        <w:t xml:space="preserve">Northwestern Medicine integrating Tempus David AI co-pilot into Epic EHR</w:t>
      </w:r>
    </w:p>
    <w:p>
      <w:pPr>
        <w:pStyle w:val="ListParagraph"/>
        <w:numPr>
          <w:ilvl w:val="0"/>
          <w:numId w:val="2"/>
        </w:numPr>
      </w:pPr>
      <w:r>
        <w:t xml:space="preserve">Tempus One generative AI clinical assistant embedded in EHR</w:t>
      </w:r>
    </w:p>
    <w:p>
      <w:pPr>
        <w:pStyle w:val="ListParagraph"/>
        <w:numPr>
          <w:ilvl w:val="0"/>
          <w:numId w:val="2"/>
        </w:numPr>
      </w:pPr>
      <w:r>
        <w:t xml:space="preserve">Test ordering and genomic data delivery automated within clinical workflow</w:t>
      </w:r>
    </w:p>
    <w:p>
      <w:pPr>
        <w:pStyle w:val="ListParagraph"/>
        <w:numPr>
          <w:ilvl w:val="0"/>
          <w:numId w:val="2"/>
        </w:numPr>
        <w:spacing w:after="240"/>
      </w:pPr>
      <w:r>
        <w:t xml:space="preserve">Expanding from oncology into cardiology and other specialties</w:t>
      </w:r>
    </w:p>
    <w:p>
      <w:pPr>
        <w:pStyle w:val="Heading2"/>
      </w:pPr>
      <w:r>
        <w:t xml:space="preserve">Moat 7: Pharma Partnership Portfolio</w:t>
      </w:r>
    </w:p>
    <w:p>
      <w:pPr>
        <w:spacing w:after="120"/>
      </w:pPr>
      <w:r>
        <w:rPr>
          <w:b/>
          <w:bCs/>
        </w:rPr>
        <w:t xml:space="preserve">Score: 2/2</w:t>
      </w:r>
    </w:p>
    <w:p>
      <w:pPr>
        <w:spacing w:after="80"/>
      </w:pPr>
      <w:r>
        <w:t xml:space="preserve">Evidence:</w:t>
      </w:r>
    </w:p>
    <w:p>
      <w:pPr>
        <w:pStyle w:val="ListParagraph"/>
        <w:numPr>
          <w:ilvl w:val="0"/>
          <w:numId w:val="2"/>
        </w:numPr>
      </w:pPr>
      <w:r>
        <w:t xml:space="preserve">70+ data agreement customers signed in 2025</w:t>
      </w:r>
    </w:p>
    <w:p>
      <w:pPr>
        <w:pStyle w:val="ListParagraph"/>
        <w:numPr>
          <w:ilvl w:val="0"/>
          <w:numId w:val="2"/>
        </w:numPr>
      </w:pPr>
      <w:r>
        <w:t xml:space="preserve">8 of top 10 pharma companies by revenue: AstraZeneca ($200M 3-yr), GSK ($70M renewal), BMS, Pfizer, Novartis, Merck, AbbVie, Eli Lilly, Daiichi Sankyo, Boehringer Ingelheim</w:t>
      </w:r>
    </w:p>
    <w:p>
      <w:pPr>
        <w:pStyle w:val="ListParagraph"/>
        <w:numPr>
          <w:ilvl w:val="0"/>
          <w:numId w:val="2"/>
        </w:numPr>
      </w:pPr>
      <w:r>
        <w:t xml:space="preserve">Total Contract Value: &gt;$1.1B (record)</w:t>
      </w:r>
    </w:p>
    <w:p>
      <w:pPr>
        <w:pStyle w:val="ListParagraph"/>
        <w:numPr>
          <w:ilvl w:val="0"/>
          <w:numId w:val="2"/>
        </w:numPr>
      </w:pPr>
      <w:r>
        <w:t xml:space="preserve">Multi-year, expanding contracts—not one-time projects</w:t>
      </w:r>
    </w:p>
    <w:p>
      <w:pPr>
        <w:pStyle w:val="ListParagraph"/>
        <w:numPr>
          <w:ilvl w:val="0"/>
          <w:numId w:val="2"/>
        </w:numPr>
        <w:spacing w:after="240"/>
      </w:pPr>
      <w:r>
        <w:t xml:space="preserve">NRR 126% proof of expansion within existing partnerships</w:t>
      </w:r>
    </w:p>
    <w:p>
      <w:pPr>
        <w:pStyle w:val="Heading2"/>
      </w:pPr>
      <w:r>
        <w:t xml:space="preserve">Moat 8: Multi-Modal Data Integration</w:t>
      </w:r>
    </w:p>
    <w:p>
      <w:pPr>
        <w:spacing w:after="120"/>
      </w:pPr>
      <w:r>
        <w:rPr>
          <w:b/>
          <w:bCs/>
        </w:rPr>
        <w:t xml:space="preserve">Score: 2/2</w:t>
      </w:r>
    </w:p>
    <w:p>
      <w:pPr>
        <w:spacing w:after="80"/>
      </w:pPr>
      <w:r>
        <w:t xml:space="preserve">Evidence:</w:t>
      </w:r>
    </w:p>
    <w:p>
      <w:pPr>
        <w:pStyle w:val="ListParagraph"/>
        <w:numPr>
          <w:ilvl w:val="0"/>
          <w:numId w:val="2"/>
        </w:numPr>
      </w:pPr>
      <w:r>
        <w:t xml:space="preserve">Platform integrates genomic + clinical + imaging + pathology + transcriptomic + 7B+ clinical notes</w:t>
      </w:r>
    </w:p>
    <w:p>
      <w:pPr>
        <w:pStyle w:val="ListParagraph"/>
        <w:numPr>
          <w:ilvl w:val="0"/>
          <w:numId w:val="2"/>
        </w:numPr>
      </w:pPr>
      <w:r>
        <w:t xml:space="preserve">1.5M matched clinical + genomic; 2M imaging; 300K genomic + transcriptomic</w:t>
      </w:r>
    </w:p>
    <w:p>
      <w:pPr>
        <w:pStyle w:val="ListParagraph"/>
        <w:numPr>
          <w:ilvl w:val="0"/>
          <w:numId w:val="2"/>
        </w:numPr>
      </w:pPr>
      <w:r>
        <w:t xml:space="preserve">Tempus Fuses foundation model designed as multimodal from inception</w:t>
      </w:r>
    </w:p>
    <w:p>
      <w:pPr>
        <w:pStyle w:val="ListParagraph"/>
        <w:numPr>
          <w:ilvl w:val="0"/>
          <w:numId w:val="2"/>
        </w:numPr>
        <w:spacing w:after="400"/>
      </w:pPr>
      <w:r>
        <w:t xml:space="preserve">Cross-modal queries and correlations possible—industry-leading integration</w:t>
      </w:r>
    </w:p>
    <w:p>
      <w:pPr>
        <w:spacing w:after="120" w:before="240"/>
      </w:pPr>
      <w:r>
        <w:rPr>
          <w:b/>
          <w:bCs/>
        </w:rPr>
        <w:t xml:space="preserve">DEMI Scoring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rPr>
              <w:t xml:space="preserve">Moat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rPr>
              <w:t xml:space="preserve">Score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Proprietary Clinico-Genomic Dataset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Fortress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Clinical Guideline &amp; Payer Embedding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Building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AI/ML Model Superiority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Fortress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Regulatory Approval Barriers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Building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Network Effects &amp; Data Flywheel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Fortress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EHR Integration &amp; Workflow Embedding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Fortress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Pharma Partnership Portfolio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Fortress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Multi-Modal Data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Fortress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default">TOTAL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14/16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default">DATA FORTRESS</w:t>
            </w:r>
          </w:p>
        </w:tc>
      </w:tr>
    </w:tbl>
    <w:p>
      <w:pPr>
        <w:spacing w:after="240"/>
      </w:pPr>
      <w:r>
        <w:t xml:space="preserve"/>
      </w:r>
    </w:p>
    <w:p>
      <w:pPr>
        <w:spacing w:after="120"/>
      </w:pPr>
      <w:r>
        <w:rPr>
          <w:b/>
          <w:bCs/>
        </w:rPr>
        <w:t xml:space="preserve">Stage 1 Classification: DATA FORTRESS</w:t>
      </w:r>
    </w:p>
    <w:p>
      <w:pPr>
        <w:spacing w:after="400"/>
      </w:pPr>
      <w:r>
        <w:t xml:space="preserve">Multiple reinforcing moats across both diagnostic and data engines. The proprietary multimodal clinico-genomic dataset (40M+ records, 60PB) is the largest in the world. The flywheel between diagnostic testing and AI-powered data licensing is demonstrably spinning, validated by 126% NRR, 70+ pharma partners, and &gt;$1.1B in total contract value.</w:t>
      </w:r>
    </w:p>
    <w:p>
      <w:r>
        <w:br w:type="page"/>
      </w:r>
    </w:p>
    <w:p>
      <w:pPr>
        <w:pStyle w:val="Heading1"/>
      </w:pPr>
      <w:r>
        <w:t xml:space="preserve">STAGE 2: FIVE-DIMENSION ASSESSMENT</w:t>
      </w:r>
    </w:p>
    <w:p>
      <w:pPr>
        <w:pStyle w:val="Heading2"/>
      </w:pPr>
      <w:r>
        <w:t xml:space="preserve">Dimension 1: Diagnostic Engine Economics (Weight: 20%)</w:t>
      </w:r>
    </w:p>
    <w:p>
      <w:pPr>
        <w:spacing w:after="120"/>
      </w:pPr>
      <w:r>
        <w:rPr>
          <w:b/>
          <w:bCs/>
        </w:rPr>
        <w:t xml:space="preserve">Score: 7/10</w:t>
      </w:r>
    </w:p>
    <w:p>
      <w:pPr>
        <w:spacing w:after="80"/>
      </w:pPr>
      <w:r>
        <w:t xml:space="preserve">Evidence:</w:t>
      </w:r>
    </w:p>
    <w:p>
      <w:pPr>
        <w:pStyle w:val="ListParagraph"/>
        <w:numPr>
          <w:ilvl w:val="0"/>
          <w:numId w:val="2"/>
        </w:numPr>
      </w:pPr>
      <w:r>
        <w:t xml:space="preserve">Revenue: $955M (75% of total) in FY2025</w:t>
      </w:r>
    </w:p>
    <w:p>
      <w:pPr>
        <w:pStyle w:val="ListParagraph"/>
        <w:numPr>
          <w:ilvl w:val="0"/>
          <w:numId w:val="2"/>
        </w:numPr>
      </w:pPr>
      <w:r>
        <w:t xml:space="preserve">Volume growth strong: 29% oncology YoY, 23% hereditary YoY, 56% MRD QoQ</w:t>
      </w:r>
    </w:p>
    <w:p>
      <w:pPr>
        <w:pStyle w:val="ListParagraph"/>
        <w:numPr>
          <w:ilvl w:val="0"/>
          <w:numId w:val="2"/>
        </w:numPr>
      </w:pPr>
      <w:r>
        <w:t xml:space="preserve">Non-GAAP gross margin ~63.6% (Q3 2025), improving 400bps YoY</w:t>
      </w:r>
    </w:p>
    <w:p>
      <w:pPr>
        <w:pStyle w:val="ListParagraph"/>
        <w:numPr>
          <w:ilvl w:val="0"/>
          <w:numId w:val="2"/>
        </w:numPr>
      </w:pPr>
      <w:r>
        <w:t xml:space="preserve">Limitations: ASP pressure from competitive genomics market; Ambry acquisition inflated YoY growth</w:t>
      </w:r>
    </w:p>
    <w:p>
      <w:pPr>
        <w:pStyle w:val="ListParagraph"/>
        <w:numPr>
          <w:ilvl w:val="0"/>
          <w:numId w:val="2"/>
        </w:numPr>
        <w:spacing w:after="240"/>
      </w:pPr>
      <w:r>
        <w:t xml:space="preserve">Organic growth 33.5% (ex-Ambry) is strong but diagnostic engine not yet independently profitable</w:t>
      </w:r>
    </w:p>
    <w:p>
      <w:pPr>
        <w:pStyle w:val="Heading2"/>
      </w:pPr>
      <w:r>
        <w:t xml:space="preserve">Dimension 2: Data Platform Economics (Weight: 25%)</w:t>
      </w:r>
    </w:p>
    <w:p>
      <w:pPr>
        <w:spacing w:after="120"/>
      </w:pPr>
      <w:r>
        <w:rPr>
          <w:b/>
          <w:bCs/>
        </w:rPr>
        <w:t xml:space="preserve">Score: 8/10</w:t>
      </w:r>
    </w:p>
    <w:p>
      <w:pPr>
        <w:spacing w:after="80"/>
      </w:pPr>
      <w:r>
        <w:t xml:space="preserve">Evidence:</w:t>
      </w:r>
    </w:p>
    <w:p>
      <w:pPr>
        <w:pStyle w:val="ListParagraph"/>
        <w:numPr>
          <w:ilvl w:val="0"/>
          <w:numId w:val="2"/>
        </w:numPr>
      </w:pPr>
      <w:r>
        <w:t xml:space="preserve">Revenue: $316M (25% of total) in FY2025</w:t>
      </w:r>
    </w:p>
    <w:p>
      <w:pPr>
        <w:pStyle w:val="ListParagraph"/>
        <w:numPr>
          <w:ilvl w:val="0"/>
          <w:numId w:val="2"/>
        </w:numPr>
      </w:pPr>
      <w:r>
        <w:t xml:space="preserve">Insights licensing growing 38% YoY (69.5% ex-AstraZeneca warrant impact)</w:t>
      </w:r>
    </w:p>
    <w:p>
      <w:pPr>
        <w:pStyle w:val="ListParagraph"/>
        <w:numPr>
          <w:ilvl w:val="0"/>
          <w:numId w:val="2"/>
        </w:numPr>
      </w:pPr>
      <w:r>
        <w:t xml:space="preserve">NRR 126% proves expanding relationships</w:t>
      </w:r>
    </w:p>
    <w:p>
      <w:pPr>
        <w:pStyle w:val="ListParagraph"/>
        <w:numPr>
          <w:ilvl w:val="0"/>
          <w:numId w:val="2"/>
        </w:numPr>
      </w:pPr>
      <w:r>
        <w:t xml:space="preserve">AstraZeneca $200M and GSK $70M renewal demonstrate pricing power and recurring demand</w:t>
      </w:r>
    </w:p>
    <w:p>
      <w:pPr>
        <w:pStyle w:val="ListParagraph"/>
        <w:numPr>
          <w:ilvl w:val="0"/>
          <w:numId w:val="2"/>
        </w:numPr>
      </w:pPr>
      <w:r>
        <w:t xml:space="preserve">Platform gross margin likely &gt;70% (software/data economics)</w:t>
      </w:r>
    </w:p>
    <w:p>
      <w:pPr>
        <w:pStyle w:val="ListParagraph"/>
        <w:numPr>
          <w:ilvl w:val="0"/>
          <w:numId w:val="2"/>
        </w:numPr>
        <w:spacing w:after="240"/>
      </w:pPr>
      <w:r>
        <w:t xml:space="preserve">Limitation: Still 25% of revenue (not yet dominant); some revenue project-based vs. purely recurring</w:t>
      </w:r>
    </w:p>
    <w:p>
      <w:pPr>
        <w:pStyle w:val="Heading2"/>
      </w:pPr>
      <w:r>
        <w:t xml:space="preserve">Dimension 3: Data Flywheel Strength &amp; AI Moat Durability (Weight: 20%)</w:t>
      </w:r>
    </w:p>
    <w:p>
      <w:pPr>
        <w:spacing w:after="120"/>
      </w:pPr>
      <w:r>
        <w:rPr>
          <w:b/>
          <w:bCs/>
        </w:rPr>
        <w:t xml:space="preserve">Score: 8/10</w:t>
      </w:r>
    </w:p>
    <w:p>
      <w:pPr>
        <w:spacing w:after="80"/>
      </w:pPr>
      <w:r>
        <w:t xml:space="preserve">Evidence:</w:t>
      </w:r>
    </w:p>
    <w:p>
      <w:pPr>
        <w:pStyle w:val="ListParagraph"/>
        <w:numPr>
          <w:ilvl w:val="0"/>
          <w:numId w:val="2"/>
        </w:numPr>
      </w:pPr>
      <w:r>
        <w:t xml:space="preserve">Published peer-reviewed validation: Nature Biotechnology (pan-cancer tumor organoid platform, 1,000+ patients), JCO Precision Oncology (PurIST algorithm)</w:t>
      </w:r>
    </w:p>
    <w:p>
      <w:pPr>
        <w:pStyle w:val="ListParagraph"/>
        <w:numPr>
          <w:ilvl w:val="0"/>
          <w:numId w:val="2"/>
        </w:numPr>
      </w:pPr>
      <w:r>
        <w:t xml:space="preserve">5 FDA-cleared AI devices/algorithms—published evidence of model effectiveness</w:t>
      </w:r>
    </w:p>
    <w:p>
      <w:pPr>
        <w:pStyle w:val="ListParagraph"/>
        <w:numPr>
          <w:ilvl w:val="0"/>
          <w:numId w:val="2"/>
        </w:numPr>
      </w:pPr>
      <w:r>
        <w:t xml:space="preserve">Dataset 20x Cancer Genome Atlas—durable advantage</w:t>
      </w:r>
    </w:p>
    <w:p>
      <w:pPr>
        <w:pStyle w:val="ListParagraph"/>
        <w:numPr>
          <w:ilvl w:val="0"/>
          <w:numId w:val="2"/>
        </w:numPr>
      </w:pPr>
      <w:r>
        <w:t xml:space="preserve">AstraZeneca $200M foundation model partnership direct evidence flywheel is valued</w:t>
      </w:r>
    </w:p>
    <w:p>
      <w:pPr>
        <w:pStyle w:val="ListParagraph"/>
        <w:numPr>
          <w:ilvl w:val="0"/>
          <w:numId w:val="2"/>
        </w:numPr>
      </w:pPr>
      <w:r>
        <w:t xml:space="preserve">Multimodal integration industry-leading; Tempus Fuses designed to accelerate flywheel</w:t>
      </w:r>
    </w:p>
    <w:p>
      <w:pPr>
        <w:pStyle w:val="ListParagraph"/>
        <w:numPr>
          <w:ilvl w:val="0"/>
          <w:numId w:val="2"/>
        </w:numPr>
        <w:spacing w:after="240"/>
      </w:pPr>
      <w:r>
        <w:t xml:space="preserve">Limitation: Foundation model still in development; quantitative link between dataset growth and model accuracy improvement not yet fully published</w:t>
      </w:r>
    </w:p>
    <w:p>
      <w:pPr>
        <w:pStyle w:val="Heading2"/>
      </w:pPr>
      <w:r>
        <w:t xml:space="preserve">Dimension 4: Balance Sheet &amp; Path to Profitability (Weight: 20%)</w:t>
      </w:r>
    </w:p>
    <w:p>
      <w:pPr>
        <w:spacing w:after="120"/>
      </w:pPr>
      <w:r>
        <w:rPr>
          <w:b/>
          <w:bCs/>
        </w:rPr>
        <w:t xml:space="preserve">Score: 6/10</w:t>
      </w:r>
    </w:p>
    <w:p>
      <w:pPr>
        <w:spacing w:after="80"/>
      </w:pPr>
      <w:r>
        <w:t xml:space="preserve">Evidence:</w:t>
      </w:r>
    </w:p>
    <w:p>
      <w:pPr>
        <w:pStyle w:val="ListParagraph"/>
        <w:numPr>
          <w:ilvl w:val="0"/>
          <w:numId w:val="2"/>
        </w:numPr>
      </w:pPr>
      <w:r>
        <w:t xml:space="preserve">Cash &amp; securities: ~$764M (Q3 2025) + $750M convertible notes (July 2025) = ~$1.5B liquidity</w:t>
      </w:r>
    </w:p>
    <w:p>
      <w:pPr>
        <w:pStyle w:val="ListParagraph"/>
        <w:numPr>
          <w:ilvl w:val="0"/>
          <w:numId w:val="2"/>
        </w:numPr>
      </w:pPr>
      <w:r>
        <w:t xml:space="preserve">First positive adjusted EBITDA in Q3 2025 ($1.5M); 2026 guidance ~$65M EBITDA on $1.59B revenue (4.1% margin)</w:t>
      </w:r>
    </w:p>
    <w:p>
      <w:pPr>
        <w:pStyle w:val="ListParagraph"/>
        <w:numPr>
          <w:ilvl w:val="0"/>
          <w:numId w:val="2"/>
        </w:numPr>
      </w:pPr>
      <w:r>
        <w:t xml:space="preserve">Incremental operating margin improving; clear profitability trajectory</w:t>
      </w:r>
    </w:p>
    <w:p>
      <w:pPr>
        <w:pStyle w:val="ListParagraph"/>
        <w:numPr>
          <w:ilvl w:val="0"/>
          <w:numId w:val="2"/>
        </w:numPr>
      </w:pPr>
      <w:r>
        <w:t xml:space="preserve">FY2025 net loss: ($245M); includes $136.3M stock-based compensation</w:t>
      </w:r>
    </w:p>
    <w:p>
      <w:pPr>
        <w:pStyle w:val="ListParagraph"/>
        <w:numPr>
          <w:ilvl w:val="0"/>
          <w:numId w:val="2"/>
        </w:numPr>
      </w:pPr>
      <w:r>
        <w:t xml:space="preserve">SBC = 10.7% of revenue (significant burden); convertible debt adds balance sheet complexity</w:t>
      </w:r>
    </w:p>
    <w:p>
      <w:pPr>
        <w:pStyle w:val="ListParagraph"/>
        <w:numPr>
          <w:ilvl w:val="0"/>
          <w:numId w:val="2"/>
        </w:numPr>
        <w:spacing w:after="240"/>
      </w:pPr>
      <w:r>
        <w:t xml:space="preserve">Cash runway &gt;3 years at current burn; GAAP profitability still distant</w:t>
      </w:r>
    </w:p>
    <w:p>
      <w:pPr>
        <w:pStyle w:val="Heading2"/>
      </w:pPr>
      <w:r>
        <w:t xml:space="preserve">Dimension 5: Competitive Position &amp; Market Structure (Weight: 15%)</w:t>
      </w:r>
    </w:p>
    <w:p>
      <w:pPr>
        <w:spacing w:after="120"/>
      </w:pPr>
      <w:r>
        <w:rPr>
          <w:b/>
          <w:bCs/>
        </w:rPr>
        <w:t xml:space="preserve">Score: 8/10</w:t>
      </w:r>
    </w:p>
    <w:p>
      <w:pPr>
        <w:spacing w:after="80"/>
      </w:pPr>
      <w:r>
        <w:t xml:space="preserve">Evidence:</w:t>
      </w:r>
    </w:p>
    <w:p>
      <w:pPr>
        <w:pStyle w:val="ListParagraph"/>
        <w:numPr>
          <w:ilvl w:val="0"/>
          <w:numId w:val="2"/>
        </w:numPr>
      </w:pPr>
      <w:r>
        <w:t xml:space="preserve">Clear #1 in multimodal clinico-genomic data platform; no competitor has comparable dataset at scale</w:t>
      </w:r>
    </w:p>
    <w:p>
      <w:pPr>
        <w:pStyle w:val="ListParagraph"/>
        <w:numPr>
          <w:ilvl w:val="0"/>
          <w:numId w:val="2"/>
        </w:numPr>
      </w:pPr>
      <w:r>
        <w:t xml:space="preserve">Foundation Medicine (~600K genomic profiles) is Roche-captive; not independent platform</w:t>
      </w:r>
    </w:p>
    <w:p>
      <w:pPr>
        <w:pStyle w:val="ListParagraph"/>
        <w:numPr>
          <w:ilvl w:val="0"/>
          <w:numId w:val="2"/>
        </w:numPr>
      </w:pPr>
      <w:r>
        <w:t xml:space="preserve">Guardant Health: liquid biopsy leadership but narrower data modality</w:t>
      </w:r>
    </w:p>
    <w:p>
      <w:pPr>
        <w:pStyle w:val="ListParagraph"/>
        <w:numPr>
          <w:ilvl w:val="0"/>
          <w:numId w:val="2"/>
        </w:numPr>
      </w:pPr>
      <w:r>
        <w:t xml:space="preserve">Precision medicine market structure supports 2-3 dominant platforms; winner-take-most dynamics</w:t>
      </w:r>
    </w:p>
    <w:p>
      <w:pPr>
        <w:pStyle w:val="ListParagraph"/>
        <w:numPr>
          <w:ilvl w:val="0"/>
          <w:numId w:val="2"/>
        </w:numPr>
        <w:spacing w:after="360"/>
      </w:pPr>
      <w:r>
        <w:t xml:space="preserve">Limitation: Diagnostics market remains competitive (Guardant liquid biopsy, Foundation tissue); market share data imprecise</w:t>
      </w:r>
    </w:p>
    <w:p>
      <w:pPr>
        <w:pStyle w:val="Heading2"/>
      </w:pPr>
      <w:r>
        <w:t xml:space="preserve">Five-Dimension Composite Calculation</w:t>
      </w:r>
    </w:p>
    <w:p>
      <w:pPr>
        <w:spacing w:after="120"/>
      </w:pPr>
      <w:r>
        <w:t xml:space="preserve">Raw Composite (weighted average):</w:t>
      </w:r>
    </w:p>
    <w:p>
      <w:pPr>
        <w:pStyle w:val="ListParagraph"/>
        <w:numPr>
          <w:ilvl w:val="0"/>
          <w:numId w:val="2"/>
        </w:numPr>
      </w:pPr>
      <w:r>
        <w:t xml:space="preserve">D1 (Diagnostic Engine): 7 × 0.20 = 1.40</w:t>
      </w:r>
    </w:p>
    <w:p>
      <w:pPr>
        <w:pStyle w:val="ListParagraph"/>
        <w:numPr>
          <w:ilvl w:val="0"/>
          <w:numId w:val="2"/>
        </w:numPr>
      </w:pPr>
      <w:r>
        <w:t xml:space="preserve">D2 (Data Platform): 8 × 0.25 = 2.00</w:t>
      </w:r>
    </w:p>
    <w:p>
      <w:pPr>
        <w:pStyle w:val="ListParagraph"/>
        <w:numPr>
          <w:ilvl w:val="0"/>
          <w:numId w:val="2"/>
        </w:numPr>
      </w:pPr>
      <w:r>
        <w:t xml:space="preserve">D3 (Flywheel Strength): 8 × 0.20 = 1.60</w:t>
      </w:r>
    </w:p>
    <w:p>
      <w:pPr>
        <w:pStyle w:val="ListParagraph"/>
        <w:numPr>
          <w:ilvl w:val="0"/>
          <w:numId w:val="2"/>
        </w:numPr>
      </w:pPr>
      <w:r>
        <w:t xml:space="preserve">D4 (Balance Sheet): 6 × 0.20 = 1.20</w:t>
      </w:r>
    </w:p>
    <w:p>
      <w:pPr>
        <w:pStyle w:val="ListParagraph"/>
        <w:numPr>
          <w:ilvl w:val="0"/>
          <w:numId w:val="2"/>
        </w:numPr>
        <w:spacing w:after="200"/>
      </w:pPr>
      <w:r>
        <w:t xml:space="preserve">D5 (Competitive Position): 8 × 0.15 = 1.20</w:t>
      </w:r>
    </w:p>
    <w:p>
      <w:pPr>
        <w:spacing w:after="240"/>
      </w:pPr>
      <w:r>
        <w:rPr>
          <w:b/>
          <w:bCs/>
        </w:rPr>
        <w:t xml:space="preserve">Raw Composite = 7.40/10</w:t>
      </w:r>
    </w:p>
    <w:p>
      <w:pPr>
        <w:spacing w:after="120"/>
      </w:pPr>
      <w:r>
        <w:t xml:space="preserve">Modifiers:</w:t>
      </w:r>
    </w:p>
    <w:p>
      <w:pPr>
        <w:spacing w:after="80"/>
      </w:pPr>
      <w:r>
        <w:rPr>
          <w:b/>
          <w:bCs/>
        </w:rPr>
        <w:t xml:space="preserve">Modifier A: Data Flywheel Acceleration (DFA) — +0.75</w:t>
      </w:r>
    </w:p>
    <w:p>
      <w:pPr>
        <w:spacing w:after="200"/>
      </w:pPr>
      <w:r>
        <w:t xml:space="preserve">Platform revenue growing faster than diagnostic on organic basis. AstraZeneca foundation model deal is acceleration event. NRR 126%. 70+ customers in 2025. Not full +1.0 because platform is still 25% of total.</w:t>
      </w:r>
    </w:p>
    <w:p>
      <w:pPr>
        <w:spacing w:after="80"/>
      </w:pPr>
      <w:r>
        <w:rPr>
          <w:b/>
          <w:bCs/>
        </w:rPr>
        <w:t xml:space="preserve">Modifier B: Regulatory Moat Premium (RMP) — +0.50</w:t>
      </w:r>
    </w:p>
    <w:p>
      <w:pPr>
        <w:spacing w:after="240"/>
      </w:pPr>
      <w:r>
        <w:t xml:space="preserve">xT CDx FDA approval; multiple 510(k) clearances; building regulatory infrastructure. Not +1.0 because core oncology still primarily LDT and only 1 CDx companion diagnostic claim to date.</w:t>
      </w:r>
    </w:p>
    <w:p>
      <w:pPr>
        <w:spacing w:after="240"/>
      </w:pPr>
      <w:r>
        <w:rPr>
          <w:b/>
          <w:bCs/>
        </w:rPr>
        <w:t xml:space="preserve">Adjusted Composite Score = 7.40 + 0.75 + 0.50 = 8.65/10</w:t>
      </w:r>
    </w:p>
    <w:p>
      <w:pPr>
        <w:spacing w:after="360"/>
      </w:pPr>
      <w:r>
        <w:rPr>
          <w:b/>
          <w:bCs/>
          <w:sz w:val="28"/>
          <w:szCs w:val="28"/>
        </w:rPr>
        <w:t xml:space="preserve">Final Classification: DATA FORTRESS (8.0-10.0)</w:t>
      </w:r>
    </w:p>
    <w:p>
      <w:r>
        <w:br w:type="page"/>
      </w:r>
    </w:p>
    <w:p>
      <w:pPr>
        <w:pStyle w:val="Heading1"/>
      </w:pPr>
      <w:r>
        <w:t xml:space="preserve">VALUATION ANALYSIS</w:t>
      </w:r>
    </w:p>
    <w:p>
      <w:pPr>
        <w:pStyle w:val="Heading2"/>
      </w:pPr>
      <w:r>
        <w:t xml:space="preserve">Valuation Gate Assessment</w:t>
      </w:r>
    </w:p>
    <w:p>
      <w:pPr>
        <w:spacing w:after="120"/>
      </w:pPr>
      <w:r>
        <w:rPr>
          <w:b/>
          <w:bCs/>
        </w:rPr>
        <w:t xml:space="preserve">Classification: DATA FORTRESS</w:t>
      </w:r>
    </w:p>
    <w:p>
      <w:pPr>
        <w:pStyle w:val="ListParagraph"/>
        <w:numPr>
          <w:ilvl w:val="0"/>
          <w:numId w:val="2"/>
        </w:numPr>
      </w:pPr>
      <w:r>
        <w:t xml:space="preserve">Appropriate valuation band for diagnostic-dominant Data Fortress: 8-15x NTM revenue</w:t>
      </w:r>
    </w:p>
    <w:p>
      <w:pPr>
        <w:pStyle w:val="ListParagraph"/>
        <w:numPr>
          <w:ilvl w:val="0"/>
          <w:numId w:val="2"/>
        </w:numPr>
      </w:pPr>
      <w:r>
        <w:t xml:space="preserve">Current metrics (Feb 26, 2026):</w:t>
      </w:r>
    </w:p>
    <w:p>
      <w:pPr>
        <w:pStyle w:val="ListParagraph"/>
        <w:numPr>
          <w:ilvl w:val="1"/>
          <w:numId w:val="2"/>
        </w:numPr>
      </w:pPr>
      <w:r>
        <w:t xml:space="preserve">Stock Price: $55.00</w:t>
      </w:r>
    </w:p>
    <w:p>
      <w:pPr>
        <w:pStyle w:val="ListParagraph"/>
        <w:numPr>
          <w:ilvl w:val="1"/>
          <w:numId w:val="2"/>
        </w:numPr>
      </w:pPr>
      <w:r>
        <w:t xml:space="preserve">Market Cap: ~$10.3B</w:t>
      </w:r>
    </w:p>
    <w:p>
      <w:pPr>
        <w:pStyle w:val="ListParagraph"/>
        <w:numPr>
          <w:ilvl w:val="1"/>
          <w:numId w:val="2"/>
        </w:numPr>
      </w:pPr>
      <w:r>
        <w:t xml:space="preserve">2026E Revenue (guidance): ~$1.59B</w:t>
      </w:r>
    </w:p>
    <w:p>
      <w:pPr>
        <w:pStyle w:val="ListParagraph"/>
        <w:numPr>
          <w:ilvl w:val="1"/>
          <w:numId w:val="2"/>
        </w:numPr>
      </w:pPr>
      <w:r>
        <w:t xml:space="preserve">Current EV/NTM Revenue: ~9.2x</w:t>
      </w:r>
    </w:p>
    <w:p>
      <w:pPr>
        <w:pStyle w:val="ListParagraph"/>
        <w:numPr>
          <w:ilvl w:val="0"/>
          <w:numId w:val="2"/>
        </w:numPr>
        <w:spacing w:after="240"/>
      </w:pPr>
      <w:r>
        <w:t xml:space="preserve">2026E EBITDA guidance: ~$65M → EV/EBITDA: ~160x (elevated, reflects early profitability)</w:t>
      </w:r>
    </w:p>
    <w:p>
      <w:pPr>
        <w:spacing w:after="120"/>
      </w:pPr>
      <w:r>
        <w:rPr>
          <w:b/>
          <w:bCs/>
        </w:rPr>
        <w:t xml:space="preserve">Result: VALUATION PASSES</w:t>
      </w:r>
    </w:p>
    <w:p>
      <w:pPr>
        <w:spacing w:after="240"/>
      </w:pPr>
      <w:r>
        <w:t xml:space="preserve">At 9.2x NTM revenue, Tempus is WITHIN the appropriate 8-15x band for a diagnostic-dominant Data Fortress. Current price is justified by the scale of the flywheel and competitive positioning.</w:t>
      </w:r>
    </w:p>
    <w:p>
      <w:pPr>
        <w:pStyle w:val="Heading2"/>
      </w:pPr>
      <w:r>
        <w:t xml:space="preserve">Reverse DCF Analysis</w:t>
      </w:r>
    </w:p>
    <w:p>
      <w:pPr>
        <w:spacing w:after="120"/>
      </w:pPr>
      <w:r>
        <w:t xml:space="preserve">The market's 9.2x multiple implies:</w:t>
      </w:r>
    </w:p>
    <w:p>
      <w:pPr>
        <w:pStyle w:val="ListParagraph"/>
        <w:numPr>
          <w:ilvl w:val="0"/>
          <w:numId w:val="2"/>
        </w:numPr>
      </w:pPr>
      <w:r>
        <w:t xml:space="preserve">~25% revenue growth for 2-3 years (conservative vs. recent 83% FY2025 growth, but accounts for Ambry digestion)</w:t>
      </w:r>
    </w:p>
    <w:p>
      <w:pPr>
        <w:pStyle w:val="ListParagraph"/>
        <w:numPr>
          <w:ilvl w:val="0"/>
          <w:numId w:val="2"/>
        </w:numPr>
      </w:pPr>
      <w:r>
        <w:t xml:space="preserve">Platform revenue reaching 30-40% of total by 2030 (from 25% today)</w:t>
      </w:r>
    </w:p>
    <w:p>
      <w:pPr>
        <w:pStyle w:val="ListParagraph"/>
        <w:numPr>
          <w:ilvl w:val="0"/>
          <w:numId w:val="2"/>
        </w:numPr>
      </w:pPr>
      <w:r>
        <w:t xml:space="preserve">Terminal EBITDA margins of 15-20% at maturity</w:t>
      </w:r>
    </w:p>
    <w:p>
      <w:pPr>
        <w:pStyle w:val="ListParagraph"/>
        <w:numPr>
          <w:ilvl w:val="0"/>
          <w:numId w:val="2"/>
        </w:numPr>
        <w:spacing w:after="400"/>
      </w:pPr>
      <w:r>
        <w:t xml:space="preserve">These assumptions are plausible but not conservative. Valuation would be at risk if platform revenue stalls at 25% of total.</w:t>
      </w:r>
    </w:p>
    <w:p>
      <w:r>
        <w:br w:type="page"/>
      </w:r>
    </w:p>
    <w:p>
      <w:pPr>
        <w:pStyle w:val="Heading1"/>
      </w:pPr>
      <w:r>
        <w:t xml:space="preserve">BEAR CASE STEELMAN</w:t>
      </w:r>
    </w:p>
    <w:p>
      <w:pPr>
        <w:pStyle w:val="Heading2"/>
      </w:pPr>
      <w:r>
        <w:t xml:space="preserve">Risk 1: Data Platform Revenue Plateau</w:t>
      </w:r>
    </w:p>
    <w:p>
      <w:pPr>
        <w:spacing w:after="240"/>
      </w:pPr>
      <w:r>
        <w:t xml:space="preserve">If pharma partnerships remain concentrated in a few large deals (AstraZeneca, GSK) and fail to broaden into a diversified, recurring revenue base, platform economics become lumpy and dependent on contract renewals. The $316M data revenue could represent peak-cycle spending, not the base for exponential growth. Two-three major pharma contract losses would materially impact platform trajectory.</w:t>
      </w:r>
    </w:p>
    <w:p>
      <w:pPr>
        <w:pStyle w:val="Heading2"/>
      </w:pPr>
      <w:r>
        <w:t xml:space="preserve">Risk 2: Diagnostic Margin Compression</w:t>
      </w:r>
    </w:p>
    <w:p>
      <w:pPr>
        <w:spacing w:after="240"/>
      </w:pPr>
      <w:r>
        <w:t xml:space="preserve">The genomics testing market is intensely competitive (Guardant, Foundation, Caris, NeoGenomics, Exact Sciences). ASP pressure from payer pushback or competitive undercutting could erode diagnostic margins, starving the flywheel of profitable inputs. At 63.6% gross margin, diagnostic unit economics are healthy but vulnerable to volume-based pricing pressure.</w:t>
      </w:r>
    </w:p>
    <w:p>
      <w:pPr>
        <w:pStyle w:val="Heading2"/>
      </w:pPr>
      <w:r>
        <w:t xml:space="preserve">Risk 3: Profitability Remains Elusive</w:t>
      </w:r>
    </w:p>
    <w:p>
      <w:pPr>
        <w:spacing w:after="240"/>
      </w:pPr>
      <w:r>
        <w:t xml:space="preserve">2026 guidance projects $65M EBITDA on $1.59B revenue (4.1% margin). SBC is $136M annually (&gt;10% of revenue). If operating leverage does not materialize faster than expected, the company could remain GAAP unprofitable for years, with convertible debt and dilutive SBC eroding per-share value. Path to double-digit EBITDA margins is steep.</w:t>
      </w:r>
    </w:p>
    <w:p>
      <w:pPr>
        <w:pStyle w:val="Heading2"/>
      </w:pPr>
      <w:r>
        <w:t xml:space="preserve">Risk 4: Dataset Commoditization</w:t>
      </w:r>
    </w:p>
    <w:p>
      <w:pPr>
        <w:spacing w:after="240"/>
      </w:pPr>
      <w:r>
        <w:t xml:space="preserve">Health systems increasingly aware of data value. If major hospital systems (Epic, Health Catalyst, Truveta) pool their EHR data into competing clinico-genomic datasets, Tempus's data exclusivity could erode. Truveta (owned by 30+ health systems) is an emerging structural threat to data moat durability.</w:t>
      </w:r>
    </w:p>
    <w:p>
      <w:pPr>
        <w:pStyle w:val="Heading2"/>
      </w:pPr>
      <w:r>
        <w:t xml:space="preserve">Risk 5: Key-Person and Concentration Risk</w:t>
      </w:r>
    </w:p>
    <w:p>
      <w:pPr>
        <w:spacing w:after="400"/>
      </w:pPr>
      <w:r>
        <w:t xml:space="preserve">CEO Eric Lefkofsky is the strategic architect of the platform. AstraZeneca partnership represents significant concentration of platform economics. Loss of either CEO or the AZ partnership would materially impact investment thesis.</w:t>
      </w:r>
    </w:p>
    <w:p>
      <w:r>
        <w:br w:type="page"/>
      </w:r>
    </w:p>
    <w:p>
      <w:pPr>
        <w:pStyle w:val="Heading1"/>
      </w:pPr>
      <w:r>
        <w:t xml:space="preserve">MONITORING TRIPWIRES</w:t>
      </w:r>
    </w:p>
    <w:p>
      <w:pPr>
        <w:spacing w:after="240"/>
      </w:pPr>
      <w:r>
        <w:t xml:space="preserve">Track these metrics to identify thesis deterioration early:</w:t>
      </w:r>
    </w:p>
    <w:p>
      <w:pPr>
        <w:pStyle w:val="ListParagraph"/>
        <w:numPr>
          <w:ilvl w:val="0"/>
          <w:numId w:val="3"/>
        </w:numPr>
      </w:pPr>
      <w:r>
        <w:rPr>
          <w:b/>
          <w:bCs/>
        </w:rPr>
        <w:t xml:space="preserve">Organic diagnostic volume growth </w:t>
      </w:r>
      <w:r>
        <w:t xml:space="preserve">declines below 15% YoY for two consecutive quarters — signals diagnostic engine deceleration and flywheel input weakening.</w:t>
      </w:r>
    </w:p>
    <w:p>
      <w:pPr>
        <w:pStyle w:val="ListParagraph"/>
        <w:numPr>
          <w:ilvl w:val="0"/>
          <w:numId w:val="3"/>
        </w:numPr>
      </w:pPr>
      <w:r>
        <w:rPr>
          <w:b/>
          <w:bCs/>
        </w:rPr>
        <w:t xml:space="preserve">Data &amp; Applications revenue as % of total </w:t>
      </w:r>
      <w:r>
        <w:t xml:space="preserve">declines for two consecutive quarters — signals platform monetization stalling.</w:t>
      </w:r>
    </w:p>
    <w:p>
      <w:pPr>
        <w:pStyle w:val="ListParagraph"/>
        <w:numPr>
          <w:ilvl w:val="0"/>
          <w:numId w:val="3"/>
        </w:numPr>
      </w:pPr>
      <w:r>
        <w:rPr>
          <w:b/>
          <w:bCs/>
        </w:rPr>
        <w:t xml:space="preserve">Non-GAAP gross margin </w:t>
      </w:r>
      <w:r>
        <w:t xml:space="preserve">falls below 55% for two consecutive quarters — signals unit economics deterioration.</w:t>
      </w:r>
    </w:p>
    <w:p>
      <w:pPr>
        <w:pStyle w:val="ListParagraph"/>
        <w:numPr>
          <w:ilvl w:val="0"/>
          <w:numId w:val="3"/>
        </w:numPr>
      </w:pPr>
      <w:r>
        <w:rPr>
          <w:b/>
          <w:bCs/>
        </w:rPr>
        <w:t xml:space="preserve">AstraZeneca or GSK partnership </w:t>
      </w:r>
      <w:r>
        <w:t xml:space="preserve">not renewed or expanded at renewal — signals data platform value proposition weakening.</w:t>
      </w:r>
    </w:p>
    <w:p>
      <w:pPr>
        <w:pStyle w:val="ListParagraph"/>
        <w:numPr>
          <w:ilvl w:val="0"/>
          <w:numId w:val="3"/>
        </w:numPr>
      </w:pPr>
      <w:r>
        <w:rPr>
          <w:b/>
          <w:bCs/>
        </w:rPr>
        <w:t xml:space="preserve">Cash runway </w:t>
      </w:r>
      <w:r>
        <w:t xml:space="preserve">falls below 18 months without clear path to operating cash flow breakeven — risk of financing requirement or dilutive capital raise.</w:t>
      </w:r>
    </w:p>
    <w:p>
      <w:pPr>
        <w:pStyle w:val="ListParagraph"/>
        <w:numPr>
          <w:ilvl w:val="0"/>
          <w:numId w:val="3"/>
        </w:numPr>
      </w:pPr>
      <w:r>
        <w:rPr>
          <w:b/>
          <w:bCs/>
        </w:rPr>
        <w:t xml:space="preserve">Net Revenue Retention </w:t>
      </w:r>
      <w:r>
        <w:t xml:space="preserve">falls below 110% — signals existing pharma partners are not expanding.</w:t>
      </w:r>
    </w:p>
    <w:p>
      <w:pPr>
        <w:pStyle w:val="ListParagraph"/>
        <w:numPr>
          <w:ilvl w:val="0"/>
          <w:numId w:val="3"/>
        </w:numPr>
      </w:pPr>
      <w:r>
        <w:rPr>
          <w:b/>
          <w:bCs/>
        </w:rPr>
        <w:t xml:space="preserve">Competitor launches comparable multimodal dataset </w:t>
      </w:r>
      <w:r>
        <w:t xml:space="preserve">with &gt;500K structured longitudinal records — signals dataset moat erosion.</w:t>
      </w:r>
    </w:p>
    <w:p>
      <w:pPr>
        <w:pStyle w:val="ListParagraph"/>
        <w:numPr>
          <w:ilvl w:val="0"/>
          <w:numId w:val="3"/>
        </w:numPr>
        <w:spacing w:after="400"/>
      </w:pPr>
      <w:r>
        <w:rPr>
          <w:b/>
          <w:bCs/>
        </w:rPr>
        <w:t xml:space="preserve">Management revises 2026 EBITDA guidance to negative </w:t>
      </w:r>
      <w:r>
        <w:t xml:space="preserve">— signals profitability trajectory breaking.</w:t>
      </w:r>
    </w:p>
    <w:p>
      <w:r>
        <w:br w:type="page"/>
      </w:r>
    </w:p>
    <w:p>
      <w:pPr>
        <w:pStyle w:val="Heading1"/>
      </w:pPr>
      <w:r>
        <w:t xml:space="preserve">EXECUTIVE SUMMARY</w:t>
      </w:r>
    </w:p>
    <w:p>
      <w:pPr>
        <w:pStyle w:val="Heading2"/>
      </w:pPr>
      <w:r>
        <w:t xml:space="preserve">Investment Profile</w:t>
      </w:r>
    </w:p>
    <w:p>
      <w:pPr>
        <w:pStyle w:val="ListParagraph"/>
        <w:numPr>
          <w:ilvl w:val="0"/>
          <w:numId w:val="2"/>
        </w:numPr>
      </w:pPr>
      <w:r>
        <w:t xml:space="preserve">Company: Tempus AI, Inc. (NASDAQ: TEM)</w:t>
      </w:r>
    </w:p>
    <w:p>
      <w:pPr>
        <w:pStyle w:val="ListParagraph"/>
        <w:numPr>
          <w:ilvl w:val="0"/>
          <w:numId w:val="2"/>
        </w:numPr>
      </w:pPr>
      <w:r>
        <w:t xml:space="preserve">Sector: Precision Medicine &amp; Diagnostics-Data Platform</w:t>
      </w:r>
    </w:p>
    <w:p>
      <w:pPr>
        <w:pStyle w:val="ListParagraph"/>
        <w:numPr>
          <w:ilvl w:val="0"/>
          <w:numId w:val="2"/>
        </w:numPr>
      </w:pPr>
      <w:r>
        <w:t xml:space="preserve">Current Price: $55.00 (Feb 26, 2026) | Market Cap: $10.3B</w:t>
      </w:r>
    </w:p>
    <w:p>
      <w:pPr>
        <w:pStyle w:val="ListParagraph"/>
        <w:numPr>
          <w:ilvl w:val="0"/>
          <w:numId w:val="2"/>
        </w:numPr>
      </w:pPr>
      <w:r>
        <w:t xml:space="preserve">Founded: 2015 | CEO: Eric Lefkofsky</w:t>
      </w:r>
    </w:p>
    <w:p>
      <w:pPr>
        <w:pStyle w:val="ListParagraph"/>
        <w:numPr>
          <w:ilvl w:val="0"/>
          <w:numId w:val="2"/>
        </w:numPr>
        <w:spacing w:after="240"/>
      </w:pPr>
      <w:r>
        <w:t xml:space="preserve">Headquarters: Chicago, IL</w:t>
      </w:r>
    </w:p>
    <w:p>
      <w:pPr>
        <w:pStyle w:val="Heading2"/>
      </w:pPr>
      <w:r>
        <w:t xml:space="preserve">Investment Thesis</w:t>
      </w:r>
    </w:p>
    <w:p>
      <w:pPr>
        <w:spacing w:after="240"/>
      </w:pPr>
      <w:r>
        <w:t xml:space="preserve">Tempus AI has built the world's largest structured multimodal clinico-genomic dataset (40M+ records, 60PB), creating a powerful flywheel between diagnostic testing (~$955M FY2025 revenue) and an AI data platform (~$316M revenue) that no competitor can replicate. The flywheel is demonstrably spinning: 126% NRR, 70+ pharma customers, and &gt;$1.1B total contract value prove pharma is willing to pay premium prices for data advantages. The company has achieved positive adjusted EBITDA and guidance projects 4.1% EBITDA margins in 2026. At 9.2x NTM revenue, the stock is within the appropriate valuation band for a diagnostic-dominant Data Fortress.</w:t>
      </w:r>
    </w:p>
    <w:p>
      <w:pPr>
        <w:pStyle w:val="Heading2"/>
      </w:pPr>
      <w:r>
        <w:t xml:space="preserve">Framework Scoring</w:t>
      </w:r>
    </w:p>
    <w:p>
      <w:pPr>
        <w:pStyle w:val="ListParagraph"/>
        <w:numPr>
          <w:ilvl w:val="0"/>
          <w:numId w:val="2"/>
        </w:numPr>
      </w:pPr>
      <w:r>
        <w:t xml:space="preserve">DEMI Score: 14/16 (Data Fortress)</w:t>
      </w:r>
    </w:p>
    <w:p>
      <w:pPr>
        <w:pStyle w:val="ListParagraph"/>
        <w:numPr>
          <w:ilvl w:val="0"/>
          <w:numId w:val="2"/>
        </w:numPr>
      </w:pPr>
      <w:r>
        <w:t xml:space="preserve">Five-Dimension Composite: 8.65/10 (Data Fortress)</w:t>
      </w:r>
    </w:p>
    <w:p>
      <w:pPr>
        <w:pStyle w:val="ListParagraph"/>
        <w:numPr>
          <w:ilvl w:val="0"/>
          <w:numId w:val="2"/>
        </w:numPr>
        <w:spacing w:after="240"/>
      </w:pPr>
      <w:r>
        <w:t xml:space="preserve">Valuation Status: PASSES (9.2x NTM within 8-15x diagnostic-dominant band)</w:t>
      </w:r>
    </w:p>
    <w:p>
      <w:pPr>
        <w:pStyle w:val="Heading2"/>
      </w:pPr>
      <w:r>
        <w:t xml:space="preserve">Dual-Engine Assessment</w:t>
      </w:r>
    </w:p>
    <w:p>
      <w:pPr>
        <w:spacing w:after="80"/>
      </w:pPr>
      <w:r>
        <w:rPr>
          <w:b/>
          <w:bCs/>
        </w:rPr>
        <w:t xml:space="preserve">Diagnostic Engine: Strong (Score 7/10)</w:t>
      </w:r>
    </w:p>
    <w:p>
      <w:pPr>
        <w:pStyle w:val="ListParagraph"/>
        <w:numPr>
          <w:ilvl w:val="0"/>
          <w:numId w:val="2"/>
        </w:numPr>
      </w:pPr>
      <w:r>
        <w:t xml:space="preserve">$955M revenue (75% of total); 29% oncology growth, 23% hereditary growth</w:t>
      </w:r>
    </w:p>
    <w:p>
      <w:pPr>
        <w:pStyle w:val="ListParagraph"/>
        <w:numPr>
          <w:ilvl w:val="0"/>
          <w:numId w:val="2"/>
        </w:numPr>
      </w:pPr>
      <w:r>
        <w:t xml:space="preserve">Non-GAAP gross margin 63.6%, expanding 400bps YoY</w:t>
      </w:r>
    </w:p>
    <w:p>
      <w:pPr>
        <w:pStyle w:val="ListParagraph"/>
        <w:numPr>
          <w:ilvl w:val="0"/>
          <w:numId w:val="2"/>
        </w:numPr>
      </w:pPr>
      <w:r>
        <w:t xml:space="preserve">Ambry Genetics acquisition adds hereditary + MRD capabilities</w:t>
      </w:r>
    </w:p>
    <w:p>
      <w:pPr>
        <w:pStyle w:val="ListParagraph"/>
        <w:numPr>
          <w:ilvl w:val="0"/>
          <w:numId w:val="2"/>
        </w:numPr>
        <w:spacing w:after="200"/>
      </w:pPr>
      <w:r>
        <w:t xml:space="preserve">Reimbursement adequate but not yet fortress-level; market competitive</w:t>
      </w:r>
    </w:p>
    <w:p>
      <w:pPr>
        <w:spacing w:after="80"/>
      </w:pPr>
      <w:r>
        <w:rPr>
          <w:b/>
          <w:bCs/>
        </w:rPr>
        <w:t xml:space="preserve">Data Platform Engine: Exceptional (Score 8/10)</w:t>
      </w:r>
    </w:p>
    <w:p>
      <w:pPr>
        <w:pStyle w:val="ListParagraph"/>
        <w:numPr>
          <w:ilvl w:val="0"/>
          <w:numId w:val="2"/>
        </w:numPr>
      </w:pPr>
      <w:r>
        <w:t xml:space="preserve">$316M revenue (25% of total); 38% insights growth (69.5% ex-AZ warrant)</w:t>
      </w:r>
    </w:p>
    <w:p>
      <w:pPr>
        <w:pStyle w:val="ListParagraph"/>
        <w:numPr>
          <w:ilvl w:val="0"/>
          <w:numId w:val="2"/>
        </w:numPr>
      </w:pPr>
      <w:r>
        <w:t xml:space="preserve">AstraZeneca $200M deal + GSK $70M renewal demonstrate pricing power</w:t>
      </w:r>
    </w:p>
    <w:p>
      <w:pPr>
        <w:pStyle w:val="ListParagraph"/>
        <w:numPr>
          <w:ilvl w:val="0"/>
          <w:numId w:val="2"/>
        </w:numPr>
      </w:pPr>
      <w:r>
        <w:t xml:space="preserve">126% NRR; 70+ pharma customers; &gt;$1.1B TCV</w:t>
      </w:r>
    </w:p>
    <w:p>
      <w:pPr>
        <w:pStyle w:val="ListParagraph"/>
        <w:numPr>
          <w:ilvl w:val="0"/>
          <w:numId w:val="2"/>
        </w:numPr>
        <w:spacing w:after="200"/>
      </w:pPr>
      <w:r>
        <w:t xml:space="preserve">Revenue quality improving (more recurring, less project-based)</w:t>
      </w:r>
    </w:p>
    <w:p>
      <w:pPr>
        <w:spacing w:after="80"/>
      </w:pPr>
      <w:r>
        <w:rPr>
          <w:b/>
          <w:bCs/>
        </w:rPr>
        <w:t xml:space="preserve">Flywheel Status: SPINNING</w:t>
      </w:r>
    </w:p>
    <w:p>
      <w:pPr>
        <w:spacing w:after="360"/>
      </w:pPr>
      <w:r>
        <w:t xml:space="preserve">Demonstrated with quantifiable metrics: diagnostic volume → larger dataset → better models → more pharma partnerships → more revenue → more clinical adoption → more tests. Not yet at full velocity, but acceleration evident in platform revenue growth and pharma customer count expansion.</w:t>
      </w:r>
    </w:p>
    <w:p>
      <w:pPr>
        <w:pStyle w:val="Heading2"/>
      </w:pPr>
      <w:r>
        <w:t xml:space="preserve">Key Strengths</w:t>
      </w:r>
    </w:p>
    <w:p>
      <w:pPr>
        <w:pStyle w:val="ListParagraph"/>
        <w:numPr>
          <w:ilvl w:val="0"/>
          <w:numId w:val="3"/>
        </w:numPr>
      </w:pPr>
      <w:r>
        <w:t xml:space="preserve">World's largest multimodal clinico-genomic dataset — 40M+ records, 60PB, 20x Cancer Genome Atlas. Compounding with every diagnostic test. No competitor can access equivalent data.</w:t>
      </w:r>
    </w:p>
    <w:p>
      <w:pPr>
        <w:pStyle w:val="ListParagraph"/>
        <w:numPr>
          <w:ilvl w:val="0"/>
          <w:numId w:val="3"/>
        </w:numPr>
      </w:pPr>
      <w:r>
        <w:t xml:space="preserve">Pharma partnership ecosystem with 8 of top 10 pharma companies — $1.1B+ TCV provides multi-year revenue visibility and validates platform moat.</w:t>
      </w:r>
    </w:p>
    <w:p>
      <w:pPr>
        <w:pStyle w:val="ListParagraph"/>
        <w:numPr>
          <w:ilvl w:val="0"/>
          <w:numId w:val="3"/>
        </w:numPr>
      </w:pPr>
      <w:r>
        <w:t xml:space="preserve">AI model validation through peer-reviewed publications, FDA clearances, and $200M AstraZeneca foundation model deal — reduces model risk and demonstrates platform value beyond diagnostics.</w:t>
      </w:r>
    </w:p>
    <w:p>
      <w:pPr>
        <w:pStyle w:val="ListParagraph"/>
        <w:numPr>
          <w:ilvl w:val="0"/>
          <w:numId w:val="3"/>
        </w:numPr>
      </w:pPr>
      <w:r>
        <w:t xml:space="preserve">EHR workflow integration at scale — 8+ institutions live with Epic integration; Northwestern Medicine deploying Tempus David co-pilot into Epic EHR. Switching costs rising.</w:t>
      </w:r>
    </w:p>
    <w:p>
      <w:pPr>
        <w:pStyle w:val="ListParagraph"/>
        <w:numPr>
          <w:ilvl w:val="0"/>
          <w:numId w:val="3"/>
        </w:numPr>
        <w:spacing w:after="240"/>
      </w:pPr>
      <w:r>
        <w:t xml:space="preserve">Regulatory foundation building — xT CDx FDA-approved with companion diagnostic claims; multiple 510(k) clearances; pathway to stronger regulatory moat as LDT landscape evolves.</w:t>
      </w:r>
    </w:p>
    <w:p>
      <w:pPr>
        <w:pStyle w:val="Heading2"/>
      </w:pPr>
      <w:r>
        <w:t xml:space="preserve">Key Risks</w:t>
      </w:r>
    </w:p>
    <w:p>
      <w:pPr>
        <w:pStyle w:val="ListParagraph"/>
        <w:numPr>
          <w:ilvl w:val="0"/>
          <w:numId w:val="3"/>
        </w:numPr>
      </w:pPr>
      <w:r>
        <w:t xml:space="preserve">GAAP profitability still distant — $245M net loss in FY2025; 4.1% 2026E EBITDA margin is thin. SBC of $136M annually (~11% of revenue) is significant drag. Path to double-digit margins steep.</w:t>
      </w:r>
    </w:p>
    <w:p>
      <w:pPr>
        <w:pStyle w:val="ListParagraph"/>
        <w:numPr>
          <w:ilvl w:val="0"/>
          <w:numId w:val="3"/>
        </w:numPr>
      </w:pPr>
      <w:r>
        <w:t xml:space="preserve">Dataset commoditization from health system data pooling (Truveta) or EHR-native AI platforms — structural threat to data moat if hospital partners build competing datasets.</w:t>
      </w:r>
    </w:p>
    <w:p>
      <w:pPr>
        <w:pStyle w:val="ListParagraph"/>
        <w:numPr>
          <w:ilvl w:val="0"/>
          <w:numId w:val="3"/>
        </w:numPr>
      </w:pPr>
      <w:r>
        <w:t xml:space="preserve">Platform revenue concentration in a few large pharma deals — AstraZeneca and GSK represent material portion of data revenue. Renewal risk is material. Broadening customer base critical.</w:t>
      </w:r>
    </w:p>
    <w:p>
      <w:pPr>
        <w:pStyle w:val="ListParagraph"/>
        <w:numPr>
          <w:ilvl w:val="0"/>
          <w:numId w:val="3"/>
        </w:numPr>
      </w:pPr>
      <w:r>
        <w:t xml:space="preserve">Diagnostic margin pressure — Genomics testing market competitive. ASP erosion from Guardant, Foundation Medicine, or other rivals could compress unit economics and starve flywheel.</w:t>
      </w:r>
    </w:p>
    <w:p>
      <w:pPr>
        <w:pStyle w:val="ListParagraph"/>
        <w:numPr>
          <w:ilvl w:val="0"/>
          <w:numId w:val="3"/>
        </w:numPr>
        <w:spacing w:after="240"/>
      </w:pPr>
      <w:r>
        <w:t xml:space="preserve">Key-person risk — CEO Eric Lefkofsky is strategic architect. Succession planning not transparent.</w:t>
      </w:r>
    </w:p>
    <w:p>
      <w:pPr>
        <w:pStyle w:val="Heading2"/>
      </w:pPr>
      <w:r>
        <w:t xml:space="preserve">Valuation Summary</w:t>
      </w:r>
    </w:p>
    <w:p>
      <w:pPr>
        <w:pStyle w:val="ListParagraph"/>
        <w:numPr>
          <w:ilvl w:val="0"/>
          <w:numId w:val="2"/>
        </w:numPr>
      </w:pPr>
      <w:r>
        <w:t xml:space="preserve">Current: 9.2x NTM Revenue</w:t>
      </w:r>
    </w:p>
    <w:p>
      <w:pPr>
        <w:pStyle w:val="ListParagraph"/>
        <w:numPr>
          <w:ilvl w:val="0"/>
          <w:numId w:val="2"/>
        </w:numPr>
      </w:pPr>
      <w:r>
        <w:t xml:space="preserve">Appropriate band (diagnostic-dominant Data Fortress): 8-15x NTM</w:t>
      </w:r>
    </w:p>
    <w:p>
      <w:pPr>
        <w:pStyle w:val="ListParagraph"/>
        <w:numPr>
          <w:ilvl w:val="0"/>
          <w:numId w:val="2"/>
        </w:numPr>
      </w:pPr>
      <w:r>
        <w:t xml:space="preserve">Implied assumptions: ~25% revenue growth for 2-3 years; platform reaching 30-40% of total; terminal EBITDA margins 15-20%</w:t>
      </w:r>
    </w:p>
    <w:p>
      <w:pPr>
        <w:pStyle w:val="ListParagraph"/>
        <w:numPr>
          <w:ilvl w:val="0"/>
          <w:numId w:val="2"/>
        </w:numPr>
        <w:spacing w:after="240"/>
      </w:pPr>
      <w:r>
        <w:t xml:space="preserve">EV/2026E EBITDA: ~160x (elevated, reflects early profitability stage)</w:t>
      </w:r>
    </w:p>
    <w:p>
      <w:pPr>
        <w:pStyle w:val="Heading2"/>
      </w:pPr>
      <w:r>
        <w:t xml:space="preserve">Investment Recommendation</w:t>
      </w:r>
    </w:p>
    <w:p>
      <w:pPr>
        <w:spacing w:after="120"/>
      </w:pPr>
      <w:r>
        <w:rPr>
          <w:b/>
          <w:bCs/>
          <w:sz w:val="28"/>
          <w:szCs w:val="28"/>
        </w:rPr>
        <w:t xml:space="preserve">Recommendation: BUY</w:t>
      </w:r>
    </w:p>
    <w:p>
      <w:pPr>
        <w:pStyle w:val="ListParagraph"/>
        <w:numPr>
          <w:ilvl w:val="0"/>
          <w:numId w:val="2"/>
        </w:numPr>
      </w:pPr>
      <w:r>
        <w:t xml:space="preserve">Target Price: $55-65 (current price within fair value range; upside from platform acceleration)</w:t>
      </w:r>
    </w:p>
    <w:p>
      <w:pPr>
        <w:pStyle w:val="ListParagraph"/>
        <w:numPr>
          <w:ilvl w:val="0"/>
          <w:numId w:val="2"/>
        </w:numPr>
      </w:pPr>
      <w:r>
        <w:t xml:space="preserve">Position Size: 2-3% of portfolio</w:t>
      </w:r>
    </w:p>
    <w:p>
      <w:pPr>
        <w:pStyle w:val="ListParagraph"/>
        <w:numPr>
          <w:ilvl w:val="0"/>
          <w:numId w:val="2"/>
        </w:numPr>
      </w:pPr>
      <w:r>
        <w:t xml:space="preserve">Conviction Level: Medium-High</w:t>
      </w:r>
    </w:p>
    <w:p>
      <w:pPr>
        <w:pStyle w:val="ListParagraph"/>
        <w:numPr>
          <w:ilvl w:val="0"/>
          <w:numId w:val="2"/>
        </w:numPr>
      </w:pPr>
      <w:r>
        <w:t xml:space="preserve">Rationale: Data fortress is real and defensible. Pharma partnerships are recurring and expanding. Flywheel is demonstrated. However, profitability risk and platform concentration in a few pharma deals prevent full conviction. Upgrade to Core position on confirmation of EBITDA margin expansion above 8% or platform revenue reaching 30%+ of total.</w:t>
      </w:r>
    </w:p>
    <w:p>
      <w:pPr>
        <w:pStyle w:val="ListParagraph"/>
        <w:numPr>
          <w:ilvl w:val="0"/>
          <w:numId w:val="2"/>
        </w:numPr>
      </w:pPr>
      <w:r>
        <w:t xml:space="preserve">Review Date: After Q1 2026 earnings (May 2026)</w:t>
      </w:r>
    </w:p>
    <w:p>
      <w:pPr>
        <w:pStyle w:val="ListParagraph"/>
        <w:numPr>
          <w:ilvl w:val="0"/>
          <w:numId w:val="2"/>
        </w:numPr>
      </w:pPr>
      <w:r>
        <w:t xml:space="preserve">Sell Signal: Organic diagnostic volume growth &lt;15% YoY for 2 quarters OR data platform revenue % declines 2 quarters OR major pharma partnership loss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2026-02-28T01:05:20.218Z</dcterms:created>
  <dcterms:modified xsi:type="dcterms:W3CDTF">2026-02-28T01:05:20.219Z</dcterms:modified>
</cp:coreProperties>
</file>

<file path=docProps/custom.xml><?xml version="1.0" encoding="utf-8"?>
<Properties xmlns="http://schemas.openxmlformats.org/officeDocument/2006/custom-properties" xmlns:vt="http://schemas.openxmlformats.org/officeDocument/2006/docPropsVTypes"/>
</file>