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60" w:before="0"/>
        <w:jc w:val="center"/>
      </w:pPr>
      <w:r>
        <w:rPr>
          <w:rFonts w:ascii="Arial" w:cs="Arial" w:eastAsia="Arial" w:hAnsi="Arial"/>
          <w:b/>
          <w:bCs/>
          <w:color w:val="FFFFFF"/>
          <w:sz w:val="52"/>
          <w:szCs w:val="52"/>
        </w:rPr>
        <w:t xml:space="preserve">BIOTECH SCUTTLEBUTT SCANNER</w:t>
      </w:r>
    </w:p>
    <w:p>
      <w:pPr>
        <w:shd w:fill="1F3864" w:val="clear"/>
        <w:spacing w:after="60" w:before="0"/>
        <w:jc w:val="center"/>
      </w:pPr>
      <w:r>
        <w:rPr>
          <w:rFonts w:ascii="Arial" w:cs="Arial" w:eastAsia="Arial" w:hAnsi="Arial"/>
          <w:color w:val="A8C8E8"/>
          <w:sz w:val="24"/>
          <w:szCs w:val="24"/>
        </w:rPr>
        <w:t xml:space="preserve">Daily Intelligence Report  —  March 26, 2026</w:t>
      </w:r>
    </w:p>
    <w:p>
      <w:pPr>
        <w:shd w:fill="1F3864" w:val="clear"/>
        <w:spacing w:after="240" w:before="0"/>
        <w:jc w:val="center"/>
      </w:pPr>
      <w:r>
        <w:rPr>
          <w:rFonts w:ascii="Arial" w:cs="Arial" w:eastAsia="Arial" w:hAnsi="Arial"/>
          <w:b/>
          <w:bCs/>
          <w:color w:val="FFD700"/>
          <w:sz w:val="18"/>
          <w:szCs w:val="18"/>
        </w:rPr>
        <w:t xml:space="preserve">FOCUS: Small-Cap &amp; Micro-Cap Biotechs  |  Sub-$2B Market Cap  |  Pre-Market Edition</w:t>
      </w:r>
    </w:p>
    <w:p>
      <w:pPr>
        <w:pStyle w:val="Heading1"/>
        <w:pBdr>
          <w:bottom w:val="single" w:color="1F3864" w:sz="6" w:space="1"/>
        </w:pBdr>
        <w:spacing w:after="120" w:before="360"/>
      </w:pPr>
      <w:r>
        <w:rPr>
          <w:rFonts w:ascii="Arial" w:cs="Arial" w:eastAsia="Arial" w:hAnsi="Arial"/>
          <w:b/>
          <w:bCs/>
          <w:color w:val="1F3864"/>
          <w:sz w:val="28"/>
          <w:szCs w:val="28"/>
        </w:rPr>
        <w:t xml:space="preserve">EXECUTIVE SUMMARY</w:t>
      </w:r>
    </w:p>
    <w:p>
      <w:pPr>
        <w:spacing w:after="80" w:before="80"/>
      </w:pPr>
      <w:r>
        <w:rPr>
          <w:rFonts w:ascii="Arial" w:cs="Arial" w:eastAsia="Arial" w:hAnsi="Arial"/>
          <w:sz w:val="18"/>
          <w:szCs w:val="18"/>
        </w:rPr>
        <w:t xml:space="preserve">Today's Biotech Scuttlebutt Scanner has identified 17 signals across 6 intelligence categories. The most urgent alert is Rocket Pharmaceuticals (RCKT), whose gene therapy KRESLADI faces its FDA PDUFA decision on March 28, 2026 — just 2 days away — with 100% overall survival data in a rare pediatric disease. ImmunityBio (IBRX) remains highly volatile (swinging -21% then +9% in two consecutive sessions) following its ANKTIVA BLA resubmission and NCCN guideline expansion. The broader sector tailwind is real: the Russell 2000 small-cap index is up ~8% YTD versus S&amp;P 500's +1.5%, reflecting a structural 'Great Rotation' into small-cap biotech driven by big pharma's patent-cliff-induced M&amp;A hunger. Three stocks carry multi-signal HIGH alerts today.</w:t>
      </w:r>
    </w:p>
    <w:p>
      <w:pPr>
        <w:spacing w:after="12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Signals Found</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HIGH Alerts</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MEDIUM Alerts</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Name(s)</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Vol/Price Movers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IBRX, MBRX, LQDA</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 Filings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EDSA, BBIO, ADPT</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FDA Catalysts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RCKT, LNTH, VRTX, MBRX</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Social Buzz</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TERN, IBRX, LQDA</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Conferences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AACR Apr 17-22</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Multi-Signal</w:t>
            </w:r>
          </w:p>
        </w:tc>
        <w:tc>
          <w:tcPr>
            <w:tcW w:type="auto" w:w="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auto" w:w="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auto" w:w="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auto" w:w="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RCKT, IBRX, MBRX</w:t>
            </w:r>
          </w:p>
        </w:tc>
      </w:tr>
    </w:tbl>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HIGH SIGNAL ALERTS</w:t>
      </w:r>
    </w:p>
    <w:p>
      <w:pPr>
        <w:spacing w:after="80" w:before="80"/>
      </w:pPr>
      <w:r>
        <w:rPr>
          <w:rFonts w:ascii="Arial" w:cs="Arial" w:eastAsia="Arial" w:hAnsi="Arial"/>
          <w:b/>
          <w:bCs/>
          <w:color w:val="CC0000"/>
          <w:sz w:val="18"/>
          <w:szCs w:val="18"/>
        </w:rPr>
        <w:t xml:space="preserve">Stocks appearing in multiple signal categories with the highest potential for near-term price movement. Prioritize these for further due diligence.</w:t>
      </w:r>
    </w:p>
    <w:p>
      <w:pPr>
        <w:spacing w:after="4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
        <w:gridCol w:w="2268"/>
        <w:gridCol w:w="945"/>
        <w:gridCol w:w="945"/>
        <w:gridCol w:w="945"/>
        <w:gridCol w:w="1134"/>
        <w:gridCol w:w="3087"/>
      </w:tblGrid>
      <w:t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Ticker</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 Change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 Signal</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Mkt Cap</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Catalyst / Thesis</w:t>
            </w:r>
          </w:p>
        </w:tc>
      </w:tr>
      <w:tr>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18"/>
                <w:szCs w:val="18"/>
              </w:rPr>
              <w:t xml:space="preserve">RCKT</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Rocket Pharmaceuticals</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~$8-12**</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Pre-event</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Options buzz</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Micro-cap</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PDUFA: March 28 (48 hrs). KRESLADI gene therapy for rare LAD-I disease. 100% OS in trials. Rare Pediatric Disease PRV eligible (~$150M tradeable value). Binary event.</w:t>
            </w:r>
          </w:p>
        </w:tc>
      </w:tr>
      <w:tr>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18"/>
                <w:szCs w:val="18"/>
              </w:rPr>
              <w:t xml:space="preserve">IBRX</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ImmunityBio</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+8.78% (3/25)</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&gt;3x avg</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~$1.2B</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sBLA resubmission for ANKTIVA (BCG-unresponsive NMIBC). 2026 NCCN guidelines now include ANKTIVA. Trending on social. Extreme volatility: -21% then +9% in 2 days. NK cell therapy manufacturing breakthrough announced.</w:t>
            </w:r>
          </w:p>
        </w:tc>
      </w:tr>
    </w:tbl>
    <w:p>
      <w:pPr>
        <w:spacing w:after="60" w:before="60"/>
      </w:pPr>
    </w:p>
    <w:p>
      <w:pPr>
        <w:pStyle w:val="Heading1"/>
        <w:pBdr>
          <w:bottom w:val="single" w:color="1F3864" w:sz="6" w:space="1"/>
        </w:pBdr>
        <w:spacing w:after="120" w:before="360"/>
      </w:pPr>
      <w:r>
        <w:rPr>
          <w:rFonts w:ascii="Arial" w:cs="Arial" w:eastAsia="Arial" w:hAnsi="Arial"/>
          <w:b/>
          <w:bCs/>
          <w:color w:val="1F3864"/>
          <w:sz w:val="28"/>
          <w:szCs w:val="28"/>
        </w:rPr>
        <w:t xml:space="preserve">MEDIUM SIGNAL WATCHLIST</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
        <w:gridCol w:w="2268"/>
        <w:gridCol w:w="945"/>
        <w:gridCol w:w="945"/>
        <w:gridCol w:w="945"/>
        <w:gridCol w:w="1134"/>
        <w:gridCol w:w="3087"/>
      </w:tblGrid>
      <w:t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Ticker</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 Change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 Signal</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Mkt Cap</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Catalyst / Thesis</w:t>
            </w:r>
          </w:p>
        </w:tc>
      </w:tr>
      <w:tr>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MBRX</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Moleculin Biotech</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~$2.06</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Declining YTD</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Catalyst-driven</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Micro-cap</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Hit 45-subject enrollment milestone in MIRACLE Phase 3 AML trial on March 23. Mid-2026 interim unblinding imminent. Buy-rated by Maxim ($10 PT) and HC Wainwright (Strong Buy, $4 PT). Cash into Q3 2026.</w:t>
            </w:r>
          </w:p>
        </w:tc>
      </w:tr>
      <w:tr>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LQDA</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Liquidia Corporation</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+40.3% (6-mo)</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Momentum</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Small-cap</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Strong pulmonary hypertension franchise momentum. EPS consensus doubled to $2.14 for 2026. Zacks featured pick for March 2026. Social buzz on StockTwits.</w:t>
            </w:r>
          </w:p>
        </w:tc>
      </w:tr>
      <w:tr>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EDSA</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Edesa Biotech</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~$1.58-2.22</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float</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13D filing</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Micro-cap</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Amended 13D/A: Dr. Nijhawan group acquired 19.99% stake. Feb 26, 2026 open-market buys at $1.58-2.22. Insider cluster accumulation in a low-float micro-cap = potential squeeze.</w:t>
            </w:r>
          </w:p>
        </w:tc>
      </w:tr>
      <w:tr>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TYRA</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Tyra Biosciences</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~$22-37</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+59% YTD</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Momentum</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~$2B (border)</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Wedbush Best Ideas List. Dabogratinib Phase 2 in 3 indications. H1 2026 SURF302 3-mo CR data expected. Borderline $2B cap. -40% off ATH may offer entry.</w:t>
            </w:r>
          </w:p>
        </w:tc>
      </w:tr>
      <w:tr>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TERN</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Terns Pharmaceuticals</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Social buzz</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Small-cap</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StockTwits activity. Listed alongside LQDA, ADMA, ANIP as small-cap biotech momentum plays.</w:t>
            </w:r>
          </w:p>
        </w:tc>
      </w:tr>
      <w:tr>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LNTH</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Lantheus Holdings</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Pre-event</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PDUFA watch</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Mid-cap**</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FDA decision on Ga-68 edotreotide (LNTH-2501) March 29, 2026. Theranostics/nuclear medicine growth area. Day-after-RCKT catalyst.</w:t>
            </w:r>
          </w:p>
        </w:tc>
      </w:tr>
    </w:tbl>
    <w:p>
      <w:pPr>
        <w:spacing w:after="40" w:before="60"/>
      </w:pPr>
    </w:p>
    <w:p>
      <w:pPr>
        <w:spacing w:after="80" w:before="80"/>
      </w:pPr>
      <w:r>
        <w:rPr>
          <w:rFonts w:ascii="Arial" w:cs="Arial" w:eastAsia="Arial" w:hAnsi="Arial"/>
          <w:color w:val="888888"/>
          <w:sz w:val="18"/>
          <w:szCs w:val="18"/>
        </w:rPr>
        <w:t xml:space="preserve">* Prices are approximate based on search data; verify real-time on market open.  ** RCKT has previously traded in this range; verify current price.  LNTH is mid-cap but included for FDA catalyst value.</w:t>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SEC FILING ALERTS</w:t>
      </w:r>
    </w:p>
    <w:p>
      <w:pPr>
        <w:pStyle w:val="Heading2"/>
        <w:spacing w:after="80" w:before="240"/>
      </w:pPr>
      <w:r>
        <w:rPr>
          <w:rFonts w:ascii="Arial" w:cs="Arial" w:eastAsia="Arial" w:hAnsi="Arial"/>
          <w:b/>
          <w:bCs/>
          <w:color w:val="2E6DA4"/>
          <w:sz w:val="22"/>
          <w:szCs w:val="22"/>
        </w:rPr>
        <w:t xml:space="preserve">13D Activist Accumulation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
        <w:gridCol w:w="1701"/>
        <w:gridCol w:w="1701"/>
        <w:gridCol w:w="1134"/>
        <w:gridCol w:w="1134"/>
        <w:gridCol w:w="1134"/>
        <w:gridCol w:w="2520"/>
      </w:tblGrid>
      <w:t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Ticker</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Filer</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Filing</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 Stake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EDSA</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Edesa Biotech</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Dr. Nijhawan group</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13D/A (amended)</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 2026</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19.99%</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Open-market buys at $1.5789 and $2.2232. Professional corp + personal acct buying. HIGH conviction cluster.</w:t>
            </w:r>
          </w:p>
        </w:tc>
      </w:tr>
    </w:tbl>
    <w:p>
      <w:pPr>
        <w:spacing w:after="40" w:before="120"/>
      </w:pPr>
    </w:p>
    <w:p>
      <w:pPr>
        <w:pStyle w:val="Heading2"/>
        <w:spacing w:after="80" w:before="240"/>
      </w:pPr>
      <w:r>
        <w:rPr>
          <w:rFonts w:ascii="Arial" w:cs="Arial" w:eastAsia="Arial" w:hAnsi="Arial"/>
          <w:b/>
          <w:bCs/>
          <w:color w:val="2E6DA4"/>
          <w:sz w:val="22"/>
          <w:szCs w:val="22"/>
        </w:rPr>
        <w:t xml:space="preserve">Form 4 Insider Transactions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
        <w:gridCol w:w="1890"/>
        <w:gridCol w:w="1890"/>
        <w:gridCol w:w="1512"/>
        <w:gridCol w:w="1134"/>
        <w:gridCol w:w="1512"/>
        <w:gridCol w:w="1386"/>
      </w:tblGrid>
      <w:t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Ticker</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Insider</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Amount / Detail</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BBIO</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BridgeBio Pharma</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Thomas Trimarchi</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CFO/President</w:t>
            </w:r>
          </w:p>
        </w:tc>
        <w:tc>
          <w:tcPr>
            <w:tcW w:type="auto" w:w="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Grant (RSU)</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 2026</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59,041 RSUs granted — equity comp, not open-market buy</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BBIO</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BridgeBio Pharma</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Neil Kumar (trusts)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CEO</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SELL</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 12-13, 2026</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80,000 shares sold at ~$67-70/share. Bearish insider signal. Note: BBIO is ~$6B cap, not small-cap.</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ADPT</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Adaptive Biotech.</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Undisclosed insider</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TBD</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 4</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 18, 2026</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 4 activity reported. Details require direct SEC EDGAR review.</w:t>
            </w:r>
          </w:p>
        </w:tc>
      </w:tr>
    </w:tbl>
    <w:p>
      <w:pPr>
        <w:spacing w:after="40" w:before="60"/>
      </w:pPr>
    </w:p>
    <w:p>
      <w:pPr>
        <w:spacing w:after="80" w:before="80"/>
      </w:pPr>
      <w:r>
        <w:rPr>
          <w:rFonts w:ascii="Arial" w:cs="Arial" w:eastAsia="Arial" w:hAnsi="Arial"/>
          <w:color w:val="888888"/>
          <w:sz w:val="18"/>
          <w:szCs w:val="18"/>
        </w:rPr>
        <w:t xml:space="preserve">Note: For real-time cluster buys, check OpenInsider.com filtered by SIC codes 2836 (pharmaceutical), 2835, 8731 (biotech R&amp;D) with market cap filter &lt; $2B.</w:t>
      </w:r>
    </w:p>
    <w:p>
      <w:pPr>
        <w:spacing w:after="40" w:before="120"/>
      </w:pPr>
    </w:p>
    <w:p>
      <w:pPr>
        <w:pStyle w:val="Heading1"/>
        <w:pBdr>
          <w:bottom w:val="single" w:color="1F3864" w:sz="6" w:space="1"/>
        </w:pBdr>
        <w:spacing w:after="120" w:before="360"/>
      </w:pPr>
      <w:r>
        <w:rPr>
          <w:rFonts w:ascii="Arial" w:cs="Arial" w:eastAsia="Arial" w:hAnsi="Arial"/>
          <w:b/>
          <w:bCs/>
          <w:color w:val="1F3864"/>
          <w:sz w:val="28"/>
          <w:szCs w:val="28"/>
        </w:rPr>
        <w:t xml:space="preserve">FDA &amp; CLINICAL CATALYSTS</w:t>
      </w:r>
    </w:p>
    <w:p>
      <w:pPr>
        <w:pStyle w:val="Heading2"/>
        <w:spacing w:after="80" w:before="240"/>
      </w:pPr>
      <w:r>
        <w:rPr>
          <w:rFonts w:ascii="Arial" w:cs="Arial" w:eastAsia="Arial" w:hAnsi="Arial"/>
          <w:b/>
          <w:bCs/>
          <w:color w:val="2E6DA4"/>
          <w:sz w:val="22"/>
          <w:szCs w:val="22"/>
        </w:rPr>
        <w:t xml:space="preserve">PDUFA Dates &amp; FDA Approval Decisions — Imminent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
        <w:gridCol w:w="1890"/>
        <w:gridCol w:w="2016"/>
        <w:gridCol w:w="1512"/>
        <w:gridCol w:w="1386"/>
        <w:gridCol w:w="1512"/>
        <w:gridCol w:w="1008"/>
      </w:tblGrid>
      <w:t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Ticker</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Drug / Candidate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Indication</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PDUFA Date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Catalyst Type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w:t>
            </w:r>
          </w:p>
        </w:tc>
      </w:tr>
      <w:tr>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18"/>
                <w:szCs w:val="18"/>
              </w:rPr>
              <w:t xml:space="preserve">RCKT</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Rocket Pharma</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KRESLADI (marnetegragene autotemcel)</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Severe LAD-I (rare pediatric immune disorder)</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18"/>
                <w:szCs w:val="18"/>
              </w:rPr>
              <w:t xml:space="preserve">Mar 28, 2026</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PDUFA (BLA)</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18"/>
                <w:szCs w:val="18"/>
              </w:rPr>
              <w:t xml:space="preserve">HIGH</w:t>
            </w:r>
          </w:p>
        </w:tc>
      </w:tr>
      <w:tr>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LNTH</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Lantheus Holdings</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LNTH-2501 (Ga-68 edotreotide)</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Theranostic imaging agent</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Mar 29, 2026</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PDUFA (NDA)</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VRTX</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Vertex Pharmaceuticals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Povetacicept</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IgA Nephropathy (RAINIER trial)</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End of Mar 2026</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3 interim / BLA submission</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ODAC</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AstraZeneca</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Camizestrant (oral SERD) + Truqap</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Oncology (breast cancer)</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Apr 30, 2026</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FDA AdCom (ODAC)</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bl>
    <w:p>
      <w:pPr>
        <w:spacing w:after="40" w:before="120"/>
      </w:pPr>
    </w:p>
    <w:p>
      <w:pPr>
        <w:pStyle w:val="Heading2"/>
        <w:spacing w:after="80" w:before="240"/>
      </w:pPr>
      <w:r>
        <w:rPr>
          <w:rFonts w:ascii="Arial" w:cs="Arial" w:eastAsia="Arial" w:hAnsi="Arial"/>
          <w:b/>
          <w:bCs/>
          <w:color w:val="2E6DA4"/>
          <w:sz w:val="22"/>
          <w:szCs w:val="22"/>
        </w:rPr>
        <w:t xml:space="preserve">Recent FDA Actions (Past 2 Weeks)</w:t>
      </w:r>
    </w:p>
    <w:p>
      <w:pPr>
        <w:pStyle w:val="ListParagraph"/>
        <w:numPr>
          <w:ilvl w:val="0"/>
          <w:numId w:val="2"/>
        </w:numPr>
        <w:spacing w:after="40" w:before="40"/>
      </w:pPr>
      <w:r>
        <w:rPr>
          <w:rFonts w:ascii="Arial" w:cs="Arial" w:eastAsia="Arial" w:hAnsi="Arial"/>
          <w:sz w:val="18"/>
          <w:szCs w:val="18"/>
        </w:rPr>
        <w:t xml:space="preserve">GSK / Lynavoy (linerixibat): FDA APPROVED March 19, 2026 for cholestatic pruritus in Primary Biliary Cholangitis. Commercial launch catalyst for GSK.</w:t>
      </w:r>
    </w:p>
    <w:p>
      <w:pPr>
        <w:pStyle w:val="ListParagraph"/>
        <w:numPr>
          <w:ilvl w:val="0"/>
          <w:numId w:val="2"/>
        </w:numPr>
        <w:spacing w:after="40" w:before="40"/>
      </w:pPr>
      <w:r>
        <w:rPr>
          <w:rFonts w:ascii="Arial" w:cs="Arial" w:eastAsia="Arial" w:hAnsi="Arial"/>
          <w:sz w:val="18"/>
          <w:szCs w:val="18"/>
        </w:rPr>
        <w:t xml:space="preserve">ALDX (Aldeyra Therapeutics) / Reproxalap: PDUFA was March 16, 2026. Second NDA attempt after prior rejection. Outcome pending confirmation — check SEC 8-K for result.</w:t>
      </w:r>
    </w:p>
    <w:p>
      <w:pPr>
        <w:pStyle w:val="ListParagraph"/>
        <w:numPr>
          <w:ilvl w:val="0"/>
          <w:numId w:val="2"/>
        </w:numPr>
        <w:spacing w:after="40" w:before="40"/>
      </w:pPr>
      <w:r>
        <w:rPr>
          <w:rFonts w:ascii="Arial" w:cs="Arial" w:eastAsia="Arial" w:hAnsi="Arial"/>
          <w:sz w:val="18"/>
          <w:szCs w:val="18"/>
        </w:rPr>
        <w:t xml:space="preserve">BMS / Sotyktu (deucravacitinib): PDUFA March 6, 2026 for expanded indication in psoriatic arthritis. Outcome requires verification.</w:t>
      </w:r>
    </w:p>
    <w:p>
      <w:pPr>
        <w:spacing w:after="40" w:before="120"/>
      </w:pPr>
    </w:p>
    <w:p>
      <w:pPr>
        <w:pStyle w:val="Heading2"/>
        <w:spacing w:after="80" w:before="240"/>
      </w:pPr>
      <w:r>
        <w:rPr>
          <w:rFonts w:ascii="Arial" w:cs="Arial" w:eastAsia="Arial" w:hAnsi="Arial"/>
          <w:b/>
          <w:bCs/>
          <w:color w:val="2E6DA4"/>
          <w:sz w:val="22"/>
          <w:szCs w:val="22"/>
        </w:rPr>
        <w:t xml:space="preserve">Phase 3 Trial Readouts — Next 30-90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
        <w:gridCol w:w="2268"/>
        <w:gridCol w:w="2268"/>
        <w:gridCol w:w="1890"/>
        <w:gridCol w:w="2898"/>
      </w:tblGrid>
      <w:t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Ticker</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Drug</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Expected</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Trial / Notes</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MBRX</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Moleculin Biotech</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Annamycin</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Mid-2026</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MIRACLE Phase 3 AML trial. 45-subject enrollment milestone hit Mar 23. 40% blinded CRc in first 30 subjects vs 17-18% historical. Interim unblinding imminent.</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LLY</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Eli Lilly (large cap)</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Remternetug</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March 2026</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TRAILRUNNER-ALZ 1 Phase 3 Alzheimer's trial. 1,600+ patients. Top-line data expected imminently. Anti-amyloid antibody.</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NTLA</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Intellia Therapeutics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Lonvo-z</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H1 2026</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3 for hereditary angioedema. CRISPR-based gene editing therapy.</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APGE</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Apogee Therapeutics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Zumilokibart (APG777)</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Recent (reported)</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Positive Phase 2 52-week data in moderate-to-severe atopic dermatitis. Every 3- and 6-month dosing maintained/deepened responses.</w:t>
            </w:r>
          </w:p>
        </w:tc>
      </w:tr>
    </w:tbl>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SOCIAL BUZZ &amp; RETAIL SENTIMENT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45"/>
        <w:gridCol w:w="2268"/>
        <w:gridCol w:w="1890"/>
        <w:gridCol w:w="1260"/>
        <w:gridCol w:w="3717"/>
      </w:tblGrid>
      <w:t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Ticker</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Sentiment</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 Detail</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IBRX</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ImmunityBio</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StockTwits / Twitter</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Mixed/Volatile</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Trending up 8.78% March 25 after -21% drop. Global expansion (Macau SAR approval). NCCN guideline news driving retail interest. High message volume.</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TERN</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Terns Pharmaceuticals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StockTwits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Bullish</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active trading on StockTwits platform. Listed as momentum play alongside LQDA, ADMA, ANIP.</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LQDA</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Liquidia Corp</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StockTwits / Reddit</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Bullish</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Sustained bullish momentum on social. +40.3% 6-month gain. Consensus EPS estimate doubled. Commercial momentum in PH franchise attracting retail following.</w:t>
            </w:r>
          </w:p>
        </w:tc>
      </w:tr>
      <w:tr>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Sector</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Small-cap biotech</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Reddit WSB / WallStreetBets</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Increasingly Bullish</w:t>
            </w:r>
          </w:p>
        </w:tc>
        <w:tc>
          <w:tcPr>
            <w:tcW w:type="auto"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WallStreetBets community discussing biotech rotation. 'Meme stocks moving to biotech.' Russell 2000 outperformance (+8% YTD) fueling interest. Community portfolio up 76% in 2025.</w:t>
            </w:r>
          </w:p>
        </w:tc>
      </w:tr>
    </w:tbl>
    <w:p>
      <w:pPr>
        <w:spacing w:after="40" w:before="120"/>
      </w:pPr>
    </w:p>
    <w:p>
      <w:pPr>
        <w:pStyle w:val="Heading1"/>
        <w:pBdr>
          <w:bottom w:val="single" w:color="1F3864" w:sz="6" w:space="1"/>
        </w:pBdr>
        <w:spacing w:after="120" w:before="360"/>
      </w:pPr>
      <w:r>
        <w:rPr>
          <w:rFonts w:ascii="Arial" w:cs="Arial" w:eastAsia="Arial" w:hAnsi="Arial"/>
          <w:b/>
          <w:bCs/>
          <w:color w:val="1F3864"/>
          <w:sz w:val="28"/>
          <w:szCs w:val="28"/>
        </w:rPr>
        <w:t xml:space="preserve">UPCOMING CONFERENCES &amp; PRESENTATION CALENDAR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512"/>
        <w:gridCol w:w="1512"/>
        <w:gridCol w:w="1512"/>
        <w:gridCol w:w="3024"/>
      </w:tblGrid>
      <w:t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Conference</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Dates</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Notable Presenters / Notes</w:t>
            </w:r>
          </w:p>
        </w:tc>
      </w:tr>
      <w:tr>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AACR Oncology Industry Partnering Event</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Apr 16-17, 2026</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San Diego, CA</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Oncology / Partnering</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Up to 800 attendees. Big pharma + small/mid biotech presentations. Partnership and licensing opportunities highlighted. Watch for small-cap oncology biotechs.</w:t>
            </w:r>
          </w:p>
        </w:tc>
      </w:tr>
      <w:tr>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AACR Annual Meeting 2026</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Apr 17-22, 2026</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San Diego, CA</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Cancer Research</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40,000+ attendees. Largest cancer research gathering globally. Korean biotechs presenting novel drug platform data. Molecular Partners (3 posters). BBOT (multiple presentations). Watch for data that moves small-cap oncology stocks.</w:t>
            </w:r>
          </w:p>
        </w:tc>
      </w:tr>
    </w:tbl>
    <w:p>
      <w:pPr>
        <w:spacing w:after="40" w:before="60"/>
      </w:pPr>
    </w:p>
    <w:p>
      <w:pPr>
        <w:spacing w:after="80" w:before="80"/>
      </w:pPr>
      <w:r>
        <w:rPr>
          <w:rFonts w:ascii="Arial" w:cs="Arial" w:eastAsia="Arial" w:hAnsi="Arial"/>
          <w:color w:val="555555"/>
          <w:sz w:val="18"/>
          <w:szCs w:val="18"/>
        </w:rPr>
        <w:t xml:space="preserve">Note: Historically AACR generates significant price moves for small-cap oncology biotechs presenting positive data. Monitor the abstract list at AACR.org for small-cap companies. Stock moves often occur at abstract publication (early April) rather than the meeting itself.</w:t>
      </w:r>
    </w:p>
    <w:p>
      <w:pPr>
        <w:spacing w:after="80" w:before="80"/>
      </w:pPr>
      <w:r>
        <w:rPr>
          <w:rFonts w:ascii="Arial" w:cs="Arial" w:eastAsia="Arial" w:hAnsi="Arial"/>
          <w:color w:val="555555"/>
          <w:sz w:val="18"/>
          <w:szCs w:val="18"/>
        </w:rPr>
        <w:t xml:space="preserve">Note: No specific JPMorgan, Cowen, or Jefferies healthcare conferences were confirmed in March 2026 search results. These are typically January (JPM) and March/April events.</w:t>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MULTI-SIGNAL PRIORITIZATION MATRIX</w:t>
      </w:r>
    </w:p>
    <w:p>
      <w:pPr>
        <w:spacing w:after="80" w:before="80"/>
      </w:pPr>
      <w:r>
        <w:rPr>
          <w:rFonts w:ascii="Arial" w:cs="Arial" w:eastAsia="Arial" w:hAnsi="Arial"/>
          <w:sz w:val="18"/>
          <w:szCs w:val="18"/>
        </w:rPr>
        <w:t xml:space="preserve">Stocks appearing across multiple signal categories — the highest-conviction setups. Each additional signal category roughly doubles the significance.</w:t>
      </w:r>
    </w:p>
    <w:p>
      <w:pPr>
        <w:spacing w:after="4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45"/>
        <w:gridCol w:w="1890"/>
        <w:gridCol w:w="945"/>
        <w:gridCol w:w="945"/>
        <w:gridCol w:w="945"/>
        <w:gridCol w:w="945"/>
        <w:gridCol w:w="945"/>
        <w:gridCol w:w="2520"/>
      </w:tblGrid>
      <w:tr>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Ticker</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auto" w:w="1"/>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Vol/Price</w:t>
            </w:r>
          </w:p>
        </w:tc>
        <w:tc>
          <w:tcPr>
            <w:tcW w:type="auto" w:w="1"/>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SEC Filing</w:t>
            </w:r>
          </w:p>
        </w:tc>
        <w:tc>
          <w:tcPr>
            <w:tcW w:type="auto" w:w="1"/>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FDA/Clinical</w:t>
            </w:r>
          </w:p>
        </w:tc>
        <w:tc>
          <w:tcPr>
            <w:tcW w:type="auto" w:w="1"/>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Social</w:t>
            </w:r>
          </w:p>
        </w:tc>
        <w:tc>
          <w:tcPr>
            <w:tcW w:type="auto" w:w="1"/>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Signal Count</w:t>
            </w:r>
          </w:p>
        </w:tc>
        <w:tc>
          <w:tcPr>
            <w:tcW w:type="auto" w:w="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Why Now</w:t>
            </w:r>
          </w:p>
        </w:tc>
      </w:tr>
      <w:tr>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18"/>
                <w:szCs w:val="18"/>
              </w:rPr>
              <w:t xml:space="preserve">RCKT</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Rocket Pharmaceuticals</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18"/>
                <w:szCs w:val="18"/>
              </w:rPr>
              <w:t xml:space="preserve">YES</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18"/>
                <w:szCs w:val="18"/>
              </w:rPr>
              <w:t xml:space="preserve">8-K filed</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18"/>
                <w:szCs w:val="18"/>
              </w:rPr>
              <w:t xml:space="preserve">PDUFA Mar 28</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Monitoring</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18"/>
                <w:szCs w:val="18"/>
              </w:rPr>
              <w:t xml:space="preserve">3 signals</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48 HOURS. Binary event. 100% OS gene therapy. Rare PRV worth ~$150M if approved. If approved: significant upside catalyst.</w:t>
            </w:r>
          </w:p>
        </w:tc>
      </w:tr>
      <w:tr>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18"/>
                <w:szCs w:val="18"/>
              </w:rPr>
              <w:t xml:space="preserve">IBRX</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ImmunityBio</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18"/>
                <w:szCs w:val="18"/>
              </w:rPr>
              <w:t xml:space="preserve">+8.78% (3/25)</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18"/>
                <w:szCs w:val="18"/>
              </w:rPr>
              <w:t xml:space="preserve">sBLA 8-K</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18"/>
                <w:szCs w:val="18"/>
              </w:rPr>
              <w:t xml:space="preserve">NCCN + sBLA</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18"/>
                <w:szCs w:val="18"/>
              </w:rPr>
              <w:t xml:space="preserve">High buzz</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18"/>
                <w:szCs w:val="18"/>
              </w:rPr>
              <w:t xml:space="preserve">4 signals</w:t>
            </w:r>
          </w:p>
        </w:tc>
        <w:tc>
          <w:tcPr>
            <w:tcW w:type="auto" w:w="1"/>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Highest signal count. Extreme volatility creates trading opportunity. NCCN guideline inclusion is commercial catalyst. Resubmission after additional data. NK cell therapy upside.</w:t>
            </w:r>
          </w:p>
        </w:tc>
      </w:tr>
      <w:tr>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MBRX</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Moleculin Biotech</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Catalyst-watch</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10-K + 8-K</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3 milestone</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Analyst upgrades</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3 signals</w:t>
            </w:r>
          </w:p>
        </w:tc>
        <w:tc>
          <w:tcPr>
            <w:tcW w:type="auto" w:w="1"/>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00000"/>
                <w:sz w:val="18"/>
                <w:szCs w:val="18"/>
              </w:rPr>
              <w:t xml:space="preserve">Mid-2026 AML data coming. 45-subject milestone just hit (March 23). Penny stock (~$2) with analyst 700%+ upside targets. High risk, high reward.</w:t>
            </w:r>
          </w:p>
        </w:tc>
      </w:tr>
    </w:tbl>
    <w:p>
      <w:pPr>
        <w:spacing w:after="40" w:before="120"/>
      </w:pPr>
    </w:p>
    <w:p>
      <w:pPr>
        <w:pStyle w:val="Heading1"/>
        <w:pBdr>
          <w:bottom w:val="single" w:color="1F3864" w:sz="6" w:space="1"/>
        </w:pBdr>
        <w:spacing w:after="120" w:before="360"/>
      </w:pPr>
      <w:r>
        <w:rPr>
          <w:rFonts w:ascii="Arial" w:cs="Arial" w:eastAsia="Arial" w:hAnsi="Arial"/>
          <w:b/>
          <w:bCs/>
          <w:color w:val="1F3864"/>
          <w:sz w:val="28"/>
          <w:szCs w:val="28"/>
        </w:rPr>
        <w:t xml:space="preserve">MACRO &amp; SECTOR CONTEXT</w:t>
      </w:r>
    </w:p>
    <w:p>
      <w:pPr>
        <w:spacing w:after="80" w:before="80"/>
      </w:pPr>
      <w:r>
        <w:rPr>
          <w:rFonts w:ascii="Arial" w:cs="Arial" w:eastAsia="Arial" w:hAnsi="Arial"/>
          <w:sz w:val="18"/>
          <w:szCs w:val="18"/>
        </w:rPr>
        <w:t xml:space="preserve">The small-cap biotech landscape has shifted meaningfully entering Q2 2026. Key macro tailwinds:</w:t>
      </w:r>
    </w:p>
    <w:p>
      <w:pPr>
        <w:pStyle w:val="ListParagraph"/>
        <w:numPr>
          <w:ilvl w:val="0"/>
          <w:numId w:val="2"/>
        </w:numPr>
        <w:spacing w:after="40" w:before="40"/>
      </w:pPr>
      <w:r>
        <w:rPr>
          <w:rFonts w:ascii="Arial" w:cs="Arial" w:eastAsia="Arial" w:hAnsi="Arial"/>
          <w:sz w:val="18"/>
          <w:szCs w:val="18"/>
        </w:rPr>
        <w:t xml:space="preserve">Russell 2000 (IWM) up ~8% YTD vs S&amp;P 500 at +1.5% — 'Great Rotation' into small-caps is statistically significant and may have months of momentum remaining.</w:t>
      </w:r>
    </w:p>
    <w:p>
      <w:pPr>
        <w:pStyle w:val="ListParagraph"/>
        <w:numPr>
          <w:ilvl w:val="0"/>
          <w:numId w:val="2"/>
        </w:numPr>
        <w:spacing w:after="40" w:before="40"/>
      </w:pPr>
      <w:r>
        <w:rPr>
          <w:rFonts w:ascii="Arial" w:cs="Arial" w:eastAsia="Arial" w:hAnsi="Arial"/>
          <w:sz w:val="18"/>
          <w:szCs w:val="18"/>
        </w:rPr>
        <w:t xml:space="preserve">Big pharma M&amp;A hunger: Large pharmaceutical companies facing looming patent cliffs are actively hunting Russell 2000 biotechs to replenish pipelines. Cogent Biosciences (COGT) and Structure Therapeutics (GPCR) specifically named as acquisition targets by analysts.</w:t>
      </w:r>
    </w:p>
    <w:p>
      <w:pPr>
        <w:pStyle w:val="ListParagraph"/>
        <w:numPr>
          <w:ilvl w:val="0"/>
          <w:numId w:val="2"/>
        </w:numPr>
        <w:spacing w:after="40" w:before="40"/>
      </w:pPr>
      <w:r>
        <w:rPr>
          <w:rFonts w:ascii="Arial" w:cs="Arial" w:eastAsia="Arial" w:hAnsi="Arial"/>
          <w:sz w:val="18"/>
          <w:szCs w:val="18"/>
        </w:rPr>
        <w:t xml:space="preserve">FDA pipeline thawing: First AdCom in 9+ months (April 30 for AZ's camizestrant) signals FDA returning to normal review cadence after a period of administrative disruption.</w:t>
      </w:r>
    </w:p>
    <w:p>
      <w:pPr>
        <w:pStyle w:val="ListParagraph"/>
        <w:numPr>
          <w:ilvl w:val="0"/>
          <w:numId w:val="2"/>
        </w:numPr>
        <w:spacing w:after="40" w:before="40"/>
      </w:pPr>
      <w:r>
        <w:rPr>
          <w:rFonts w:ascii="Arial" w:cs="Arial" w:eastAsia="Arial" w:hAnsi="Arial"/>
          <w:sz w:val="18"/>
          <w:szCs w:val="18"/>
        </w:rPr>
        <w:t xml:space="preserve">AACR coming up April 17-22: Oncology biotech catalysts begin with abstract publications in early April. Monitor AACR.org for small-cap abstracts.</w:t>
      </w:r>
    </w:p>
    <w:p>
      <w:pPr>
        <w:pStyle w:val="ListParagraph"/>
        <w:numPr>
          <w:ilvl w:val="0"/>
          <w:numId w:val="2"/>
        </w:numPr>
        <w:spacing w:after="40" w:before="40"/>
      </w:pPr>
      <w:r>
        <w:rPr>
          <w:rFonts w:ascii="Arial" w:cs="Arial" w:eastAsia="Arial" w:hAnsi="Arial"/>
          <w:sz w:val="18"/>
          <w:szCs w:val="18"/>
        </w:rPr>
        <w:t xml:space="preserve">Sector ETF: XBI (SPDR S&amp;P Biotech ETF) showing unusual options activity — check Unusual Whales for real-time sweep data on XBI calls as a sector sentiment gauge.</w:t>
      </w:r>
    </w:p>
    <w:p>
      <w:pPr>
        <w:spacing w:after="40" w:before="120"/>
      </w:pPr>
    </w:p>
    <w:p>
      <w:pPr>
        <w:pStyle w:val="Heading1"/>
        <w:pBdr>
          <w:bottom w:val="single" w:color="1F3864" w:sz="6" w:space="1"/>
        </w:pBdr>
        <w:spacing w:after="120" w:before="360"/>
      </w:pPr>
      <w:r>
        <w:rPr>
          <w:rFonts w:ascii="Arial" w:cs="Arial" w:eastAsia="Arial" w:hAnsi="Arial"/>
          <w:b/>
          <w:bCs/>
          <w:color w:val="1F3864"/>
          <w:sz w:val="28"/>
          <w:szCs w:val="28"/>
        </w:rPr>
        <w:t xml:space="preserve">IMPORTANT DISCLAIMERS</w:t>
      </w:r>
    </w:p>
    <w:p>
      <w:pPr>
        <w:spacing w:after="80" w:before="80"/>
      </w:pPr>
      <w:r>
        <w:rPr>
          <w:rFonts w:ascii="Arial" w:cs="Arial" w:eastAsia="Arial" w:hAnsi="Arial"/>
          <w:b/>
          <w:bCs/>
          <w:sz w:val="18"/>
          <w:szCs w:val="18"/>
        </w:rPr>
        <w:t xml:space="preserve">This report is for informational purposes only. Nothing herein constitutes investment advice, financial advice, trading advice, or any other form of advice. Ann and her advisors should conduct their own independent research and due diligence before making any investment decisions.</w:t>
      </w:r>
    </w:p>
    <w:p>
      <w:pPr>
        <w:spacing w:after="80" w:before="80"/>
      </w:pPr>
      <w:r>
        <w:rPr>
          <w:rFonts w:ascii="Arial" w:cs="Arial" w:eastAsia="Arial" w:hAnsi="Arial"/>
          <w:sz w:val="18"/>
          <w:szCs w:val="18"/>
        </w:rPr>
        <w:t xml:space="preserve">Small-cap and micro-cap biotech stocks are highly speculative investments. Clinical trial results are binary events that can result in 50-90% losses on failure or 100-500%+ gains on success. FDA approval decisions are inherently uncertain. Past performance of stocks mentioned does not guarantee future results.</w:t>
      </w:r>
    </w:p>
    <w:p>
      <w:pPr>
        <w:spacing w:after="80" w:before="80"/>
      </w:pPr>
      <w:r>
        <w:rPr>
          <w:rFonts w:ascii="Arial" w:cs="Arial" w:eastAsia="Arial" w:hAnsi="Arial"/>
          <w:sz w:val="18"/>
          <w:szCs w:val="18"/>
        </w:rPr>
        <w:t xml:space="preserve">Price data referenced in this report is based on web search data and may not reflect current market prices. Always verify prices through your broker or financial data provider before trading.</w:t>
      </w:r>
    </w:p>
    <w:p>
      <w:pPr>
        <w:spacing w:after="80" w:before="80"/>
      </w:pPr>
      <w:r>
        <w:rPr>
          <w:rFonts w:ascii="Arial" w:cs="Arial" w:eastAsia="Arial" w:hAnsi="Arial"/>
          <w:sz w:val="18"/>
          <w:szCs w:val="18"/>
        </w:rPr>
        <w:t xml:space="preserve">Sources consulted for this report include: MarketBeat, RTTNews, StockTitan, Yahoo Finance, BiopharmaWatch, Zacks, Motley Fool, Nasdaq.com, FierceBiotech, AACR.org, OpenInsider, SEC EDGAR, Investing.com, Simply Wall St, BioSpace, StockTwits, and Seeking Alpha. Specific articles and filings referenced in each section.</w:t>
      </w:r>
    </w:p>
    <w:p>
      <w:pPr>
        <w:spacing w:after="80" w:before="80"/>
      </w:pPr>
    </w:p>
    <w:p>
      <w:pPr>
        <w:spacing w:after="80" w:before="80"/>
      </w:pPr>
      <w:r>
        <w:rPr>
          <w:rFonts w:ascii="Arial" w:cs="Arial" w:eastAsia="Arial" w:hAnsi="Arial"/>
          <w:color w:val="888888"/>
          <w:sz w:val="18"/>
          <w:szCs w:val="18"/>
        </w:rPr>
        <w:t xml:space="preserve">Report generated by Biotech Scuttlebutt Scanner | March 26, 2026 | Next run: March 27,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rFonts w:ascii="Arial" w:cs="Arial" w:eastAsia="Arial" w:hAnsi="Arial"/>
        <w:color w:val="888888"/>
        <w:sz w:val="14"/>
        <w:szCs w:val="14"/>
      </w:rPr>
      <w:t xml:space="preserve">DISCLAIMER: This report is for informational purposes only. Not investment advice. Past performance does not guarantee future results. Small-cap biotech stocks are highly speculative.  |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pPr>
    <w:r>
      <w:rPr>
        <w:rFonts w:ascii="Arial" w:cs="Arial" w:eastAsia="Arial" w:hAnsi="Arial"/>
        <w:color w:val="666666"/>
        <w:sz w:val="16"/>
        <w:szCs w:val="16"/>
      </w:rPr>
      <w:t xml:space="preserve">BIOTECH SCUTTLEBUTT SCANNER  |  Daily Intelligence Report  |  </w:t>
    </w:r>
    <w:r>
      <w:rPr>
        <w:rFonts w:ascii="Arial" w:cs="Arial" w:eastAsia="Arial" w:hAnsi="Arial"/>
        <w:b/>
        <w:bCs/>
        <w:color w:val="1F3864"/>
        <w:sz w:val="16"/>
        <w:szCs w:val="16"/>
      </w:rPr>
      <w:t xml:space="preserve">March 26,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2026-03-26T07:47:51.485Z</dcterms:created>
  <dcterms:modified xsi:type="dcterms:W3CDTF">2026-03-26T07:47:51.486Z</dcterms:modified>
</cp:coreProperties>
</file>

<file path=docProps/custom.xml><?xml version="1.0" encoding="utf-8"?>
<Properties xmlns="http://schemas.openxmlformats.org/officeDocument/2006/custom-properties" xmlns:vt="http://schemas.openxmlformats.org/officeDocument/2006/docPropsVTypes"/>
</file>