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p>
    <w:p>
      <w:pPr>
        <w:spacing w:after="120" w:before="120"/>
      </w:pPr>
    </w:p>
    <w:p>
      <w:pPr>
        <w:spacing w:after="120" w:before="120"/>
      </w:pPr>
    </w:p>
    <w:p>
      <w:pPr>
        <w:spacing w:after="120" w:before="120"/>
      </w:pPr>
    </w:p>
    <w:p>
      <w:pPr>
        <w:spacing w:after="60"/>
        <w:jc w:val="center"/>
      </w:pPr>
      <w:r>
        <w:rPr>
          <w:rFonts w:ascii="Arial" w:cs="Arial" w:eastAsia="Arial" w:hAnsi="Arial"/>
          <w:b/>
          <w:bCs/>
          <w:color w:val="1B3A5C"/>
          <w:sz w:val="48"/>
          <w:szCs w:val="48"/>
        </w:rPr>
        <w:t xml:space="preserve">BILL HOLDINGS, INC.</w:t>
      </w:r>
    </w:p>
    <w:p>
      <w:pPr>
        <w:spacing w:after="60"/>
        <w:jc w:val="center"/>
      </w:pPr>
      <w:r>
        <w:rPr>
          <w:rFonts w:ascii="Arial" w:cs="Arial" w:eastAsia="Arial" w:hAnsi="Arial"/>
          <w:color w:val="2E75B6"/>
          <w:sz w:val="32"/>
          <w:szCs w:val="32"/>
        </w:rPr>
        <w:t xml:space="preserve">NYSE: BILL</w:t>
      </w:r>
    </w:p>
    <w:p>
      <w:pPr>
        <w:spacing w:after="120" w:before="120"/>
      </w:pPr>
    </w:p>
    <w:p>
      <w:pPr>
        <w:spacing w:after="120"/>
        <w:jc w:val="center"/>
      </w:pPr>
      <w:r>
        <w:rPr>
          <w:rFonts w:ascii="Arial" w:cs="Arial" w:eastAsia="Arial" w:hAnsi="Arial"/>
          <w:b/>
          <w:bCs/>
          <w:color w:val="4A4A4A"/>
          <w:sz w:val="28"/>
          <w:szCs w:val="28"/>
        </w:rPr>
        <w:t xml:space="preserve">SaaS Antifragility Framework v2.0</w:t>
      </w:r>
    </w:p>
    <w:p>
      <w:pPr>
        <w:spacing w:after="60"/>
        <w:jc w:val="center"/>
      </w:pPr>
      <w:r>
        <w:rPr>
          <w:rFonts w:ascii="Arial" w:cs="Arial" w:eastAsia="Arial" w:hAnsi="Arial"/>
          <w:color w:val="4A4A4A"/>
          <w:sz w:val="22"/>
          <w:szCs w:val="22"/>
        </w:rPr>
        <w:t xml:space="preserve">Stoffel-Feroldi × Bustamante</w:t>
      </w:r>
    </w:p>
    <w:p>
      <w:pPr>
        <w:jc w:val="center"/>
      </w:pPr>
      <w:r>
        <w:rPr>
          <w:rFonts w:ascii="Arial" w:cs="Arial" w:eastAsia="Arial" w:hAnsi="Arial"/>
          <w:color w:val="4A4A4A"/>
          <w:sz w:val="22"/>
          <w:szCs w:val="22"/>
        </w:rPr>
        <w:t xml:space="preserve">March 2026</w:t>
      </w:r>
    </w:p>
    <w:p>
      <w:pPr>
        <w:spacing w:after="120" w:before="120"/>
      </w:pP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Market Cap</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Q2 FY2026 Total Rev</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Core Rev Growth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4A4A4A"/>
                <w:sz w:val="20"/>
                <w:szCs w:val="20"/>
              </w:rPr>
              <w:t xml:space="preserve">~$4.1B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4A4A4A"/>
                <w:sz w:val="20"/>
                <w:szCs w:val="20"/>
              </w:rPr>
              <w:t xml:space="preserve">$414.7M (+14%)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4A4A4A"/>
                <w:sz w:val="20"/>
                <w:szCs w:val="20"/>
              </w:rPr>
              <w:t xml:space="preserve">+17% YoY</w:t>
            </w:r>
          </w:p>
        </w:tc>
      </w:tr>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Payment Volume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Businesses Served</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Stock Price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4A4A4A"/>
                <w:sz w:val="20"/>
                <w:szCs w:val="20"/>
              </w:rPr>
              <w:t xml:space="preserve">$95B/quarter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4A4A4A"/>
                <w:sz w:val="20"/>
                <w:szCs w:val="20"/>
              </w:rPr>
              <w:t xml:space="preserve">498,500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4A4A4A"/>
                <w:sz w:val="20"/>
                <w:szCs w:val="20"/>
              </w:rPr>
              <w:t xml:space="preserve">~$40</w:t>
            </w:r>
          </w:p>
        </w:tc>
      </w:tr>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FY2026E Core Rev</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Float Income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Free Cash Flow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4A4A4A"/>
                <w:sz w:val="20"/>
                <w:szCs w:val="20"/>
              </w:rPr>
              <w:t xml:space="preserve">$1.49–1.51B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4A4A4A"/>
                <w:sz w:val="20"/>
                <w:szCs w:val="20"/>
              </w:rPr>
              <w:t xml:space="preserve">$39.6M/quarter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4A4A4A"/>
                <w:sz w:val="20"/>
                <w:szCs w:val="20"/>
              </w:rPr>
              <w:t xml:space="preserve">$84.9M Q2</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D32" w:val="clear"/>
            <w:tcMar>
              <w:top w:type="dxa" w:w="100"/>
              <w:left w:type="dxa" w:w="140"/>
              <w:bottom w:type="dxa" w:w="100"/>
              <w:right w:type="dxa" w:w="140"/>
            </w:tcMar>
          </w:tcPr>
          <w:p>
            <w:pPr>
              <w:jc w:val="center"/>
            </w:pPr>
            <w:r>
              <w:rPr>
                <w:rFonts w:ascii="Arial" w:cs="Arial" w:eastAsia="Arial" w:hAnsi="Arial"/>
                <w:b/>
                <w:bCs/>
                <w:color w:val="FFFFFF"/>
                <w:sz w:val="26"/>
                <w:szCs w:val="26"/>
              </w:rPr>
              <w:t xml:space="preserve">Pre-Screen Verdict: PROCEED WITH HIGH CONFIDENCE</w:t>
            </w:r>
          </w:p>
        </w:tc>
      </w:tr>
    </w:tbl>
    <w:p>
      <w:r>
        <w:br w:type="page"/>
      </w:r>
    </w:p>
    <w:p>
      <w:pPr>
        <w:pStyle w:val="Heading1"/>
      </w:pPr>
      <w:r>
        <w:t xml:space="preserve">STAGE 1: BUSTAMANTE MDI PRE-SCREEN</w:t>
      </w:r>
    </w:p>
    <w:p>
      <w:pPr>
        <w:spacing w:after="120" w:before="60"/>
      </w:pPr>
      <w:r>
        <w:rPr>
          <w:rFonts w:ascii="Arial" w:cs="Arial" w:eastAsia="Arial" w:hAnsi="Arial"/>
          <w:color w:val="4A4A4A"/>
          <w:sz w:val="22"/>
          <w:szCs w:val="22"/>
        </w:rPr>
        <w:t xml:space="preserve">Bill.com operates as a financial operations platform for small and mid-market businesses (SMBs), providing accounts payable (AP), accounts receivable (AR), expense management, and payment processing. The platform processes ~$95 billion in payment volume quarterly, embedding itself directly in SMB payment flows. Revenue comes from subscription fees, transaction fees on payments processed, and float income on funds held.</w:t>
      </w:r>
    </w:p>
    <w:p>
      <w:pPr>
        <w:spacing w:after="120" w:before="120"/>
      </w:pPr>
    </w:p>
    <w:p>
      <w:pPr>
        <w:pStyle w:val="Heading2"/>
      </w:pPr>
      <w:r>
        <w:t xml:space="preserve">Moats 1–5: Moats Being Destroyed by LLMs</w:t>
      </w:r>
    </w:p>
    <w:tbl>
      <w:tblPr>
        <w:tblW w:type="auto"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60"/>
        <w:gridCol w:w="58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Moat</w:t>
            </w:r>
          </w:p>
        </w:tc>
        <w:tc>
          <w:tcPr>
            <w:tcW w:type="dxa" w:w="1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Evidence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1. Learned Interface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F57F17"/>
                <w:sz w:val="20"/>
                <w:szCs w:val="20"/>
              </w:rPr>
              <w:t xml:space="preserve">Partially Eroded</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BILL has a proprietary AP/AR workflow interface, but LLM-powered competitors (Ramp, Brex, Mercury) are offering AI-native financial automation with natural language interfaces. Bill’s legacy UI is a modest switching cost, not a moat. However, accountant familiarity with BILL (80,000+ accounting firms) creates interface stickiness in the channel.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A4A4A"/>
                <w:sz w:val="20"/>
                <w:szCs w:val="20"/>
              </w:rPr>
              <w:t xml:space="preserve">2. Custom Workflows</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F57F17"/>
                <w:sz w:val="20"/>
                <w:szCs w:val="20"/>
              </w:rPr>
              <w:t xml:space="preserve">Partially Eroded</w:t>
            </w:r>
          </w:p>
        </w:tc>
        <w:tc>
          <w:tcPr>
            <w:tcW w:type="dxa" w:w="5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AP/AR approval workflows, payment routing logic, and multi-entity management are replicable by AI-native platforms. Ramp has replicated core AP automation at lower cost. However, BILL’s multi-decade integration with accounting systems (QuickBooks, NetSuite, Sage) and 80K+ accounting firm partnerships represent workflow depth that takes time to replicate.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3. Public Data Access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4A4A4A"/>
                <w:sz w:val="20"/>
                <w:szCs w:val="20"/>
              </w:rPr>
              <w:t xml:space="preserve">N/A</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BILL’s value is not derived from organizing public data. Not applicable to this business model.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A4A4A"/>
                <w:sz w:val="20"/>
                <w:szCs w:val="20"/>
              </w:rPr>
              <w:t xml:space="preserve">4. Talent Scarcity</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Inverted</w:t>
            </w:r>
          </w:p>
        </w:tc>
        <w:tc>
          <w:tcPr>
            <w:tcW w:type="dxa" w:w="5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15+ well-funded AI-native competitors have entered SMB fintech in 24 months: Ramp ($13B valuation), Brex ($12B), Mercury ($3.5B), Rippling, Airbase (acquired by Paylocity), Tipalti, Zip, Stampli. LLMs have collapsed the engineering barrier to building payment automation software.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5. Bundling</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F57F17"/>
                <w:sz w:val="20"/>
                <w:szCs w:val="20"/>
              </w:rPr>
              <w:t xml:space="preserve">Weakening</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BILL offers AP + AR + expense management + payments as a bundle. However, Ramp has bundled AP + corporate cards + expense management more effectively for mid-market. Brex competes on the card/expense side. The bundle is under pressure from both ends.</w:t>
            </w:r>
          </w:p>
        </w:tc>
      </w:tr>
    </w:tbl>
    <w:p>
      <w:pPr>
        <w:spacing w:after="120" w:before="120"/>
      </w:pPr>
    </w:p>
    <w:p>
      <w:pPr>
        <w:pStyle w:val="Heading2"/>
      </w:pPr>
      <w:r>
        <w:t xml:space="preserve">Moats 6–10: Structural Moats Assessment</w:t>
      </w:r>
    </w:p>
    <w:tbl>
      <w:tblPr>
        <w:tblW w:type="auto"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60"/>
        <w:gridCol w:w="58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Moat</w:t>
            </w:r>
          </w:p>
        </w:tc>
        <w:tc>
          <w:tcPr>
            <w:tcW w:type="dxa" w:w="1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Evidence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6. Proprietary Data</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E7D32"/>
                <w:sz w:val="20"/>
                <w:szCs w:val="20"/>
              </w:rPr>
              <w:t xml:space="preserve">Strengthening</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BILL has ~$380B+ annualized payment flow data across 498,500 businesses. This transaction-level data on SMB payment patterns, vendor relationships, and cash flow timing is genuinely proprietary and cannot be licensed or synthesized. It enables fraud detection, cash flow prediction, and credit risk assessment that improves with scale. Aggregation risk: LOW — BILL owns the customer relationship.</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A4A4A"/>
                <w:sz w:val="20"/>
                <w:szCs w:val="20"/>
              </w:rPr>
              <w:t xml:space="preserve">7. Regulatory Lock-in</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Structural</w:t>
            </w:r>
          </w:p>
        </w:tc>
        <w:tc>
          <w:tcPr>
            <w:tcW w:type="dxa" w:w="5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BILL holds money transmitter licenses in all 50 states (via its subsidiary). Money transmission licensing takes 12–24 months per state and requires ongoing compliance (bonding, capital requirements, state examinations). This is a genuine regulatory moat — competitors must obtain these licenses individually. SOC 1/SOC 2 Type II compliance, PCI-DSS certification. NACHA compliance for ACH processing.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8. Network Effects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E7D32"/>
                <w:sz w:val="20"/>
                <w:szCs w:val="20"/>
              </w:rPr>
              <w:t xml:space="preserve">Genuine</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BILL’s two-sided payment network connects payers and suppliers. When a business pays a vendor through BILL, the vendor is invited to join. This creates a genuine network effect: more payers = more suppliers on the network = faster settlement, lower friction, better data. 498,500 businesses on the platform creating cross-network value. This is a real network effect, not a mischaracterized scale effect.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A4A4A"/>
                <w:sz w:val="20"/>
                <w:szCs w:val="20"/>
              </w:rPr>
              <w:t xml:space="preserve">9. Transaction Embedding</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Deeply Embedded</w:t>
            </w:r>
          </w:p>
        </w:tc>
        <w:tc>
          <w:tcPr>
            <w:tcW w:type="dxa" w:w="5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BILL processes $95B+ in quarterly payment volume. It originates ACH payments, processes checks, facilitates cross-border payments, and manages virtual card transactions. The software IS the payment rail for 498,500 businesses. Turning off BILL means vendors stop getting paid. This is the strongest moat — BILL is in the money flow, not analyzing 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10. System of Record</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E7D32"/>
                <w:sz w:val="20"/>
                <w:szCs w:val="20"/>
              </w:rPr>
              <w:t xml:space="preserve">Strong</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BILL is the canonical AP/AR system of record for hundreds of thousands of SMBs. Payment history, vendor records, approval chains, and audit trails are stored in BILL. Migration risk is high: corrupted payment records or lost audit trails during migration could result in duplicate payments, missed payments, or compliance failures. Agent memory risk: LOW near-term, MEDIUM long-term (5–10 year).</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D32" w:val="clear"/>
            <w:tcMar>
              <w:top w:type="dxa" w:w="100"/>
              <w:left w:type="dxa" w:w="140"/>
              <w:bottom w:type="dxa" w:w="100"/>
              <w:right w:type="dxa" w:w="140"/>
            </w:tcMar>
          </w:tcPr>
          <w:p>
            <w:pPr>
              <w:jc w:val="center"/>
            </w:pPr>
            <w:r>
              <w:rPr>
                <w:rFonts w:ascii="Arial" w:cs="Arial" w:eastAsia="Arial" w:hAnsi="Arial"/>
                <w:b/>
                <w:bCs/>
                <w:color w:val="FFFFFF"/>
                <w:sz w:val="26"/>
                <w:szCs w:val="26"/>
              </w:rPr>
              <w:t xml:space="preserve">MDI Score: 5/5 Intact Structural Moats — LOWER RISK</w:t>
            </w:r>
          </w:p>
        </w:tc>
      </w:tr>
    </w:tbl>
    <w:p>
      <w:pPr>
        <w:spacing w:after="120" w:before="120"/>
      </w:pPr>
    </w:p>
    <w:p>
      <w:pPr>
        <w:pStyle w:val="Heading2"/>
      </w:pPr>
      <w:r>
        <w:t xml:space="preserve">MDI Three-Question Test</w:t>
      </w:r>
    </w:p>
    <w:tbl>
      <w:tblPr>
        <w:tblW w:type="auto"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1200"/>
        <w:gridCol w:w="2560"/>
      </w:tblGrid>
      <w:tr>
        <w:tc>
          <w:tcPr>
            <w:tcW w:type="dxa" w:w="5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Answer</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Score</w:t>
            </w:r>
          </w:p>
        </w:tc>
      </w:tr>
      <w:tr>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Q1: Is the core data proprietary?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E7D32"/>
                <w:sz w:val="20"/>
                <w:szCs w:val="20"/>
              </w:rPr>
              <w:t xml:space="preserve">Yes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4A4A4A"/>
                <w:sz w:val="20"/>
                <w:szCs w:val="20"/>
              </w:rPr>
              <w:t xml:space="preserve">1</w:t>
            </w:r>
          </w:p>
        </w:tc>
      </w:tr>
      <w:tr>
        <w:tc>
          <w:tcPr>
            <w:tcW w:type="dxa" w:w="5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Q2: Is there regulatory lock-in?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Yes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4A4A4A"/>
                <w:sz w:val="20"/>
                <w:szCs w:val="20"/>
              </w:rPr>
              <w:t xml:space="preserve">1</w:t>
            </w:r>
          </w:p>
        </w:tc>
      </w:tr>
      <w:tr>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Q3: Is the software embedded in the transaction?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E7D32"/>
                <w:sz w:val="20"/>
                <w:szCs w:val="20"/>
              </w:rPr>
              <w:t xml:space="preserve">Yes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4A4A4A"/>
                <w:sz w:val="20"/>
                <w:szCs w:val="20"/>
              </w:rPr>
              <w:t xml:space="preserve">1</w:t>
            </w:r>
          </w:p>
        </w:tc>
      </w:tr>
    </w:tbl>
    <w:p>
      <w:pPr>
        <w:spacing w:after="120" w:before="120"/>
      </w:pPr>
    </w:p>
    <w:p>
      <w:pPr>
        <w:spacing w:after="120" w:before="60"/>
      </w:pPr>
      <w:r>
        <w:rPr>
          <w:rFonts w:ascii="Arial" w:cs="Arial" w:eastAsia="Arial" w:hAnsi="Arial"/>
          <w:b/>
          <w:bCs/>
          <w:color w:val="4A4A4A"/>
          <w:sz w:val="22"/>
          <w:szCs w:val="22"/>
        </w:rPr>
        <w:t xml:space="preserve">Three-Question Score: </w:t>
      </w:r>
      <w:r>
        <w:rPr>
          <w:rFonts w:ascii="Arial" w:cs="Arial" w:eastAsia="Arial" w:hAnsi="Arial"/>
          <w:color w:val="4A4A4A"/>
          <w:sz w:val="22"/>
          <w:szCs w:val="22"/>
        </w:rPr>
        <w:t xml:space="preserve">3/3 — LOWER RISK. BILL passes all three tests. The rare company with structural moats across proprietary data, regulatory compliance, and transaction embedding.</w:t>
      </w:r>
    </w:p>
    <w:p>
      <w:pPr>
        <w:spacing w:after="120" w:before="120"/>
      </w:pPr>
    </w:p>
    <w:p>
      <w:pPr>
        <w:pStyle w:val="Heading2"/>
      </w:pPr>
      <w:r>
        <w:t xml:space="preserve">Competitive Pressure Assessment</w:t>
      </w:r>
    </w:p>
    <w:tbl>
      <w:tblPr>
        <w:tblW w:type="auto"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400"/>
        <w:gridCol w:w="2660"/>
        <w:gridCol w:w="24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Founded</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Funding/Val</w:t>
            </w:r>
          </w:p>
        </w:tc>
        <w:tc>
          <w:tcPr>
            <w:tcW w:type="dxa" w:w="2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Core Function</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Pricing vs BILL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Ramp</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2019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$13B</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AP + cards + expense mgmt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Free (card interchange)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A4A4A"/>
                <w:sz w:val="20"/>
                <w:szCs w:val="20"/>
              </w:rPr>
              <w:t xml:space="preserve">Brex</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2017</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$12B</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Cards + expense + travel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Premium (enterprise focus)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Mercury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2019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$3.5B</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Banking + payments + AP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Free tier available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A4A4A"/>
                <w:sz w:val="20"/>
                <w:szCs w:val="20"/>
              </w:rPr>
              <w:t xml:space="preserve">Tipalti</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2010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$8.3B</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Global payables automation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Comparable</w:t>
            </w:r>
          </w:p>
        </w:tc>
      </w:tr>
    </w:tbl>
    <w:p>
      <w:pPr>
        <w:spacing w:after="120" w:before="120"/>
      </w:pPr>
    </w:p>
    <w:p>
      <w:pPr>
        <w:spacing w:after="120" w:before="60"/>
      </w:pPr>
      <w:r>
        <w:rPr>
          <w:rFonts w:ascii="Arial" w:cs="Arial" w:eastAsia="Arial" w:hAnsi="Arial"/>
          <w:color w:val="4A4A4A"/>
          <w:sz w:val="22"/>
          <w:szCs w:val="22"/>
        </w:rPr>
        <w:t xml:space="preserve">Estimated AI-native entrants in last 24 months: 10–15. Disruption stage: MID. Pricing pressure is real (Ramp offers free AP for card customers), but BILL’s transaction embedding and regulatory moats create structural defense that pure software competitors lack.</w:t>
      </w:r>
    </w:p>
    <w:p>
      <w:pPr>
        <w:spacing w:after="120" w:before="120"/>
      </w:pPr>
    </w:p>
    <w:p>
      <w:pPr>
        <w:spacing w:after="120" w:before="60"/>
      </w:pPr>
      <w:r>
        <w:rPr>
          <w:rFonts w:ascii="Arial" w:cs="Arial" w:eastAsia="Arial" w:hAnsi="Arial"/>
          <w:color w:val="4A4A4A"/>
          <w:sz w:val="22"/>
          <w:szCs w:val="22"/>
        </w:rPr>
        <w:t xml:space="preserve">Horizontal platform threat: MEDIUM. Microsoft Copilot/Dynamics could theoretically enter SMB payments, but money transmitter licensing creates a hard regulatory barrier. Anthropic/OpenAI are not targeting payment processing directly. The threat is more from fintech bundlers (Ramp, Brex) than from AI horizontal platforms.</w:t>
      </w:r>
    </w:p>
    <w:p>
      <w:r>
        <w:br w:type="page"/>
      </w:r>
    </w:p>
    <w:p>
      <w:pPr>
        <w:pStyle w:val="Heading1"/>
      </w:pPr>
      <w:r>
        <w:t xml:space="preserve">STAGE 2: STOFFEL-FEROLDI DIMENSION SCORING</w:t>
      </w:r>
    </w:p>
    <w:p>
      <w:pPr>
        <w:spacing w:after="120" w:before="120"/>
      </w:pPr>
    </w:p>
    <w:tbl>
      <w:tblPr>
        <w:tblW w:type="auto"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900"/>
        <w:gridCol w:w="47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D1: Liability Shield (15%)</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8/10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15%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Payment processing failures have direct financial consequences: missed payroll, late vendor payments, compliance violations. BILL processes $95B quarterly — errors result in real monetary harm. Money transmitter regulations impose fiduciary duty. The liability for switching to an unvalidated payment system is acute — a failed payment run could damage vendor relationships and trigger compliance issues. Score: 8/10.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A4A4A"/>
                <w:sz w:val="20"/>
                <w:szCs w:val="20"/>
              </w:rPr>
              <w:t xml:space="preserve">D2: Business Model (30%)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F57F17"/>
                <w:sz w:val="20"/>
                <w:szCs w:val="20"/>
              </w:rPr>
              <w:t xml:space="preserve">7/10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30%</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Hybrid model: subscription fees + transaction fees + float income. Transaction fees scale with payment volume (AI-aligned — more automated payments = more volume). Float income ($39.6M/quarter) is rate-sensitive but provides margin buffer. Core revenue growing 17% YoY. NRR not disclosed but implied strong via payment volume growth. However, Ramp’s free AP model funded by card interchange represents a business model threat to subscription revenue. Score: 7/10.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D3: Physical Integration (15%)</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9/10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15%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BILL is in the money flow. It processes ACH, checks, cross-border payments, and virtual cards. It holds funds in transit. It is embedded in the accounting system (QuickBooks, NetSuite, Sage integrations). Turning off BILL halts vendor payments for 498,500 businesses. This is infrastructure-level integration, not an analytics overlay. Deepest physical integration score in our SaaS coverage. Score: 9/10.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A4A4A"/>
                <w:sz w:val="20"/>
                <w:szCs w:val="20"/>
              </w:rPr>
              <w:t xml:space="preserve">D4: Network &amp; Data Gravity (40%)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F57F17"/>
                <w:sz w:val="20"/>
                <w:szCs w:val="20"/>
              </w:rPr>
              <w:t xml:space="preserve">7/10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40%</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Two-sided payment network with genuine network effects (payers invite suppliers). 498,500 businesses create cross-network data gravity. Proprietary payment data ($380B+ annualized) enables fraud detection and cash flow analytics that improve with scale. 80,000+ accounting firm partnerships create a distribution channel that doubles as a network. However, Ramp and Brex are building competing networks with strong growth. Data gravity is real but not yet dominant enough to be winner-take-all. Score: 7/10.</w:t>
            </w:r>
          </w:p>
        </w:tc>
      </w:tr>
    </w:tbl>
    <w:p>
      <w:pPr>
        <w:spacing w:after="120" w:before="120"/>
      </w:pPr>
    </w:p>
    <w:p>
      <w:pPr>
        <w:spacing w:after="120" w:before="60"/>
      </w:pPr>
      <w:r>
        <w:rPr>
          <w:rFonts w:ascii="Arial" w:cs="Arial" w:eastAsia="Arial" w:hAnsi="Arial"/>
          <w:b/>
          <w:bCs/>
          <w:color w:val="4A4A4A"/>
          <w:sz w:val="22"/>
          <w:szCs w:val="22"/>
        </w:rPr>
        <w:t xml:space="preserve">Raw Composite: </w:t>
      </w:r>
      <w:r>
        <w:rPr>
          <w:rFonts w:ascii="Arial" w:cs="Arial" w:eastAsia="Arial" w:hAnsi="Arial"/>
          <w:color w:val="4A4A4A"/>
          <w:sz w:val="22"/>
          <w:szCs w:val="22"/>
        </w:rPr>
        <w:t xml:space="preserve">(8 × 0.15) + (7 × 0.30) + (9 × 0.15) + (7 × 0.40) = 1.20 + 2.10 + 1.35 + 2.80 = 7.45 / 10</w:t>
      </w:r>
    </w:p>
    <w:p>
      <w:pPr>
        <w:spacing w:after="120" w:before="120"/>
      </w:pPr>
    </w:p>
    <w:p>
      <w:pPr>
        <w:pStyle w:val="Heading2"/>
      </w:pPr>
      <w:r>
        <w:t xml:space="preserve">Modifiers</w:t>
      </w:r>
    </w:p>
    <w:p>
      <w:pPr>
        <w:spacing w:after="120" w:before="60"/>
      </w:pPr>
      <w:r>
        <w:rPr>
          <w:rFonts w:ascii="Arial" w:cs="Arial" w:eastAsia="Arial" w:hAnsi="Arial"/>
          <w:b/>
          <w:bCs/>
          <w:color w:val="4A4A4A"/>
          <w:sz w:val="22"/>
          <w:szCs w:val="22"/>
        </w:rPr>
        <w:t xml:space="preserve">DIP (Data Integrity Premium): </w:t>
      </w:r>
      <w:r>
        <w:rPr>
          <w:rFonts w:ascii="Arial" w:cs="Arial" w:eastAsia="Arial" w:hAnsi="Arial"/>
          <w:color w:val="4A4A4A"/>
          <w:sz w:val="22"/>
          <w:szCs w:val="22"/>
        </w:rPr>
        <w:t xml:space="preserve">+0.75 — Money transmitter licensing in all 50 states. SOC 1/SOC 2 Type II. PCI-DSS. NACHA compliance. Fiduciary obligations on funds held in transit. Regulatory switching cost is 12–24 months of licensing per state for competitors. DIP Score: 3/5.</w:t>
      </w:r>
    </w:p>
    <w:p>
      <w:pPr>
        <w:spacing w:after="120" w:before="60"/>
      </w:pPr>
      <w:r>
        <w:rPr>
          <w:rFonts w:ascii="Arial" w:cs="Arial" w:eastAsia="Arial" w:hAnsi="Arial"/>
          <w:b/>
          <w:bCs/>
          <w:color w:val="4A4A4A"/>
          <w:sz w:val="22"/>
          <w:szCs w:val="22"/>
        </w:rPr>
        <w:t xml:space="preserve">CPP (Counter-Positioning Potential): </w:t>
      </w:r>
      <w:r>
        <w:rPr>
          <w:rFonts w:ascii="Arial" w:cs="Arial" w:eastAsia="Arial" w:hAnsi="Arial"/>
          <w:color w:val="4A4A4A"/>
          <w:sz w:val="22"/>
          <w:szCs w:val="22"/>
        </w:rPr>
        <w:t xml:space="preserve">+0.5 — BILL is launching AI features (intelligent AP routing, automated invoice processing), but hasn’t demonstrated a clear counter-positioning move against AI-native competitors. The AI features enhance the existing platform rather than creating a new category. CPP Score: 4/12.</w:t>
      </w:r>
    </w:p>
    <w:p>
      <w:pPr>
        <w:spacing w:after="120" w:before="120"/>
      </w:pPr>
    </w:p>
    <w:p>
      <w:pPr>
        <w:spacing w:after="120" w:before="60"/>
      </w:pPr>
      <w:r>
        <w:rPr>
          <w:rFonts w:ascii="Arial" w:cs="Arial" w:eastAsia="Arial" w:hAnsi="Arial"/>
          <w:b/>
          <w:bCs/>
          <w:color w:val="4A4A4A"/>
          <w:sz w:val="22"/>
          <w:szCs w:val="22"/>
        </w:rPr>
        <w:t xml:space="preserve">Final Composite: </w:t>
      </w:r>
      <w:r>
        <w:rPr>
          <w:rFonts w:ascii="Arial" w:cs="Arial" w:eastAsia="Arial" w:hAnsi="Arial"/>
          <w:color w:val="4A4A4A"/>
          <w:sz w:val="22"/>
          <w:szCs w:val="22"/>
        </w:rPr>
        <w:t xml:space="preserve">7.45 + 0.75 + 0.5 = 8.70 / 10</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D32" w:val="clear"/>
            <w:tcMar>
              <w:top w:type="dxa" w:w="100"/>
              <w:left w:type="dxa" w:w="140"/>
              <w:bottom w:type="dxa" w:w="100"/>
              <w:right w:type="dxa" w:w="140"/>
            </w:tcMar>
          </w:tcPr>
          <w:p>
            <w:pPr>
              <w:jc w:val="center"/>
            </w:pPr>
            <w:r>
              <w:rPr>
                <w:rFonts w:ascii="Arial" w:cs="Arial" w:eastAsia="Arial" w:hAnsi="Arial"/>
                <w:b/>
                <w:bCs/>
                <w:color w:val="FFFFFF"/>
                <w:sz w:val="26"/>
                <w:szCs w:val="26"/>
              </w:rPr>
              <w:t xml:space="preserve">FINAL CLASSIFICATION: ANTIFRAGILE (8.70/10)</w:t>
            </w:r>
          </w:p>
        </w:tc>
      </w:tr>
    </w:tbl>
    <w:p>
      <w:r>
        <w:br w:type="page"/>
      </w:r>
    </w:p>
    <w:p>
      <w:pPr>
        <w:pStyle w:val="Heading1"/>
      </w:pPr>
      <w:r>
        <w:t xml:space="preserve">VALUATION GATE</w:t>
      </w:r>
    </w:p>
    <w:tbl>
      <w:tblPr>
        <w:tblW w:type="auto"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Threshold (Antifragile)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BILL Current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NTM EV/Revenue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 15x (20x stretch w/ catalyst)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E7D32"/>
                <w:sz w:val="20"/>
                <w:szCs w:val="20"/>
              </w:rPr>
              <w:t xml:space="preserve">~2.5x</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A4A4A"/>
                <w:sz w:val="20"/>
                <w:szCs w:val="20"/>
              </w:rPr>
              <w:t xml:space="preserve">Market Cap / Core Rev</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Context metric</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~2.7x</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D32" w:val="clear"/>
            <w:tcMar>
              <w:top w:type="dxa" w:w="100"/>
              <w:left w:type="dxa" w:w="140"/>
              <w:bottom w:type="dxa" w:w="100"/>
              <w:right w:type="dxa" w:w="140"/>
            </w:tcMar>
          </w:tcPr>
          <w:p>
            <w:pPr>
              <w:jc w:val="center"/>
            </w:pPr>
            <w:r>
              <w:rPr>
                <w:rFonts w:ascii="Arial" w:cs="Arial" w:eastAsia="Arial" w:hAnsi="Arial"/>
                <w:b/>
                <w:bCs/>
                <w:color w:val="FFFFFF"/>
                <w:sz w:val="26"/>
                <w:szCs w:val="26"/>
              </w:rPr>
              <w:t xml:space="preserve">Valuation Gate: WIDE OPEN — Deeply undervalued for ANTIFRAGILE classification</w:t>
            </w:r>
          </w:p>
        </w:tc>
      </w:tr>
    </w:tbl>
    <w:p>
      <w:pPr>
        <w:spacing w:after="120" w:before="120"/>
      </w:pPr>
    </w:p>
    <w:p>
      <w:pPr>
        <w:spacing w:after="120" w:before="60"/>
      </w:pPr>
      <w:r>
        <w:rPr>
          <w:rFonts w:ascii="Arial" w:cs="Arial" w:eastAsia="Arial" w:hAnsi="Arial"/>
          <w:color w:val="4A4A4A"/>
          <w:sz w:val="22"/>
          <w:szCs w:val="22"/>
        </w:rPr>
        <w:t xml:space="preserve">At ~2.5x NTM EV/Revenue, BILL trades at a fraction of the 15x threshold for ANTIFRAGILE companies. The market is pricing BILL as if its moats don’t exist, applying a “disrupted SaaS” multiple to a transaction-embedded fintech platform. This is one of the widest valuation gaps in our coverage — the market appears to be pricing the competitive threat from Ramp/Brex without recognizing the structural regulatory and transaction moats that protect BILL’s core business.</w:t>
      </w:r>
    </w:p>
    <w:p>
      <w:r>
        <w:br w:type="page"/>
      </w:r>
    </w:p>
    <w:p>
      <w:pPr>
        <w:pStyle w:val="Heading1"/>
      </w:pPr>
      <w:r>
        <w:t xml:space="preserve">SCENARIO MODELING</w:t>
      </w:r>
    </w:p>
    <w:p>
      <w:pPr>
        <w:spacing w:after="120" w:before="60"/>
      </w:pPr>
      <w:r>
        <w:rPr>
          <w:rFonts w:ascii="Arial" w:cs="Arial" w:eastAsia="Arial" w:hAnsi="Arial"/>
          <w:b/>
          <w:bCs/>
          <w:color w:val="4A4A4A"/>
          <w:sz w:val="22"/>
          <w:szCs w:val="22"/>
        </w:rPr>
        <w:t xml:space="preserve">Bull Case (30% probability): </w:t>
      </w:r>
      <w:r>
        <w:rPr>
          <w:rFonts w:ascii="Arial" w:cs="Arial" w:eastAsia="Arial" w:hAnsi="Arial"/>
          <w:color w:val="4A4A4A"/>
          <w:sz w:val="22"/>
          <w:szCs w:val="22"/>
        </w:rPr>
        <w:t xml:space="preserve">Transaction volume accelerates to $500B+ annually as AI agents automate more payments through BILL’s rails. Accounting firm channel deepens. International expansion through cross-border payments. Core revenue reaches $2B+ by FY2028. Multiple re-rates to 6–8x. 150%+ upside. Requires: SMB market stabilization, successful AI feature adoption, international traction.</w:t>
      </w:r>
    </w:p>
    <w:p>
      <w:pPr>
        <w:spacing w:after="120" w:before="60"/>
      </w:pPr>
      <w:r>
        <w:rPr>
          <w:rFonts w:ascii="Arial" w:cs="Arial" w:eastAsia="Arial" w:hAnsi="Arial"/>
          <w:b/>
          <w:bCs/>
          <w:color w:val="4A4A4A"/>
          <w:sz w:val="22"/>
          <w:szCs w:val="22"/>
        </w:rPr>
        <w:t xml:space="preserve">Base Case (45% probability): </w:t>
      </w:r>
      <w:r>
        <w:rPr>
          <w:rFonts w:ascii="Arial" w:cs="Arial" w:eastAsia="Arial" w:hAnsi="Arial"/>
          <w:color w:val="4A4A4A"/>
          <w:sz w:val="22"/>
          <w:szCs w:val="22"/>
        </w:rPr>
        <w:t xml:space="preserve">Steady growth at 12–15% with transaction fees providing incremental upside. Ramp competition pressures subscription pricing but BILL retains installed base through switching costs and regulatory moats. Core revenue reaches ~$1.7B by FY2028. Multiple holds at 3–4x. 30–50% upside from current levels.</w:t>
      </w:r>
    </w:p>
    <w:p>
      <w:pPr>
        <w:spacing w:after="120" w:before="60"/>
      </w:pPr>
      <w:r>
        <w:rPr>
          <w:rFonts w:ascii="Arial" w:cs="Arial" w:eastAsia="Arial" w:hAnsi="Arial"/>
          <w:b/>
          <w:bCs/>
          <w:color w:val="4A4A4A"/>
          <w:sz w:val="22"/>
          <w:szCs w:val="22"/>
        </w:rPr>
        <w:t xml:space="preserve">Bear Case (25% probability): </w:t>
      </w:r>
      <w:r>
        <w:rPr>
          <w:rFonts w:ascii="Arial" w:cs="Arial" w:eastAsia="Arial" w:hAnsi="Arial"/>
          <w:color w:val="4A4A4A"/>
          <w:sz w:val="22"/>
          <w:szCs w:val="22"/>
        </w:rPr>
        <w:t xml:space="preserve">Ramp’s free AP model captures new SMB cohorts. BILL’s growth decelerates to single digits. Float income declines if rates fall significantly. Core revenue stagnates near $1.5–1.6B. Multiple compresses to 2x or below. Modest downside but structural moats prevent catastrophic value destruction.</w:t>
      </w:r>
    </w:p>
    <w:p>
      <w:r>
        <w:br w:type="page"/>
      </w:r>
    </w:p>
    <w:p>
      <w:pPr>
        <w:pStyle w:val="Heading1"/>
      </w:pPr>
      <w:r>
        <w:t xml:space="preserve">FINAL VERDICT</w:t>
      </w:r>
    </w:p>
    <w:tbl>
      <w:tblPr>
        <w:tblW w:type="auto"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MDI Score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E7D32"/>
                <w:sz w:val="20"/>
                <w:szCs w:val="20"/>
              </w:rPr>
              <w:t xml:space="preserve">5/5 — All structural moats intact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A4A4A"/>
                <w:sz w:val="20"/>
                <w:szCs w:val="20"/>
              </w:rPr>
              <w:t xml:space="preserve">Three-Question Score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E7D32"/>
                <w:sz w:val="20"/>
                <w:szCs w:val="20"/>
              </w:rPr>
              <w:t xml:space="preserve">3/3 — LOWER RISK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Final Composite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E7D32"/>
                <w:sz w:val="20"/>
                <w:szCs w:val="20"/>
              </w:rPr>
              <w:t xml:space="preserve">8.70/10 — ANTIFRAGILE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A4A4A"/>
                <w:sz w:val="20"/>
                <w:szCs w:val="20"/>
              </w:rPr>
              <w:t xml:space="preserve">Valuation Gate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E7D32"/>
                <w:sz w:val="20"/>
                <w:szCs w:val="20"/>
              </w:rPr>
              <w:t xml:space="preserve">WIDE OPEN (~2.5x vs 15x max for Antifragile)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Investment Rating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E7D32"/>
                <w:sz w:val="20"/>
                <w:szCs w:val="20"/>
              </w:rPr>
              <w:t xml:space="preserve">STRONG BUY — Antifragile moats at deeply discounted valuation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A4A4A"/>
                <w:sz w:val="20"/>
                <w:szCs w:val="20"/>
              </w:rPr>
              <w:t xml:space="preserve">Position Size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3–5% — Transaction-embedded fintech at single-digit revenue multiple</w:t>
            </w:r>
          </w:p>
        </w:tc>
      </w:tr>
    </w:tbl>
    <w:p>
      <w:pPr>
        <w:spacing w:after="120" w:before="120"/>
      </w:pPr>
    </w:p>
    <w:p>
      <w:pPr>
        <w:spacing w:after="120" w:before="60"/>
      </w:pPr>
      <w:r>
        <w:rPr>
          <w:rFonts w:ascii="Arial" w:cs="Arial" w:eastAsia="Arial" w:hAnsi="Arial"/>
          <w:b/>
          <w:bCs/>
          <w:color w:val="4A4A4A"/>
          <w:sz w:val="22"/>
          <w:szCs w:val="22"/>
        </w:rPr>
        <w:t xml:space="preserve">Thesis: </w:t>
      </w:r>
      <w:r>
        <w:rPr>
          <w:rFonts w:ascii="Arial" w:cs="Arial" w:eastAsia="Arial" w:hAnsi="Arial"/>
          <w:color w:val="4A4A4A"/>
          <w:sz w:val="22"/>
          <w:szCs w:val="22"/>
        </w:rPr>
        <w:t xml:space="preserve">BILL is a rare ANTIFRAGILE company trading at a FRAGILE valuation. The market is pricing the Ramp/Brex competitive narrative without recognizing that BILL’s moats are structural (money transmitter licenses, payment network effects, transaction embedding) not software moats. AI agents that automate payments will use BILL’s rails, not replace them. At ~2.5x NTM revenue, the risk/reward is asymmetric: structural moats protect the downside while any re-rating toward the mean for transaction-embedded fintechs provides significant upside.</w:t>
      </w:r>
    </w:p>
    <w:p>
      <w:pPr>
        <w:spacing w:after="120" w:before="120"/>
      </w:pPr>
    </w:p>
    <w:p>
      <w:pPr>
        <w:spacing w:after="120" w:before="60"/>
      </w:pPr>
      <w:r>
        <w:rPr>
          <w:rFonts w:ascii="Arial" w:cs="Arial" w:eastAsia="Arial" w:hAnsi="Arial"/>
          <w:b/>
          <w:bCs/>
          <w:color w:val="4A4A4A"/>
          <w:sz w:val="22"/>
          <w:szCs w:val="22"/>
        </w:rPr>
        <w:t xml:space="preserve">Key Risk: </w:t>
      </w:r>
      <w:r>
        <w:rPr>
          <w:rFonts w:ascii="Arial" w:cs="Arial" w:eastAsia="Arial" w:hAnsi="Arial"/>
          <w:color w:val="4A4A4A"/>
          <w:sz w:val="22"/>
          <w:szCs w:val="22"/>
        </w:rPr>
        <w:t xml:space="preserve">Ramp’s free AP model subsidized by card interchange. If Ramp can sustainably offer AP for free, BILL’s subscription pricing power erodes. Monitor Ramp’s unit economics closely — if interchange margins compress (regulatory or competitive), the free model breaks.</w:t>
      </w:r>
    </w:p>
    <w:p>
      <w:pPr>
        <w:spacing w:after="120" w:before="120"/>
      </w:pPr>
    </w:p>
    <w:p>
      <w:pPr>
        <w:spacing w:after="120" w:before="60"/>
      </w:pPr>
      <w:r>
        <w:rPr>
          <w:rFonts w:ascii="Arial" w:cs="Arial" w:eastAsia="Arial" w:hAnsi="Arial"/>
          <w:b/>
          <w:bCs/>
          <w:color w:val="4A4A4A"/>
          <w:sz w:val="22"/>
          <w:szCs w:val="22"/>
        </w:rPr>
        <w:t xml:space="preserve">Kill Switch: </w:t>
      </w:r>
      <w:r>
        <w:rPr>
          <w:rFonts w:ascii="Arial" w:cs="Arial" w:eastAsia="Arial" w:hAnsi="Arial"/>
          <w:color w:val="4A4A4A"/>
          <w:sz w:val="22"/>
          <w:szCs w:val="22"/>
        </w:rPr>
        <w:t xml:space="preserve">Sell if payment volume growth turns negative, if money transmitter regulations are materially eased (reducing regulatory moat), or if NRR equivalent falls below 90%.</w:t>
      </w:r>
    </w:p>
    <w:p>
      <w:pPr>
        <w:spacing w:after="120" w:before="120"/>
      </w:pPr>
    </w:p>
    <w:p>
      <w:pPr>
        <w:pBdr>
          <w:top w:val="single" w:color="CCCCCC" w:sz="4" w:space="1"/>
        </w:pBdr>
        <w:spacing w:after="60" w:before="200"/>
      </w:pPr>
      <w:r>
        <w:rPr>
          <w:rFonts w:ascii="Arial" w:cs="Arial" w:eastAsia="Arial" w:hAnsi="Arial"/>
          <w:b/>
          <w:bCs/>
          <w:i/>
          <w:iCs/>
          <w:color w:val="4A4A4A"/>
          <w:sz w:val="18"/>
          <w:szCs w:val="18"/>
        </w:rPr>
        <w:t xml:space="preserve">Disclaimer: </w:t>
      </w:r>
      <w:r>
        <w:rPr>
          <w:rFonts w:ascii="Arial" w:cs="Arial" w:eastAsia="Arial" w:hAnsi="Arial"/>
          <w:i/>
          <w:iCs/>
          <w:color w:val="4A4A4A"/>
          <w:sz w:val="18"/>
          <w:szCs w:val="18"/>
        </w:rPr>
        <w:t xml:space="preserve">This analysis is for educational and research purposes only and does not constitute investment advice. All data sourced from publicly available information including SEC filings, earnings calls, and company press releases. Past performance is not indicative of future results.</w:t>
      </w:r>
    </w:p>
    <w:p>
      <w:pPr>
        <w:spacing w:before="120"/>
      </w:pPr>
      <w:r>
        <w:rPr>
          <w:rFonts w:ascii="Arial" w:cs="Arial" w:eastAsia="Arial" w:hAnsi="Arial"/>
          <w:i/>
          <w:iCs/>
          <w:color w:val="4A4A4A"/>
          <w:sz w:val="18"/>
          <w:szCs w:val="18"/>
        </w:rPr>
        <w:t xml:space="preserve">Analysis Date: March 25, 2026 | Framework: SaaS Antifragility Framework v2.0 (Stoffel-Feroldi × Bustamante) | Generated with AI assistance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4A4A4A"/>
        <w:sz w:val="16"/>
        <w:szCs w:val="16"/>
      </w:rPr>
      <w:t xml:space="preserve">Confidential — For Investment Research Purposes Only</w:t>
    </w:r>
    <w:r>
      <w:rPr>
        <w:rFonts w:ascii="Arial" w:cs="Arial" w:eastAsia="Arial" w:hAnsi="Arial"/>
        <w:color w:val="4A4A4A"/>
        <w:sz w:val="16"/>
        <w:szCs w:val="16"/>
      </w:rPr>
      <w:t xml:space="preserve">	Page </w:t>
    </w:r>
    <w:r>
      <w:rPr>
        <w:rFonts w:ascii="Arial" w:cs="Arial" w:eastAsia="Arial" w:hAnsi="Arial"/>
        <w:color w:val="4A4A4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120"/>
    </w:pPr>
    <w:r>
      <w:rPr>
        <w:rFonts w:ascii="Arial" w:cs="Arial" w:eastAsia="Arial" w:hAnsi="Arial"/>
        <w:b/>
        <w:bCs/>
        <w:color w:val="2E75B6"/>
        <w:sz w:val="18"/>
        <w:szCs w:val="18"/>
      </w:rPr>
      <w:t xml:space="preserve">BILL | Bill Holdings Deep-Dive</w:t>
    </w:r>
    <w:r>
      <w:rPr>
        <w:rFonts w:ascii="Arial" w:cs="Arial" w:eastAsia="Arial" w:hAnsi="Arial"/>
        <w:color w:val="4A4A4A"/>
        <w:sz w:val="18"/>
        <w:szCs w:val="18"/>
      </w:rPr>
      <w:t xml:space="preserve">	Stoffel-Feroldi × Bustamante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2026-03-26T05:20:19.613Z</dcterms:created>
  <dcterms:modified xsi:type="dcterms:W3CDTF">2026-03-26T05:20:19.614Z</dcterms:modified>
</cp:coreProperties>
</file>

<file path=docProps/custom.xml><?xml version="1.0" encoding="utf-8"?>
<Properties xmlns="http://schemas.openxmlformats.org/officeDocument/2006/custom-properties" xmlns:vt="http://schemas.openxmlformats.org/officeDocument/2006/docPropsVTypes"/>
</file>