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60"/>
        <w:jc w:val="center"/>
      </w:pPr>
      <w:r>
        <w:rPr>
          <w:rFonts w:ascii="Arial" w:cs="Arial" w:eastAsia="Arial" w:hAnsi="Arial"/>
          <w:b/>
          <w:bCs/>
          <w:color w:val="1B3A5C"/>
          <w:sz w:val="48"/>
          <w:szCs w:val="48"/>
        </w:rPr>
        <w:t xml:space="preserve">DATADOG, INC.</w:t>
      </w:r>
    </w:p>
    <w:p>
      <w:pPr>
        <w:spacing w:after="60"/>
        <w:jc w:val="center"/>
      </w:pPr>
      <w:r>
        <w:rPr>
          <w:rFonts w:ascii="Arial" w:cs="Arial" w:eastAsia="Arial" w:hAnsi="Arial"/>
          <w:color w:val="2E75B6"/>
          <w:sz w:val="32"/>
          <w:szCs w:val="32"/>
        </w:rPr>
        <w:t xml:space="preserve">NASDAQ: DDOG</w:t>
      </w:r>
    </w:p>
    <w:p>
      <w:pPr>
        <w:spacing w:after="120" w:before="120"/>
      </w:pPr>
    </w:p>
    <w:p>
      <w:pPr>
        <w:spacing w:after="120"/>
        <w:jc w:val="center"/>
      </w:pPr>
      <w:r>
        <w:rPr>
          <w:rFonts w:ascii="Arial" w:cs="Arial" w:eastAsia="Arial" w:hAnsi="Arial"/>
          <w:b/>
          <w:bCs/>
          <w:color w:val="4A4A4A"/>
          <w:sz w:val="28"/>
          <w:szCs w:val="28"/>
        </w:rPr>
        <w:t xml:space="preserve">SaaS Antifragility Framework</w:t>
      </w:r>
    </w:p>
    <w:p>
      <w:pPr>
        <w:spacing w:after="60"/>
        <w:jc w:val="center"/>
      </w:pPr>
      <w:r>
        <w:rPr>
          <w:rFonts w:ascii="Arial" w:cs="Arial" w:eastAsia="Arial" w:hAnsi="Arial"/>
          <w:color w:val="4A4A4A"/>
          <w:sz w:val="22"/>
          <w:szCs w:val="22"/>
        </w:rPr>
        <w:t xml:space="preserve">Stoffel-Feroldi × Bustamante Integration v2.0</w:t>
      </w:r>
    </w:p>
    <w:p>
      <w:pPr>
        <w:jc w:val="center"/>
      </w:pPr>
      <w:r>
        <w:rPr>
          <w:rFonts w:ascii="Arial" w:cs="Arial" w:eastAsia="Arial" w:hAnsi="Arial"/>
          <w:color w:val="4A4A4A"/>
          <w:sz w:val="22"/>
          <w:szCs w:val="22"/>
        </w:rPr>
        <w:t xml:space="preserve">Stage 1 (MDI Pre-Screen) + Stage 2 (Main Assessment)</w:t>
      </w:r>
    </w:p>
    <w:p>
      <w:pPr>
        <w:jc w:val="center"/>
      </w:pPr>
      <w:r>
        <w:rPr>
          <w:rFonts w:ascii="Arial" w:cs="Arial" w:eastAsia="Arial" w:hAnsi="Arial"/>
          <w:color w:val="4A4A4A"/>
          <w:sz w:val="22"/>
          <w:szCs w:val="22"/>
        </w:rPr>
        <w:t xml:space="preserve">March 2026</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FY2025 Revenue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FY2026E Revenue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~$43–46B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$3.43B (+28%)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$4.06–$4.10B</w:t>
            </w:r>
          </w:p>
        </w:tc>
      </w:tr>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EV/Rev (NTM)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FCF 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~10–11x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Mid-110s%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26% ($915M)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Final Classification: ROBUST (7.25/10) — Modifier-Adjusted: ANTIFRAGILE-ADJACENT (8.25/10)</w:t>
            </w:r>
          </w:p>
        </w:tc>
      </w:tr>
    </w:tbl>
    <w:p>
      <w:r>
        <w:br w:type="page"/>
      </w:r>
    </w:p>
    <w:p>
      <w:pPr>
        <w:pStyle w:val="Heading1"/>
      </w:pPr>
      <w:r>
        <w:t xml:space="preserve">1. COMPANY OVERVIEW</w:t>
      </w:r>
    </w:p>
    <w:p>
      <w:pPr>
        <w:spacing w:after="120" w:before="60"/>
      </w:pPr>
      <w:r>
        <w:rPr>
          <w:rFonts w:ascii="Arial" w:cs="Arial" w:eastAsia="Arial" w:hAnsi="Arial"/>
          <w:color w:val="4A4A4A"/>
          <w:sz w:val="22"/>
          <w:szCs w:val="22"/>
        </w:rPr>
        <w:t xml:space="preserve">Datadog, Inc. is a cloud-native monitoring and analytics platform that provides infrastructure monitoring, application performance monitoring (APM), log management, security monitoring, and 26+ integrated products for cloud-scale applications. Founded in 2010 by Olivier Pomel (CEO) and Alexis Lê-Quôc (CTO), the company has grown into the dominant observability platform for cloud-native enterprises.</w:t>
      </w:r>
    </w:p>
    <w:p>
      <w:pPr>
        <w:spacing w:after="120" w:before="60"/>
      </w:pPr>
      <w:r>
        <w:rPr>
          <w:rFonts w:ascii="Arial" w:cs="Arial" w:eastAsia="Arial" w:hAnsi="Arial"/>
          <w:color w:val="4A4A4A"/>
          <w:sz w:val="22"/>
          <w:szCs w:val="22"/>
        </w:rPr>
        <w:t xml:space="preserve">Revenue model is consumption-based: customers pay based on infrastructure hosts monitored, log volumes ingested, APM traces processed, and other usage metrics. This aligns structurally with AI-era dynamics — more AI workloads mean more infrastructure to monitor, more logs to ingest, and more traces to analyze.</w:t>
      </w:r>
    </w:p>
    <w:p>
      <w:pPr>
        <w:spacing w:after="120" w:before="60"/>
      </w:pPr>
      <w:r>
        <w:rPr>
          <w:rFonts w:ascii="Arial" w:cs="Arial" w:eastAsia="Arial" w:hAnsi="Arial"/>
          <w:color w:val="4A4A4A"/>
          <w:sz w:val="22"/>
          <w:szCs w:val="22"/>
        </w:rPr>
        <w:t xml:space="preserve">Key metrics: 29,200+ customers, 3,500+ with ARR &gt; $100K, 603 with ARR &gt; $1M. Multi-product adoption is strong: 85% of customers use 2+ products, 45% use 4+ products, and 22% use 6+ products. Q4 2025 revenue was $953M (+29% YoY), with full-year FY2025 at $3.43B (+28%).</w:t>
      </w:r>
    </w:p>
    <w:p>
      <w:r>
        <w:br w:type="page"/>
      </w:r>
    </w:p>
    <w:p>
      <w:pPr>
        <w:pStyle w:val="Heading1"/>
      </w:pPr>
      <w:r>
        <w:t xml:space="preserve">2. STAGE 1: BUSTAMANTE 10-MOAT PRE-SCREEN</w:t>
      </w:r>
    </w:p>
    <w:p>
      <w:pPr>
        <w:spacing w:after="120" w:before="60"/>
      </w:pPr>
      <w:r>
        <w:rPr>
          <w:rFonts w:ascii="Arial" w:cs="Arial" w:eastAsia="Arial" w:hAnsi="Arial"/>
          <w:color w:val="4A4A4A"/>
          <w:sz w:val="22"/>
          <w:szCs w:val="22"/>
        </w:rPr>
        <w:t xml:space="preserve">The Bustamante MDI assesses which of 10 historical SaaS moats are intact, eroding, or destroyed by LLMs.</w:t>
      </w:r>
    </w:p>
    <w:p>
      <w:pPr>
        <w:spacing w:after="120" w:before="120"/>
      </w:pPr>
    </w:p>
    <w:p>
      <w:pPr>
        <w:pStyle w:val="Heading2"/>
      </w:pPr>
      <w:r>
        <w:t xml:space="preserve">Moats 1–5: Being Eroded/Destroyed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 Learned Interface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Partially Eroded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Datadog’s UI is complex and powerful (custom dashboards, query language, alert configuration). LLMs can help navigate it but cannot fully replace the visual monitoring experience. Datadog’s own Bits AI assistant actually reinforces the interface rather than replacing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2. Custom Workflows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Partially Eroded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Monitoring workflows (alert routing, escalation, dashboard creation) are reproducible by LLMs. However, Datadog’s workflows are deeply integrated into incident response processes that involve human judgment and organizational context. The workflow encoding is real but the intelligence layer on top is vulnerable.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3. Public Data 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N/A</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 does not organize public data. It ingests proprietary telemetry from customer infrastructure. This moat category is not applicable — and that is a positive signal. Datadog’s data is inherently private.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4. Talent Scarcity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Inverted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AI lowers the barrier to building monitoring tools. Grafana (open-source) + AI assistants could theoretically replicate basic monitoring. But Datadog’s scale (trillions of events/hour) and multi-product integration depth are extremely difficult to replicate. Talent scarcity moat is partially inverted but scale moat compensates.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5. Bundling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Intact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26+ products on a single platform. 85% multi-product adoption. The bundle is not just convenience — it’s correlated telemetry. When infrastructure metrics, APM traces, logs, and security signals are on one platform, root cause analysis across them is fundamentally more powerful. AI unbundling is unlikely here because the correlation IS the value.</w:t>
            </w:r>
          </w:p>
        </w:tc>
      </w:tr>
    </w:tbl>
    <w:p>
      <w:pPr>
        <w:spacing w:after="120" w:before="120"/>
      </w:pPr>
    </w:p>
    <w:p>
      <w:pPr>
        <w:pStyle w:val="Heading2"/>
      </w:pPr>
      <w:r>
        <w:t xml:space="preserve">Moats 6–10: Structural (MDI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6. Proprietary Data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STRENGTHENING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 ingests trillions of telemetry events per hour from customer infrastructure. This data is proprietary, real-time, and cannot be scraped, licensed, or synthesized. Each customer’s monitoring data is unique to their infrastructure. In aggregate, Datadog’s cross-customer telemetry powers ML models (Toto ML) that improve anomaly detection for all customers. Bustamante Data Test: PASS — this data cannot be obtained elsewhere.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7. Regulatory Lock-in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PARTIAL</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 is SOC 2 Type II certified, HIPAA-compliant, PCI-DSS compliant, and FedRAMP authorized. For regulated enterprises (healthcare, finance, government), compliance dashboards and audit trails are deeply embedded in compliance workflows. The software itself is not FDA-regulated, but it serves as compliance infrastructure. Partial moat.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8. Network Effects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GENUINE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Cross-product network effects: more products adopted = better correlated insights = harder to leave. Cross-team adoption: when DevOps, SRE, Security, and Developers all use Datadog, the platform becomes organizational infrastructure. Community contributions (integrations, dashboards) benefit all users. This is a genuine platform network effect.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9. Transaction Embedding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DEEPLY EMBEDDED</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Datadog’s agent runs on customer infrastructure 24/7, ingesting telemetry in real-time. If Datadog goes down, customers lose visibility into their entire infrastructure — they are flying blind during incidents. PagerDuty integrations, automated remediation workflows, and CI/CD pipeline monitoring make Datadog operationally critical. Turning it off isn’t just inconvenient — it’s dangerous.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10. System of Record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 is the system of record for infrastructure health, application performance, and security posture. Historical metrics, logs, and traces constitute an audit trail that compliance teams reference. Switching requires migrating years of historical telemetry and reconfiguring every alert, dashboard, and integration. Long-term agent memory risk is low because telemetry data is time-series, not conversational — an AI agent cannot accumulate equivalent operational context.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MDI Score: 4/5 Intact Structural Moats — LOWER RISK</w:t>
            </w:r>
          </w:p>
        </w:tc>
      </w:tr>
    </w:tbl>
    <w:p>
      <w:pPr>
        <w:spacing w:after="120" w:before="120"/>
      </w:pPr>
    </w:p>
    <w:p>
      <w:pPr>
        <w:pStyle w:val="Heading2"/>
      </w:pPr>
      <w:r>
        <w:t xml:space="preserve">Three-Question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Q1: Is the core data proprietary?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Q2: Is there regulatory lock-in?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Partial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0.5</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Q3: Is the software embedded in the transaction?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1</w:t>
            </w:r>
          </w:p>
        </w:tc>
      </w:tr>
    </w:tbl>
    <w:p>
      <w:pPr>
        <w:spacing w:after="120" w:before="120"/>
      </w:pPr>
    </w:p>
    <w:p>
      <w:pPr>
        <w:spacing w:after="120" w:before="60"/>
      </w:pPr>
      <w:r>
        <w:rPr>
          <w:rFonts w:ascii="Arial" w:cs="Arial" w:eastAsia="Arial" w:hAnsi="Arial"/>
          <w:b/>
          <w:bCs/>
          <w:color w:val="4A4A4A"/>
          <w:sz w:val="22"/>
          <w:szCs w:val="22"/>
        </w:rPr>
        <w:t xml:space="preserve">Three-Question Score: </w:t>
      </w:r>
      <w:r>
        <w:rPr>
          <w:rFonts w:ascii="Arial" w:cs="Arial" w:eastAsia="Arial" w:hAnsi="Arial"/>
          <w:color w:val="4A4A4A"/>
          <w:sz w:val="22"/>
          <w:szCs w:val="22"/>
        </w:rPr>
        <w:t xml:space="preserve">2.5/3 — LOWER RISK. Datadog passes on proprietary data and transaction embedding. Partial credit for regulatory lock-in (compliance tool, not itself regulated).</w:t>
      </w:r>
    </w:p>
    <w:p>
      <w:pPr>
        <w:spacing w:after="120" w:before="60"/>
      </w:pPr>
      <w:r>
        <w:rPr>
          <w:rFonts w:ascii="Arial" w:cs="Arial" w:eastAsia="Arial" w:hAnsi="Arial"/>
          <w:b/>
          <w:bCs/>
          <w:color w:val="4A4A4A"/>
          <w:sz w:val="22"/>
          <w:szCs w:val="22"/>
        </w:rPr>
        <w:t xml:space="preserve">Competitive Pressure: </w:t>
      </w:r>
      <w:r>
        <w:rPr>
          <w:rFonts w:ascii="Arial" w:cs="Arial" w:eastAsia="Arial" w:hAnsi="Arial"/>
          <w:color w:val="4A4A4A"/>
          <w:sz w:val="22"/>
          <w:szCs w:val="22"/>
        </w:rPr>
        <w:t xml:space="preserve">MID-stage disruption. Grafana/Prometheus (open-source), New Relic (consumption pivot), Dynatrace (AI-ops), and cloud-native tools (AWS CloudWatch, Azure Monitor) compete. OpenTelemetry adoption (55% YoY growth) creates portability risk. However, no single competitor offers Datadog’s breadth across 26+ products with correlated telemetry.</w:t>
      </w:r>
    </w:p>
    <w:p>
      <w:pPr>
        <w:spacing w:after="120" w:before="60"/>
      </w:pPr>
      <w:r>
        <w:rPr>
          <w:rFonts w:ascii="Arial" w:cs="Arial" w:eastAsia="Arial" w:hAnsi="Arial"/>
          <w:b/>
          <w:bCs/>
          <w:color w:val="4A4A4A"/>
          <w:sz w:val="22"/>
          <w:szCs w:val="22"/>
        </w:rPr>
        <w:t xml:space="preserve">Pre-Screen Verdict: </w:t>
      </w:r>
      <w:r>
        <w:rPr>
          <w:rFonts w:ascii="Arial" w:cs="Arial" w:eastAsia="Arial" w:hAnsi="Arial"/>
          <w:color w:val="4A4A4A"/>
          <w:sz w:val="22"/>
          <w:szCs w:val="22"/>
        </w:rPr>
        <w:t xml:space="preserve">PROCEED WITH HIGH CONFIDENCE in defensibility. MDI 4/5, Three-Question 2.5/3, Mid disruption stage with strong structural moats.</w:t>
      </w:r>
    </w:p>
    <w:p>
      <w:r>
        <w:br w:type="page"/>
      </w:r>
    </w:p>
    <w:p>
      <w:pPr>
        <w:pStyle w:val="Heading1"/>
      </w:pPr>
      <w:r>
        <w:t xml:space="preserve">3. STAGE 2: FOUR-DIMENSION SCORING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D1: Liability Shield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Infrastructure monitoring failure during an incident is operationally dangerous. If Datadog goes down during a customer’s outage, the customer is flying blind. SOC 2/HIPAA/PCI-DSS compliance requirements make switching to an unvalidated LLM alternative a compliance risk. Not FDA-level liability, but significant operational and compliance consequence. Score: 7/10.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D2: Business Model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Consumption-based pricing that scales with infrastructure growth. AI workloads generate more infrastructure to monitor = more Datadog usage. NRR mid-110s is healthy. 26+ products create massive expansion opportunity within accounts. Bits AI (100K+ investigations, 2K+ customers) represents an AI-native product line generating incremental consumption. Revenue is not seat-based — it grows as customers deploy more cloud infrastructure. Score: 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D3: Physical Integration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6/10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Datadog’s agent runs on customer servers, containers, and cloud instances, ingesting telemetry in real-time. It doesn’t process financial transactions but it IS the operational nervous system for cloud infrastructure. Turning it off doesn’t halt revenue directly, but it eliminates all infrastructure visibility during incidents — which for a cloud-native company can mean millions in downtime costs. Score: 6/10.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D4: Network &amp; Data Gravity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Strongest dimension. Proprietary telemetry data (trillions of events/hour) cannot be replicated. Cross-customer ML models (Toto) improve anomaly detection for all customers. Multi-product adoption creates compounding data gravity — infrastructure metrics correlated with APM traces correlated with logs correlated with security signals. This correlation is Datadog’s deepest moat. Bustamante Data Test: PASS. Aggregation Theory risk: LOW. Score: 8/10.</w:t>
            </w:r>
          </w:p>
        </w:tc>
      </w:tr>
    </w:tbl>
    <w:p>
      <w:pPr>
        <w:spacing w:after="120" w:before="120"/>
      </w:pPr>
    </w:p>
    <w:p>
      <w:pPr>
        <w:spacing w:after="120" w:before="60"/>
      </w:pPr>
      <w:r>
        <w:rPr>
          <w:rFonts w:ascii="Arial" w:cs="Arial" w:eastAsia="Arial" w:hAnsi="Arial"/>
          <w:b/>
          <w:bCs/>
          <w:color w:val="4A4A4A"/>
          <w:sz w:val="22"/>
          <w:szCs w:val="22"/>
        </w:rPr>
        <w:t xml:space="preserve">Raw Composite: </w:t>
      </w:r>
      <w:r>
        <w:rPr>
          <w:rFonts w:ascii="Arial" w:cs="Arial" w:eastAsia="Arial" w:hAnsi="Arial"/>
          <w:color w:val="4A4A4A"/>
          <w:sz w:val="22"/>
          <w:szCs w:val="22"/>
        </w:rPr>
        <w:t xml:space="preserve">(7 × 0.15) + (8 × 0.30) + (6 × 0.15) + (8 × 0.40) = 1.05 + 2.40 + 0.90 + 3.20 = 7.55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Raw Composite: 7.55 — Classification: ANTIFRAGILE (barely)</w:t>
            </w:r>
          </w:p>
        </w:tc>
      </w:tr>
    </w:tbl>
    <w:p>
      <w:r>
        <w:br w:type="page"/>
      </w:r>
    </w:p>
    <w:p>
      <w:pPr>
        <w:pStyle w:val="Heading1"/>
      </w:pPr>
      <w:r>
        <w:t xml:space="preserve">4. MODIFIERS: DIP + CPP</w:t>
      </w:r>
    </w:p>
    <w:p>
      <w:pPr>
        <w:pStyle w:val="Heading2"/>
      </w:pPr>
      <w:r>
        <w:t xml:space="preserve">DIP: Data Integrity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360"/>
      </w:tblGrid>
      <w:tr>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 Regulation mandates output format/accuracy/audit trail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 direct mandate</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2. Outputs used in legally binding docs/regulatory submissions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SOC 2 audit evidence</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 Software has regulatory certification new entrants need years to achieve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FedRAMP, HIPAA, PCI</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4. Compliance requires immutable audit trail of every action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Log retention policies</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5. Switching to unvalidated LLM alternative = compliance violation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4A4A4A"/>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Not technically a violation</w:t>
            </w:r>
          </w:p>
        </w:tc>
      </w:tr>
    </w:tbl>
    <w:p>
      <w:pPr>
        <w:spacing w:after="120" w:before="120"/>
      </w:pPr>
    </w:p>
    <w:p>
      <w:pPr>
        <w:spacing w:after="120" w:before="60"/>
      </w:pPr>
      <w:r>
        <w:rPr>
          <w:rFonts w:ascii="Arial" w:cs="Arial" w:eastAsia="Arial" w:hAnsi="Arial"/>
          <w:b/>
          <w:bCs/>
          <w:color w:val="4A4A4A"/>
          <w:sz w:val="22"/>
          <w:szCs w:val="22"/>
        </w:rPr>
        <w:t xml:space="preserve">DIP Score: </w:t>
      </w:r>
      <w:r>
        <w:rPr>
          <w:rFonts w:ascii="Arial" w:cs="Arial" w:eastAsia="Arial" w:hAnsi="Arial"/>
          <w:color w:val="4A4A4A"/>
          <w:sz w:val="22"/>
          <w:szCs w:val="22"/>
        </w:rPr>
        <w:t xml:space="preserve">3/5 → DIP Modifier: +0.5</w:t>
      </w:r>
    </w:p>
    <w:p>
      <w:pPr>
        <w:spacing w:after="120" w:before="120"/>
      </w:pPr>
    </w:p>
    <w:p>
      <w:pPr>
        <w:pStyle w:val="Heading2"/>
      </w:pPr>
      <w:r>
        <w:t xml:space="preserve">CPP: Counter-Positioning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360"/>
      </w:tblGrid>
      <w:tr>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 (0–2 each)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 Standalone AI-native product with consumption pricing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Bits AI (early stage)</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2. Management committed to cannibalizing seat revenue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Already consumption-based</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 AI revenue growing faster than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Bits AI 100K+ investigations</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4. Lower-priced AI entry point for startups/SMBs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A4A4A"/>
                <w:sz w:val="20"/>
                <w:szCs w:val="20"/>
              </w:rPr>
              <w:t xml:space="preserve">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 evidence</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5. Sales comp aligned to consumption 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Consumption-based model</w:t>
            </w:r>
          </w:p>
        </w:tc>
      </w:tr>
      <w:tr>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6. Company deploying AI internally for operational leverage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Toto ML, AI features</w:t>
            </w:r>
          </w:p>
        </w:tc>
      </w:tr>
    </w:tbl>
    <w:p>
      <w:pPr>
        <w:spacing w:after="120" w:before="120"/>
      </w:pPr>
    </w:p>
    <w:p>
      <w:pPr>
        <w:spacing w:after="120" w:before="60"/>
      </w:pPr>
      <w:r>
        <w:rPr>
          <w:rFonts w:ascii="Arial" w:cs="Arial" w:eastAsia="Arial" w:hAnsi="Arial"/>
          <w:b/>
          <w:bCs/>
          <w:color w:val="4A4A4A"/>
          <w:sz w:val="22"/>
          <w:szCs w:val="22"/>
        </w:rPr>
        <w:t xml:space="preserve">CPP Score: </w:t>
      </w:r>
      <w:r>
        <w:rPr>
          <w:rFonts w:ascii="Arial" w:cs="Arial" w:eastAsia="Arial" w:hAnsi="Arial"/>
          <w:color w:val="4A4A4A"/>
          <w:sz w:val="22"/>
          <w:szCs w:val="22"/>
        </w:rPr>
        <w:t xml:space="preserve">5/12 → CPP Modifier: +0.5</w:t>
      </w:r>
    </w:p>
    <w:p>
      <w:pPr>
        <w:spacing w:after="120" w:before="120"/>
      </w:pPr>
    </w:p>
    <w:p>
      <w:pPr>
        <w:spacing w:after="120" w:before="60"/>
      </w:pPr>
      <w:r>
        <w:rPr>
          <w:rFonts w:ascii="Arial" w:cs="Arial" w:eastAsia="Arial" w:hAnsi="Arial"/>
          <w:b/>
          <w:bCs/>
          <w:color w:val="4A4A4A"/>
          <w:sz w:val="22"/>
          <w:szCs w:val="22"/>
        </w:rPr>
        <w:t xml:space="preserve">Final Composite: </w:t>
      </w:r>
      <w:r>
        <w:rPr>
          <w:rFonts w:ascii="Arial" w:cs="Arial" w:eastAsia="Arial" w:hAnsi="Arial"/>
          <w:color w:val="4A4A4A"/>
          <w:sz w:val="22"/>
          <w:szCs w:val="22"/>
        </w:rPr>
        <w:t xml:space="preserve">7.55 + 0.5 (DIP) + 0.5 (CPP) = 8.55 /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FINAL CLASSIFICATION: ANTIFRAGILE (8.55/10)</w:t>
            </w:r>
          </w:p>
        </w:tc>
      </w:tr>
    </w:tbl>
    <w:p>
      <w:pPr>
        <w:spacing w:after="120" w:before="120"/>
      </w:pPr>
    </w:p>
    <w:p>
      <w:pPr>
        <w:spacing w:after="120" w:before="60"/>
      </w:pPr>
      <w:r>
        <w:rPr>
          <w:rFonts w:ascii="Arial" w:cs="Arial" w:eastAsia="Arial" w:hAnsi="Arial"/>
          <w:color w:val="4A4A4A"/>
          <w:sz w:val="22"/>
          <w:szCs w:val="22"/>
        </w:rPr>
        <w:t xml:space="preserve">Note on classification confidence: The raw composite of 7.55 places Datadog barely into ANTIFRAGILE territory on its own merits, before modifiers. The DIP and CPP modifiers reinforce rather than create the classification. This is important — DDOG is not modifier-dependent for its ANTIFRAGILE status, though the modifiers strengthen the case. The company’s ROBUST-to-ANTIFRAGILE positioning reflects genuine structural advantages (proprietary telemetry data, consumption model, multi-product correlation) rather than narrative.</w:t>
      </w:r>
    </w:p>
    <w:p>
      <w:pPr>
        <w:spacing w:after="120" w:before="60"/>
      </w:pPr>
      <w:r>
        <w:rPr>
          <w:rFonts w:ascii="Arial" w:cs="Arial" w:eastAsia="Arial" w:hAnsi="Arial"/>
          <w:b/>
          <w:bCs/>
          <w:color w:val="4A4A4A"/>
          <w:sz w:val="22"/>
          <w:szCs w:val="22"/>
        </w:rPr>
        <w:t xml:space="preserve">DIP/CPP Profile: </w:t>
      </w:r>
      <w:r>
        <w:rPr>
          <w:rFonts w:ascii="Arial" w:cs="Arial" w:eastAsia="Arial" w:hAnsi="Arial"/>
          <w:color w:val="4A4A4A"/>
          <w:sz w:val="22"/>
          <w:szCs w:val="22"/>
        </w:rPr>
        <w:t xml:space="preserve">Moderate DIP + Moderate CPP = Growth-oriented incumbent with meaningful compliance moat and early-stage AI positioning. Recommended position size: 3–5%.</w:t>
      </w:r>
    </w:p>
    <w:p>
      <w:r>
        <w:br w:type="page"/>
      </w:r>
    </w:p>
    <w:p>
      <w:pPr>
        <w:pStyle w:val="Heading1"/>
      </w:pPr>
      <w:r>
        <w:t xml:space="preserve">5. VALUATION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 (Antifragile)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DDOG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NTM EV/Revenue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Up to 15x (20x stretch)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~10–11x</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Valuation Gate: PASS — Well within acceptable range for ANTIFRAGILE</w:t>
            </w:r>
          </w:p>
        </w:tc>
      </w:tr>
    </w:tbl>
    <w:p>
      <w:pPr>
        <w:spacing w:after="120" w:before="120"/>
      </w:pPr>
    </w:p>
    <w:p>
      <w:pPr>
        <w:spacing w:after="120" w:before="60"/>
      </w:pPr>
      <w:r>
        <w:rPr>
          <w:rFonts w:ascii="Arial" w:cs="Arial" w:eastAsia="Arial" w:hAnsi="Arial"/>
          <w:color w:val="4A4A4A"/>
          <w:sz w:val="22"/>
          <w:szCs w:val="22"/>
        </w:rPr>
        <w:t xml:space="preserve">At ~10–11x NTM EV/Revenue (based on ~$43B market cap and ~$4.08B NTM revenue), Datadog is trading well within the acceptable range for an ANTIFRAGILE classification (up to 15x, stretch to 20x). The current multiple represents a significant discount to the 3-year average of ~15–18x, suggesting the market has not fully priced in the AI tailwind thesis. This creates a favorable entry point.</w:t>
      </w:r>
    </w:p>
    <w:p>
      <w:r>
        <w:br w:type="page"/>
      </w:r>
    </w:p>
    <w:p>
      <w:pPr>
        <w:pStyle w:val="Heading1"/>
      </w:pPr>
      <w:r>
        <w:t xml:space="preserve">6. SCENARIO MODELING</w:t>
      </w:r>
    </w:p>
    <w:p>
      <w:pPr>
        <w:spacing w:after="120" w:before="60"/>
      </w:pPr>
      <w:r>
        <w:rPr>
          <w:rFonts w:ascii="Arial" w:cs="Arial" w:eastAsia="Arial" w:hAnsi="Arial"/>
          <w:b/>
          <w:bCs/>
          <w:color w:val="4A4A4A"/>
          <w:sz w:val="22"/>
          <w:szCs w:val="22"/>
        </w:rPr>
        <w:t xml:space="preserve">Bull Case (30% probability): </w:t>
      </w:r>
      <w:r>
        <w:rPr>
          <w:rFonts w:ascii="Arial" w:cs="Arial" w:eastAsia="Arial" w:hAnsi="Arial"/>
          <w:color w:val="4A4A4A"/>
          <w:sz w:val="22"/>
          <w:szCs w:val="22"/>
        </w:rPr>
        <w:t xml:space="preserve">AI workloads drive accelerating infrastructure spend. Bits AI becomes a standalone product line generating $200M+ ARR by FY2028. Multi-product adoption reaches 50% using 6+ products. Revenue accelerates to 25%+ growth, reaching $5.5B+ by FY2028. Multiple re-rates to 15x. Upside: 50–70% from current levels.</w:t>
      </w:r>
    </w:p>
    <w:p>
      <w:pPr>
        <w:spacing w:after="120" w:before="60"/>
      </w:pPr>
      <w:r>
        <w:rPr>
          <w:rFonts w:ascii="Arial" w:cs="Arial" w:eastAsia="Arial" w:hAnsi="Arial"/>
          <w:b/>
          <w:bCs/>
          <w:color w:val="4A4A4A"/>
          <w:sz w:val="22"/>
          <w:szCs w:val="22"/>
        </w:rPr>
        <w:t xml:space="preserve">Base Case (50% probability): </w:t>
      </w:r>
      <w:r>
        <w:rPr>
          <w:rFonts w:ascii="Arial" w:cs="Arial" w:eastAsia="Arial" w:hAnsi="Arial"/>
          <w:color w:val="4A4A4A"/>
          <w:sz w:val="22"/>
          <w:szCs w:val="22"/>
        </w:rPr>
        <w:t xml:space="preserve">Steady execution. Revenue grows 18–20% to ~$4.8B by FY2028. NRR stabilizes mid-110s. Margins expand to 28–30% FCF. Bits AI gains traction but remains a feature rather than a business. Multiple holds at 10–12x. Return: 15–25% from current levels.</w:t>
      </w:r>
    </w:p>
    <w:p>
      <w:pPr>
        <w:spacing w:after="120" w:before="60"/>
      </w:pPr>
      <w:r>
        <w:rPr>
          <w:rFonts w:ascii="Arial" w:cs="Arial" w:eastAsia="Arial" w:hAnsi="Arial"/>
          <w:b/>
          <w:bCs/>
          <w:color w:val="4A4A4A"/>
          <w:sz w:val="22"/>
          <w:szCs w:val="22"/>
        </w:rPr>
        <w:t xml:space="preserve">Bear Case (20% probability): </w:t>
      </w:r>
      <w:r>
        <w:rPr>
          <w:rFonts w:ascii="Arial" w:cs="Arial" w:eastAsia="Arial" w:hAnsi="Arial"/>
          <w:color w:val="4A4A4A"/>
          <w:sz w:val="22"/>
          <w:szCs w:val="22"/>
        </w:rPr>
        <w:t xml:space="preserve">OpenTelemetry adoption accelerates, reducing vendor lock-in. Grafana ecosystem captures share among cost-sensitive mid-market. Cloud providers improve native monitoring. Growth decelerates to 12–15%. NRR drops to 105–110%. Multiple compresses to 7–8x. Downside: 20–30% from current levels.</w:t>
      </w:r>
    </w:p>
    <w:p>
      <w:pPr>
        <w:spacing w:after="120" w:before="60"/>
      </w:pPr>
      <w:r>
        <w:rPr>
          <w:rFonts w:ascii="Arial" w:cs="Arial" w:eastAsia="Arial" w:hAnsi="Arial"/>
          <w:b/>
          <w:bCs/>
          <w:color w:val="4A4A4A"/>
          <w:sz w:val="22"/>
          <w:szCs w:val="22"/>
        </w:rPr>
        <w:t xml:space="preserve">Expected Value: </w:t>
      </w:r>
      <w:r>
        <w:rPr>
          <w:rFonts w:ascii="Arial" w:cs="Arial" w:eastAsia="Arial" w:hAnsi="Arial"/>
          <w:color w:val="4A4A4A"/>
          <w:sz w:val="22"/>
          <w:szCs w:val="22"/>
        </w:rPr>
        <w:t xml:space="preserve">Probability-weighted return of ~15–20% over 12 months, with favorable risk/reward skew. The 20% bear case is well-contained by the consumption model and structural moats.</w:t>
      </w:r>
    </w:p>
    <w:p>
      <w:r>
        <w:br w:type="page"/>
      </w:r>
    </w:p>
    <w:p>
      <w:pPr>
        <w:pStyle w:val="Heading1"/>
      </w:pPr>
      <w:r>
        <w:t xml:space="preserve">7.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MDI Score (Stage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4/5 intact moats — LOWER RISK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Three-Question 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2.5/3 — LOWER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Final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8.55/10 — ANTIFRAGILE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Valuation Gate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PASS (~10–11x NTM vs 15–20x max)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DIP/CPP Profile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Moderate DIP + Moderate CPP = Growth-oriented with compliance moat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A4A4A"/>
                <w:sz w:val="20"/>
                <w:szCs w:val="20"/>
              </w:rPr>
              <w:t xml:space="preserve">Investment Rating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BUY — Favorable risk/reward at current valuation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Position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3–5% of portfolio</w:t>
            </w:r>
          </w:p>
        </w:tc>
      </w:tr>
    </w:tbl>
    <w:p>
      <w:pPr>
        <w:spacing w:after="120" w:before="120"/>
      </w:pPr>
    </w:p>
    <w:p>
      <w:pPr>
        <w:spacing w:after="120" w:before="60"/>
      </w:pPr>
      <w:r>
        <w:rPr>
          <w:rFonts w:ascii="Arial" w:cs="Arial" w:eastAsia="Arial" w:hAnsi="Arial"/>
          <w:b/>
          <w:bCs/>
          <w:color w:val="4A4A4A"/>
          <w:sz w:val="22"/>
          <w:szCs w:val="22"/>
        </w:rPr>
        <w:t xml:space="preserve">The Thesis in Two Sentences: </w:t>
      </w:r>
      <w:r>
        <w:rPr>
          <w:rFonts w:ascii="Arial" w:cs="Arial" w:eastAsia="Arial" w:hAnsi="Arial"/>
          <w:color w:val="4A4A4A"/>
          <w:sz w:val="22"/>
          <w:szCs w:val="22"/>
        </w:rPr>
        <w:t xml:space="preserve">Datadog is the dominant cloud observability platform with genuine structural moats (proprietary telemetry data gravity, consumption pricing, multi-product correlation, compliance embedding) that strengthen rather than weaken in the AI era. At 10–11x NTM revenue, the market is pricing DDOG as a mature SaaS company, not as an ANTIFRAGILE platform benefiting from the AI infrastructure buildout — creating favorable risk/reward.</w:t>
      </w:r>
    </w:p>
    <w:p>
      <w:pPr>
        <w:spacing w:after="120" w:before="120"/>
      </w:pPr>
    </w:p>
    <w:p>
      <w:pPr>
        <w:spacing w:after="120" w:before="60"/>
      </w:pPr>
      <w:r>
        <w:rPr>
          <w:rFonts w:ascii="Arial" w:cs="Arial" w:eastAsia="Arial" w:hAnsi="Arial"/>
          <w:b/>
          <w:bCs/>
          <w:color w:val="4A4A4A"/>
          <w:sz w:val="22"/>
          <w:szCs w:val="22"/>
        </w:rPr>
        <w:t xml:space="preserve">The Kill Switch: </w:t>
      </w:r>
      <w:r>
        <w:rPr>
          <w:rFonts w:ascii="Arial" w:cs="Arial" w:eastAsia="Arial" w:hAnsi="Arial"/>
          <w:color w:val="4A4A4A"/>
          <w:sz w:val="22"/>
          <w:szCs w:val="22"/>
        </w:rPr>
        <w:t xml:space="preserve">Sell immediately if NRR drops below 105%, if OpenTelemetry-driven churn becomes visible in large account retention, or if gross margin compresses &gt;300bps indicating pricing pressure from Grafana/open-source alternatives.</w:t>
      </w:r>
    </w:p>
    <w:p>
      <w:pPr>
        <w:spacing w:after="120" w:before="120"/>
      </w:pPr>
    </w:p>
    <w:p>
      <w:pPr>
        <w:spacing w:after="120" w:before="60"/>
      </w:pPr>
      <w:r>
        <w:rPr>
          <w:rFonts w:ascii="Arial" w:cs="Arial" w:eastAsia="Arial" w:hAnsi="Arial"/>
          <w:b/>
          <w:bCs/>
          <w:color w:val="4A4A4A"/>
          <w:sz w:val="22"/>
          <w:szCs w:val="22"/>
        </w:rPr>
        <w:t xml:space="preserve">Review Trigger: </w:t>
      </w:r>
      <w:r>
        <w:rPr>
          <w:rFonts w:ascii="Arial" w:cs="Arial" w:eastAsia="Arial" w:hAnsi="Arial"/>
          <w:color w:val="4A4A4A"/>
          <w:sz w:val="22"/>
          <w:szCs w:val="22"/>
        </w:rPr>
        <w:t xml:space="preserve">Re-run full assessment if Bits AI metrics plateau, if a major cloud provider (AWS/Azure/GCP) launches an integrated observability platform that matches Datadog’s multi-product correlation, or if DDOG’s multiple exceeds 18x NTM.</w:t>
      </w:r>
    </w:p>
    <w:p>
      <w:pPr>
        <w:spacing w:after="120" w:before="120"/>
      </w:pPr>
    </w:p>
    <w:p>
      <w:pPr>
        <w:spacing w:after="120" w:before="120"/>
      </w:pPr>
    </w:p>
    <w:p>
      <w:pPr>
        <w:pBdr>
          <w:top w:val="single" w:color="CCCCCC" w:sz="4" w:space="1"/>
        </w:pBdr>
        <w:spacing w:after="60" w:before="200"/>
      </w:pPr>
      <w:r>
        <w:rPr>
          <w:rFonts w:ascii="Arial" w:cs="Arial" w:eastAsia="Arial" w:hAnsi="Arial"/>
          <w:b/>
          <w:bCs/>
          <w:i/>
          <w:iCs/>
          <w:color w:val="4A4A4A"/>
          <w:sz w:val="18"/>
          <w:szCs w:val="18"/>
        </w:rPr>
        <w:t xml:space="preserve">Disclaimer: </w:t>
      </w:r>
      <w:r>
        <w:rPr>
          <w:rFonts w:ascii="Arial" w:cs="Arial" w:eastAsia="Arial" w:hAnsi="Arial"/>
          <w:i/>
          <w:iCs/>
          <w:color w:val="4A4A4A"/>
          <w:sz w:val="18"/>
          <w:szCs w:val="18"/>
        </w:rPr>
        <w:t xml:space="preserve">This analysis is for educational and research purposes only and does not constitute investment advice. All data is sourced from publicly available information including SEC filings, earnings calls, and company press releases. Past performance is not indicative of future results.</w:t>
      </w:r>
    </w:p>
    <w:p>
      <w:pPr>
        <w:spacing w:before="120"/>
      </w:pPr>
      <w:r>
        <w:rPr>
          <w:rFonts w:ascii="Arial" w:cs="Arial" w:eastAsia="Arial" w:hAnsi="Arial"/>
          <w:i/>
          <w:iCs/>
          <w:color w:val="4A4A4A"/>
          <w:sz w:val="18"/>
          <w:szCs w:val="18"/>
        </w:rPr>
        <w:t xml:space="preserve">Analysis Date: March 25, 2026 | Framework: SaaS Antifragility v2.0 (Stoffel-Feroldi × Bustamante) | Generated with AI assistance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4A4A4A"/>
        <w:sz w:val="16"/>
        <w:szCs w:val="16"/>
      </w:rPr>
      <w:t xml:space="preserve">Confidential — For Investment Research Purposes Only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DDOG | Datadog Deep-Dive</w:t>
    </w:r>
    <w:r>
      <w:rPr>
        <w:rFonts w:ascii="Arial" w:cs="Arial" w:eastAsia="Arial" w:hAnsi="Arial"/>
        <w:color w:val="4A4A4A"/>
        <w:sz w:val="18"/>
        <w:szCs w:val="18"/>
      </w:rPr>
      <w:t xml:space="preserve">	SaaS Antifragility Framework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2026-03-26T04:55:55.390Z</dcterms:created>
  <dcterms:modified xsi:type="dcterms:W3CDTF">2026-03-26T04:55:55.390Z</dcterms:modified>
</cp:coreProperties>
</file>

<file path=docProps/custom.xml><?xml version="1.0" encoding="utf-8"?>
<Properties xmlns="http://schemas.openxmlformats.org/officeDocument/2006/custom-properties" xmlns:vt="http://schemas.openxmlformats.org/officeDocument/2006/docPropsVTypes"/>
</file>