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pPr>
    </w:p>
    <w:p>
      <w:pPr>
        <w:spacing w:after="60"/>
        <w:jc w:val="center"/>
      </w:pPr>
      <w:r>
        <w:rPr>
          <w:rFonts w:ascii="Arial" w:cs="Arial" w:eastAsia="Arial" w:hAnsi="Arial"/>
          <w:b/>
          <w:bCs/>
          <w:color w:val="1B3A5C"/>
          <w:sz w:val="48"/>
          <w:szCs w:val="48"/>
        </w:rPr>
        <w:t xml:space="preserve">SNOWFLAKE, INC.</w:t>
      </w:r>
    </w:p>
    <w:p>
      <w:pPr>
        <w:spacing w:after="60"/>
        <w:jc w:val="center"/>
      </w:pPr>
      <w:r>
        <w:rPr>
          <w:rFonts w:ascii="Arial" w:cs="Arial" w:eastAsia="Arial" w:hAnsi="Arial"/>
          <w:color w:val="2E75B6"/>
          <w:sz w:val="32"/>
          <w:szCs w:val="32"/>
        </w:rPr>
        <w:t xml:space="preserve">NYSE: SNOW</w:t>
      </w:r>
    </w:p>
    <w:p>
      <w:pPr>
        <w:spacing w:after="120" w:before="120"/>
      </w:pPr>
    </w:p>
    <w:p>
      <w:pPr>
        <w:spacing w:after="120"/>
        <w:jc w:val="center"/>
      </w:pPr>
      <w:r>
        <w:rPr>
          <w:rFonts w:ascii="Arial" w:cs="Arial" w:eastAsia="Arial" w:hAnsi="Arial"/>
          <w:b/>
          <w:bCs/>
          <w:color w:val="4A4A4A"/>
          <w:sz w:val="28"/>
          <w:szCs w:val="28"/>
        </w:rPr>
        <w:t xml:space="preserve">Data Infrastructure Antifragility Framework v1.0</w:t>
      </w:r>
    </w:p>
    <w:p>
      <w:pPr>
        <w:jc w:val="center"/>
      </w:pPr>
      <w:r>
        <w:rPr>
          <w:rFonts w:ascii="Arial" w:cs="Arial" w:eastAsia="Arial" w:hAnsi="Arial"/>
          <w:color w:val="4A4A4A"/>
          <w:sz w:val="22"/>
          <w:szCs w:val="22"/>
        </w:rPr>
        <w:t xml:space="preserve">March 2026</w:t>
      </w:r>
    </w:p>
    <w:p>
      <w:pPr>
        <w:spacing w:after="120" w:before="12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Market Cap</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FY2026E Prod Rev</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NRR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~$59–62B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$4.45B (+28%)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~125%</w:t>
            </w:r>
          </w:p>
        </w:tc>
      </w:tr>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EV/Rev (NTM)</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Product Gross Margin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Customers ($1M+)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~12–13x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688</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7F17"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Pre-Screen Verdict: PROCEED WITH MEDIUM CONFIDENCE</w:t>
            </w:r>
          </w:p>
        </w:tc>
      </w:tr>
    </w:tbl>
    <w:p>
      <w:r>
        <w:br w:type="page"/>
      </w:r>
    </w:p>
    <w:p>
      <w:pPr>
        <w:pStyle w:val="Heading1"/>
      </w:pPr>
      <w:r>
        <w:t xml:space="preserve">1. COMPANY OVERVIEW</w:t>
      </w:r>
    </w:p>
    <w:p>
      <w:pPr>
        <w:spacing w:after="120" w:before="60"/>
      </w:pPr>
      <w:r>
        <w:rPr>
          <w:rFonts w:ascii="Arial" w:cs="Arial" w:eastAsia="Arial" w:hAnsi="Arial"/>
          <w:color w:val="4A4A4A"/>
          <w:sz w:val="22"/>
          <w:szCs w:val="22"/>
        </w:rPr>
        <w:t xml:space="preserve">Snowflake operates a cloud-based Data Cloud platform that enables organizations to store, process, analyze, and share data. The company’s architecture separates storage and compute, allowing customers to scale each independently and pay based on consumption. Snowflake runs on all three major cloud providers (AWS, Azure, GCP), positioning itself as the cloud-neutral data layer.</w:t>
      </w:r>
    </w:p>
    <w:p>
      <w:pPr>
        <w:spacing w:after="120" w:before="60"/>
      </w:pPr>
      <w:r>
        <w:rPr>
          <w:rFonts w:ascii="Arial" w:cs="Arial" w:eastAsia="Arial" w:hAnsi="Arial"/>
          <w:color w:val="4A4A4A"/>
          <w:sz w:val="22"/>
          <w:szCs w:val="22"/>
        </w:rPr>
        <w:t xml:space="preserve">Product revenue (~95% of total) is consumption-based: customers pay per second of compute and per terabyte of storage used. This model directly benefits from growing data volumes and AI workloads that require large-scale data processing. FY2026 product revenue is guided to ~$4.45B, representing 28% growth.</w:t>
      </w:r>
    </w:p>
    <w:p>
      <w:pPr>
        <w:spacing w:after="120" w:before="60"/>
      </w:pPr>
      <w:r>
        <w:rPr>
          <w:rFonts w:ascii="Arial" w:cs="Arial" w:eastAsia="Arial" w:hAnsi="Arial"/>
          <w:color w:val="4A4A4A"/>
          <w:sz w:val="22"/>
          <w:szCs w:val="22"/>
        </w:rPr>
        <w:t xml:space="preserve">Key competitive dynamic: Databricks, valued at $134B privately (~2x Snowflake’s market cap), is growing 65% YoY with $5.4B+ ARR and has become the primary competitive threat, particularly for AI/ML workloads. ClickHouse ($15B valuation) has emerged as a third competitor for analytical workloads.</w:t>
      </w:r>
    </w:p>
    <w:p>
      <w:r>
        <w:br w:type="page"/>
      </w:r>
    </w:p>
    <w:p>
      <w:pPr>
        <w:pStyle w:val="Heading1"/>
      </w:pPr>
      <w:r>
        <w:t xml:space="preserve">2. STAGE 1: 5-MOAT TAXONOMY ASSESSMENT</w:t>
      </w:r>
    </w:p>
    <w:p>
      <w:pPr>
        <w:spacing w:after="120" w:before="60"/>
      </w:pPr>
      <w:r>
        <w:rPr>
          <w:rFonts w:ascii="Arial" w:cs="Arial" w:eastAsia="Arial" w:hAnsi="Arial"/>
          <w:color w:val="4A4A4A"/>
          <w:sz w:val="22"/>
          <w:szCs w:val="22"/>
        </w:rPr>
        <w:t xml:space="preserve">Snowflake is assessed against the five structural data infrastructure moats.</w:t>
      </w:r>
    </w:p>
    <w:p>
      <w:pPr>
        <w:spacing w:after="120" w:before="120"/>
      </w:pP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60"/>
        <w:gridCol w:w="560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Moat Type</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Level/Score</w:t>
            </w:r>
          </w:p>
        </w:tc>
        <w:tc>
          <w:tcPr>
            <w:tcW w:type="dxa" w:w="5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1. Regulatory Designation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Level 0</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No regulatory mandate. Snowflake is not referenced in any statute or regulation. Enterprises choose Snowflake based on performance and features, not legal requirement. Fully competitive market.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2. Benchmark Pricing Authority</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Snowflake does not produce benchmark prices or rates. Inapplicable to data platform infrastructure.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3. Contributed Data Network</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20"/>
                <w:szCs w:val="20"/>
              </w:rPr>
              <w:t xml:space="preserve">1/3 (Weak)</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Snowflake Marketplace enables data sharing between organizations, and some customers list and share datasets. However, this is a marketplace/exchange model, not a contributed data network where participants pool competitive intelligence. Most marketplace data is either public or commercially licensed. The data sharing feature is a competitive advantage vs. Databricks, but it doesn’t constitute a structural contributed data moat.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4. Passive Capital Gravity</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Inapplicable. Snowflake does not license indices tracked by passive funds.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5. Historical Depth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0/3</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Snowflake’s value does not derive from historical time-series depth. It is a data platform/warehouse, not a data asset. Customers bring their own data; Snowflake provides the processing engine.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62828"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5-Moat Taxonomy: 0.5 of 5 — Weak Contributed Data Signal Only</w:t>
            </w:r>
          </w:p>
        </w:tc>
      </w:tr>
    </w:tbl>
    <w:p>
      <w:pPr>
        <w:spacing w:after="120" w:before="120"/>
      </w:pPr>
    </w:p>
    <w:p>
      <w:pPr>
        <w:spacing w:after="120" w:before="60"/>
      </w:pPr>
      <w:r>
        <w:rPr>
          <w:rFonts w:ascii="Arial" w:cs="Arial" w:eastAsia="Arial" w:hAnsi="Arial"/>
          <w:color w:val="4A4A4A"/>
          <w:sz w:val="22"/>
          <w:szCs w:val="22"/>
        </w:rPr>
        <w:t xml:space="preserve">Like MongoDB, Snowflake possesses essentially none of the five structural data infrastructure moats. Its defensibility comes from platform switching costs, consumption model alignment, and ecosystem effects — not from regulatory, benchmark, or contributed data moats. However, the Snowflake Marketplace creates a weak contributed data signal that MongoDB entirely lacks.</w:t>
      </w:r>
    </w:p>
    <w:p>
      <w:r>
        <w:br w:type="page"/>
      </w:r>
    </w:p>
    <w:p>
      <w:pPr>
        <w:pStyle w:val="Heading1"/>
      </w:pPr>
      <w:r>
        <w:t xml:space="preserve">3. AI DISRUPTION VECTOR ANALYSIS</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60"/>
        <w:gridCol w:w="52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Disruption Vector</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A. Structuring Layer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20"/>
                <w:szCs w:val="20"/>
              </w:rPr>
              <w:t xml:space="preserve">MEDIUM</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Snowflake’s SQL query engine and data transformation capabilities are replicable by LLMs. AI coding assistants can write SQL for any database. However, Snowflake Cortex (AI services) is pivoting the value-add from structuring to AI-native processing within the data cloud. 9,100+ accounts using Cortex with 200%+ growth in AI workloads.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B. Alternative Creation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Databricks ($134B valuation, 65% growth) is a formidable alternative growing 2x faster. ClickHouse ($15B valuation) targets analytical workloads. Cloud-native alternatives (BigQuery, Redshift, Synapse) compete on integration. Open-source (DuckDB, Apache Spark) attacks from below. The competitive field is intense and well-funded.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C. Delivery Model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LOW</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Already consumption-based. No terminal/seat revenue to disrupt. AI agents using Snowflake generate more compute = more revenue. The delivery model is structurally aligned with AI proliferation.</w:t>
            </w:r>
          </w:p>
        </w:tc>
      </w:tr>
    </w:tbl>
    <w:p>
      <w:r>
        <w:br w:type="page"/>
      </w:r>
    </w:p>
    <w:p>
      <w:pPr>
        <w:pStyle w:val="Heading1"/>
      </w:pPr>
      <w:r>
        <w:t xml:space="preserve">4. THREE-QUESTION TEST</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200"/>
        <w:gridCol w:w="2560"/>
      </w:tblGrid>
      <w:tr>
        <w:tc>
          <w:tcPr>
            <w:tcW w:type="dxa" w:w="5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Q1: Does product have legal/regulatory force?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0</w:t>
            </w:r>
          </w:p>
        </w:tc>
      </w:tr>
      <w:tr>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Q2: Proprietary data that cannot be replicated?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Partial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A4A4A"/>
                <w:sz w:val="20"/>
                <w:szCs w:val="20"/>
              </w:rPr>
              <w:t xml:space="preserve">0.5</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Q3: Revenue embedded in financial market infrastructure?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0</w:t>
            </w:r>
          </w:p>
        </w:tc>
      </w:tr>
    </w:tbl>
    <w:p>
      <w:pPr>
        <w:spacing w:after="120" w:before="120"/>
      </w:pPr>
    </w:p>
    <w:p>
      <w:pPr>
        <w:spacing w:after="120" w:before="60"/>
      </w:pPr>
      <w:r>
        <w:rPr>
          <w:rFonts w:ascii="Arial" w:cs="Arial" w:eastAsia="Arial" w:hAnsi="Arial"/>
          <w:b/>
          <w:bCs/>
          <w:color w:val="4A4A4A"/>
          <w:sz w:val="22"/>
          <w:szCs w:val="22"/>
        </w:rPr>
        <w:t xml:space="preserve">Three-Question Score: </w:t>
      </w:r>
      <w:r>
        <w:rPr>
          <w:rFonts w:ascii="Arial" w:cs="Arial" w:eastAsia="Arial" w:hAnsi="Arial"/>
          <w:color w:val="4A4A4A"/>
          <w:sz w:val="22"/>
          <w:szCs w:val="22"/>
        </w:rPr>
        <w:t xml:space="preserve">0.5/3 — HIGH RISK. Partial credit for Snowflake Marketplace data sharing, but the core business is a compute/storage platform, not a data asset.</w:t>
      </w:r>
    </w:p>
    <w:p>
      <w:r>
        <w:br w:type="page"/>
      </w:r>
    </w:p>
    <w:p>
      <w:pPr>
        <w:pStyle w:val="Heading1"/>
      </w:pPr>
      <w:r>
        <w:t xml:space="preserve">5. ANTIFRAGILITY DIMENSION SCORING</w:t>
      </w:r>
    </w:p>
    <w:p>
      <w:pPr>
        <w:spacing w:after="120" w:before="60"/>
      </w:pPr>
      <w:r>
        <w:rPr>
          <w:rFonts w:ascii="Arial" w:cs="Arial" w:eastAsia="Arial" w:hAnsi="Arial"/>
          <w:color w:val="4A4A4A"/>
          <w:sz w:val="22"/>
          <w:szCs w:val="22"/>
        </w:rPr>
        <w:t xml:space="preserve">Because Snowflake lacks structural data infrastructure moats, SaaS Antifragility dimensions are applied to evaluate platform defensibility.</w:t>
      </w:r>
    </w:p>
    <w:p>
      <w:pPr>
        <w:spacing w:after="120" w:before="120"/>
      </w:pP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D1: Liability Shield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5/10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Data warehouse failure is significant but recoverable. Many regulated enterprises (finance, healthcare) run compliance-critical analytics on Snowflake with SOC 2/HIPAA requirements. Not FDA-level, but operational disruption is real. Score: 5/10.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D2: Business Model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8/10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Consumption-based model is the gold standard for AI-era alignment. More AI workloads = more compute = more Snowflake revenue. NRR of ~125% is strong. Cortex AI product growing 200%+ in workloads. 688 customers at $1M+ ARR growing rapidly. However, Databricks’ consumption model is identical in structure and growing faster. Score: 8/10.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D3: Physical Integration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5/10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Snowflake stores and processes customer data but is not embedded in money flows or physical operations. It’s the analytical layer, not the transaction layer. Migrating off Snowflake is painful (data gravity, query rewriting) but feasible. Information layer, not transaction layer. Score: 5/10.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D4: Network &amp; Data Gravity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6/10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40%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Stronger than MongoDB here. Snowflake Marketplace creates cross-customer data sharing network effects (weak but real). Data gravity is substantial — migrating petabytes of data is expensive and risky. Multi-cloud neutrality is a competitive advantage. But the data in Snowflake belongs to customers, not Snowflake. The platform is not the data asset. Aggregation risk: MEDIUM. Score: 6/10.</w:t>
            </w:r>
          </w:p>
        </w:tc>
      </w:tr>
    </w:tbl>
    <w:p>
      <w:pPr>
        <w:spacing w:after="120" w:before="120"/>
      </w:pPr>
    </w:p>
    <w:p>
      <w:pPr>
        <w:spacing w:after="120" w:before="60"/>
      </w:pPr>
      <w:r>
        <w:rPr>
          <w:rFonts w:ascii="Arial" w:cs="Arial" w:eastAsia="Arial" w:hAnsi="Arial"/>
          <w:b/>
          <w:bCs/>
          <w:color w:val="4A4A4A"/>
          <w:sz w:val="22"/>
          <w:szCs w:val="22"/>
        </w:rPr>
        <w:t xml:space="preserve">Raw Composite: </w:t>
      </w:r>
      <w:r>
        <w:rPr>
          <w:rFonts w:ascii="Arial" w:cs="Arial" w:eastAsia="Arial" w:hAnsi="Arial"/>
          <w:color w:val="4A4A4A"/>
          <w:sz w:val="22"/>
          <w:szCs w:val="22"/>
        </w:rPr>
        <w:t xml:space="preserve">(5 × 0.15) + (8 × 0.30) + (5 × 0.15) + (6 × 0.40) = 0.75 + 2.40 + 0.75 + 2.40 = 6.30 / 10</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Raw Composite: 6.30 — Classification: ROBUST</w:t>
            </w:r>
          </w:p>
        </w:tc>
      </w:tr>
    </w:tbl>
    <w:p>
      <w:pPr>
        <w:spacing w:after="120" w:before="120"/>
      </w:pPr>
    </w:p>
    <w:p>
      <w:pPr>
        <w:pStyle w:val="Heading2"/>
      </w:pPr>
      <w:r>
        <w:t xml:space="preserve">Modifiers</w:t>
      </w:r>
    </w:p>
    <w:p>
      <w:pPr>
        <w:spacing w:after="120" w:before="60"/>
      </w:pPr>
      <w:r>
        <w:rPr>
          <w:rFonts w:ascii="Arial" w:cs="Arial" w:eastAsia="Arial" w:hAnsi="Arial"/>
          <w:b/>
          <w:bCs/>
          <w:color w:val="4A4A4A"/>
          <w:sz w:val="22"/>
          <w:szCs w:val="22"/>
        </w:rPr>
        <w:t xml:space="preserve">DIP (Data Integrity Premium): </w:t>
      </w:r>
      <w:r>
        <w:rPr>
          <w:rFonts w:ascii="Arial" w:cs="Arial" w:eastAsia="Arial" w:hAnsi="Arial"/>
          <w:color w:val="4A4A4A"/>
          <w:sz w:val="22"/>
          <w:szCs w:val="22"/>
        </w:rPr>
        <w:t xml:space="preserve">+0.5 — SOC 2/HIPAA compliance requirements create friction for switching to unvalidated alternatives. Audit trail requirements for regulated analytics. DIP Score: 2/5.</w:t>
      </w:r>
    </w:p>
    <w:p>
      <w:pPr>
        <w:spacing w:after="120" w:before="60"/>
      </w:pPr>
      <w:r>
        <w:rPr>
          <w:rFonts w:ascii="Arial" w:cs="Arial" w:eastAsia="Arial" w:hAnsi="Arial"/>
          <w:b/>
          <w:bCs/>
          <w:color w:val="4A4A4A"/>
          <w:sz w:val="22"/>
          <w:szCs w:val="22"/>
        </w:rPr>
        <w:t xml:space="preserve">CPP (Counter-Positioning Potential): </w:t>
      </w:r>
      <w:r>
        <w:rPr>
          <w:rFonts w:ascii="Arial" w:cs="Arial" w:eastAsia="Arial" w:hAnsi="Arial"/>
          <w:color w:val="4A4A4A"/>
          <w:sz w:val="22"/>
          <w:szCs w:val="22"/>
        </w:rPr>
        <w:t xml:space="preserve">+0.5 — Cortex AI is a genuine counter-positioning move (AI-native workloads within the data cloud). $200M OpenAI partnership. 9,100+ accounts using Cortex. But Databricks’ AI positioning is stronger and earlier. CPP Score: 5/12.</w:t>
      </w:r>
    </w:p>
    <w:p>
      <w:pPr>
        <w:spacing w:after="120" w:before="120"/>
      </w:pPr>
    </w:p>
    <w:p>
      <w:pPr>
        <w:spacing w:after="120" w:before="60"/>
      </w:pPr>
      <w:r>
        <w:rPr>
          <w:rFonts w:ascii="Arial" w:cs="Arial" w:eastAsia="Arial" w:hAnsi="Arial"/>
          <w:b/>
          <w:bCs/>
          <w:color w:val="4A4A4A"/>
          <w:sz w:val="22"/>
          <w:szCs w:val="22"/>
        </w:rPr>
        <w:t xml:space="preserve">Final Composite: </w:t>
      </w:r>
      <w:r>
        <w:rPr>
          <w:rFonts w:ascii="Arial" w:cs="Arial" w:eastAsia="Arial" w:hAnsi="Arial"/>
          <w:color w:val="4A4A4A"/>
          <w:sz w:val="22"/>
          <w:szCs w:val="22"/>
        </w:rPr>
        <w:t xml:space="preserve">6.30 + 0.5 + 0.5 = 7.30 / 10</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FINAL CLASSIFICATION: ROBUST (7.30/10)</w:t>
            </w:r>
          </w:p>
        </w:tc>
      </w:tr>
    </w:tbl>
    <w:p>
      <w:r>
        <w:br w:type="page"/>
      </w:r>
    </w:p>
    <w:p>
      <w:pPr>
        <w:pStyle w:val="Heading1"/>
      </w:pPr>
      <w:r>
        <w:t xml:space="preserve">6. VALUATION GATE</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 (Robust)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SNOW Current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NTM EV/Revenue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 8x (12x stretch w/ catalyst)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20"/>
                <w:szCs w:val="20"/>
              </w:rPr>
              <w:t xml:space="preserve">~12–13x</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7F17"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Valuation Gate: BORDERLINE — At upper stretch limit for ROBUST</w:t>
            </w:r>
          </w:p>
        </w:tc>
      </w:tr>
    </w:tbl>
    <w:p>
      <w:pPr>
        <w:spacing w:after="120" w:before="120"/>
      </w:pPr>
    </w:p>
    <w:p>
      <w:pPr>
        <w:spacing w:after="120" w:before="60"/>
      </w:pPr>
      <w:r>
        <w:rPr>
          <w:rFonts w:ascii="Arial" w:cs="Arial" w:eastAsia="Arial" w:hAnsi="Arial"/>
          <w:color w:val="4A4A4A"/>
          <w:sz w:val="22"/>
          <w:szCs w:val="22"/>
        </w:rPr>
        <w:t xml:space="preserve">At ~12–13x NTM EV/Revenue, Snowflake sits at the absolute ceiling of the “stretch” range for a ROBUST classification. The catalyst required to justify this stretch is the AI workload acceleration via Cortex — if Cortex AI revenue becomes a material growth driver, the multiple is defensible. If not, the stock is overvalued for its classification.</w:t>
      </w:r>
    </w:p>
    <w:p>
      <w:r>
        <w:br w:type="page"/>
      </w:r>
    </w:p>
    <w:p>
      <w:pPr>
        <w:pStyle w:val="Heading1"/>
      </w:pPr>
      <w:r>
        <w:t xml:space="preserve">7. SCENARIO MODELING</w:t>
      </w:r>
    </w:p>
    <w:p>
      <w:pPr>
        <w:spacing w:after="120" w:before="60"/>
      </w:pPr>
      <w:r>
        <w:rPr>
          <w:rFonts w:ascii="Arial" w:cs="Arial" w:eastAsia="Arial" w:hAnsi="Arial"/>
          <w:b/>
          <w:bCs/>
          <w:color w:val="4A4A4A"/>
          <w:sz w:val="22"/>
          <w:szCs w:val="22"/>
        </w:rPr>
        <w:t xml:space="preserve">Bull Case (25% probability): </w:t>
      </w:r>
      <w:r>
        <w:rPr>
          <w:rFonts w:ascii="Arial" w:cs="Arial" w:eastAsia="Arial" w:hAnsi="Arial"/>
          <w:color w:val="4A4A4A"/>
          <w:sz w:val="22"/>
          <w:szCs w:val="22"/>
        </w:rPr>
        <w:t xml:space="preserve">Cortex AI becomes a major growth engine. AI workloads drive compute consumption acceleration to 35%+ growth. Snowflake Marketplace achieves true network effects with proprietary data exchange. Product revenue reaches $7B+ by FY2028. Multiple holds at 12–15x. Requires: Winning against Databricks in AI workloads AND Marketplace creating defensible data gravity.</w:t>
      </w:r>
    </w:p>
    <w:p>
      <w:pPr>
        <w:spacing w:after="120" w:before="60"/>
      </w:pPr>
      <w:r>
        <w:rPr>
          <w:rFonts w:ascii="Arial" w:cs="Arial" w:eastAsia="Arial" w:hAnsi="Arial"/>
          <w:b/>
          <w:bCs/>
          <w:color w:val="4A4A4A"/>
          <w:sz w:val="22"/>
          <w:szCs w:val="22"/>
        </w:rPr>
        <w:t xml:space="preserve">Base Case (45% probability): </w:t>
      </w:r>
      <w:r>
        <w:rPr>
          <w:rFonts w:ascii="Arial" w:cs="Arial" w:eastAsia="Arial" w:hAnsi="Arial"/>
          <w:color w:val="4A4A4A"/>
          <w:sz w:val="22"/>
          <w:szCs w:val="22"/>
        </w:rPr>
        <w:t xml:space="preserve">Steady execution at 20–25% growth. Cortex AI grows but doesn’t become the primary value driver. Databricks continues taking AI-first market share but Snowflake retains data warehousing core. Revenue reaches ~$5.5B by FY2028. Multiple compresses to 8–10x as growth decelerates. Modest returns.</w:t>
      </w:r>
    </w:p>
    <w:p>
      <w:pPr>
        <w:spacing w:after="120" w:before="60"/>
      </w:pPr>
      <w:r>
        <w:rPr>
          <w:rFonts w:ascii="Arial" w:cs="Arial" w:eastAsia="Arial" w:hAnsi="Arial"/>
          <w:b/>
          <w:bCs/>
          <w:color w:val="4A4A4A"/>
          <w:sz w:val="22"/>
          <w:szCs w:val="22"/>
        </w:rPr>
        <w:t xml:space="preserve">Bear Case (30% probability): </w:t>
      </w:r>
      <w:r>
        <w:rPr>
          <w:rFonts w:ascii="Arial" w:cs="Arial" w:eastAsia="Arial" w:hAnsi="Arial"/>
          <w:color w:val="4A4A4A"/>
          <w:sz w:val="22"/>
          <w:szCs w:val="22"/>
        </w:rPr>
        <w:t xml:space="preserve">Databricks dominance accelerates. Snowflake loses the AI narrative entirely. Open-source alternatives (DuckDB, ClickHouse) capture cost-sensitive workloads. Growth decelerates to 15%. NRR drops below 115%. Multiple compresses to 6–8x. Meaningful downside.</w:t>
      </w:r>
    </w:p>
    <w:p>
      <w:r>
        <w:br w:type="page"/>
      </w:r>
    </w:p>
    <w:p>
      <w:pPr>
        <w:pStyle w:val="Heading1"/>
      </w:pPr>
      <w:r>
        <w:t xml:space="preserve">8. FINAL VERDICT</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5-Moat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62828"/>
                <w:sz w:val="20"/>
                <w:szCs w:val="20"/>
              </w:rPr>
              <w:t xml:space="preserve">0.5/5 — Weak structural moats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Three-Question Score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C62828"/>
                <w:sz w:val="20"/>
                <w:szCs w:val="20"/>
              </w:rPr>
              <w:t xml:space="preserve">0.5/3 — HIGH RISK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Final Composite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5B6"/>
                <w:sz w:val="20"/>
                <w:szCs w:val="20"/>
              </w:rPr>
              <w:t xml:space="preserve">7.30/10 — ROBUST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Valuation Gate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F57F17"/>
                <w:sz w:val="20"/>
                <w:szCs w:val="20"/>
              </w:rPr>
              <w:t xml:space="preserve">BORDERLINE (~12–13x vs 8–12x max for Robust)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Investment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57F17"/>
                <w:sz w:val="20"/>
                <w:szCs w:val="20"/>
              </w:rPr>
              <w:t xml:space="preserve">HOLD — Quality platform, but valuation stretched for ROBUST classification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Position Size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1–2% — Reduce on rallies above 15x NTM, add below 8x</w:t>
            </w:r>
          </w:p>
        </w:tc>
      </w:tr>
    </w:tbl>
    <w:p>
      <w:pPr>
        <w:spacing w:after="120" w:before="120"/>
      </w:pPr>
    </w:p>
    <w:p>
      <w:pPr>
        <w:spacing w:after="120" w:before="60"/>
      </w:pPr>
      <w:r>
        <w:rPr>
          <w:rFonts w:ascii="Arial" w:cs="Arial" w:eastAsia="Arial" w:hAnsi="Arial"/>
          <w:b/>
          <w:bCs/>
          <w:color w:val="4A4A4A"/>
          <w:sz w:val="22"/>
          <w:szCs w:val="22"/>
        </w:rPr>
        <w:t xml:space="preserve">Thesis: </w:t>
      </w:r>
      <w:r>
        <w:rPr>
          <w:rFonts w:ascii="Arial" w:cs="Arial" w:eastAsia="Arial" w:hAnsi="Arial"/>
          <w:color w:val="4A4A4A"/>
          <w:sz w:val="22"/>
          <w:szCs w:val="22"/>
        </w:rPr>
        <w:t xml:space="preserve">Snowflake is a strong cloud data platform with excellent consumption economics and growing AI capabilities, but it lacks the structural moats (regulatory, benchmark, contributed data) that protect true data infrastructure businesses. At 12–13x NTM, the market prices Snowflake as if its moats are deeper than they are. Databricks growing 2x faster at similar scale is the primary competitive risk. ROBUST with stretched valuation = HOLD.</w:t>
      </w:r>
    </w:p>
    <w:p>
      <w:pPr>
        <w:spacing w:after="120" w:before="120"/>
      </w:pPr>
    </w:p>
    <w:p>
      <w:pPr>
        <w:spacing w:after="120" w:before="60"/>
      </w:pPr>
      <w:r>
        <w:rPr>
          <w:rFonts w:ascii="Arial" w:cs="Arial" w:eastAsia="Arial" w:hAnsi="Arial"/>
          <w:b/>
          <w:bCs/>
          <w:color w:val="4A4A4A"/>
          <w:sz w:val="22"/>
          <w:szCs w:val="22"/>
        </w:rPr>
        <w:t xml:space="preserve">Kill Switch: </w:t>
      </w:r>
      <w:r>
        <w:rPr>
          <w:rFonts w:ascii="Arial" w:cs="Arial" w:eastAsia="Arial" w:hAnsi="Arial"/>
          <w:color w:val="4A4A4A"/>
          <w:sz w:val="22"/>
          <w:szCs w:val="22"/>
        </w:rPr>
        <w:t xml:space="preserve">Sell if Databricks IPO reveals comparable or superior unit economics, if NRR drops below 115%, or if Cortex AI adoption stalls below 15K accounts by FY2027.</w:t>
      </w:r>
    </w:p>
    <w:p>
      <w:pPr>
        <w:spacing w:after="120" w:before="120"/>
      </w:pPr>
    </w:p>
    <w:p>
      <w:pPr>
        <w:pBdr>
          <w:top w:val="single" w:color="CCCCCC" w:sz="4" w:space="1"/>
        </w:pBdr>
        <w:spacing w:after="60" w:before="200"/>
      </w:pPr>
      <w:r>
        <w:rPr>
          <w:rFonts w:ascii="Arial" w:cs="Arial" w:eastAsia="Arial" w:hAnsi="Arial"/>
          <w:b/>
          <w:bCs/>
          <w:i/>
          <w:iCs/>
          <w:color w:val="4A4A4A"/>
          <w:sz w:val="18"/>
          <w:szCs w:val="18"/>
        </w:rPr>
        <w:t xml:space="preserve">Disclaimer: </w:t>
      </w:r>
      <w:r>
        <w:rPr>
          <w:rFonts w:ascii="Arial" w:cs="Arial" w:eastAsia="Arial" w:hAnsi="Arial"/>
          <w:i/>
          <w:iCs/>
          <w:color w:val="4A4A4A"/>
          <w:sz w:val="18"/>
          <w:szCs w:val="18"/>
        </w:rPr>
        <w:t xml:space="preserve">This analysis is for educational and research purposes only and does not constitute investment advice. All data sourced from publicly available information including SEC filings, earnings calls, and company press releases. Past performance is not indicative of future results.</w:t>
      </w:r>
    </w:p>
    <w:p>
      <w:pPr>
        <w:spacing w:before="120"/>
      </w:pPr>
      <w:r>
        <w:rPr>
          <w:rFonts w:ascii="Arial" w:cs="Arial" w:eastAsia="Arial" w:hAnsi="Arial"/>
          <w:i/>
          <w:iCs/>
          <w:color w:val="4A4A4A"/>
          <w:sz w:val="18"/>
          <w:szCs w:val="18"/>
        </w:rPr>
        <w:t xml:space="preserve">Analysis Date: March 25, 2026 | Framework: Data Infrastructure Antifragility v1.0 | Generated with AI assistance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4A4A4A"/>
        <w:sz w:val="16"/>
        <w:szCs w:val="16"/>
      </w:rPr>
      <w:t xml:space="preserve">Confidential — For Investment Research Purposes Only</w:t>
    </w:r>
    <w:r>
      <w:rPr>
        <w:rFonts w:ascii="Arial" w:cs="Arial" w:eastAsia="Arial" w:hAnsi="Arial"/>
        <w:color w:val="4A4A4A"/>
        <w:sz w:val="16"/>
        <w:szCs w:val="16"/>
      </w:rPr>
      <w:t xml:space="preserve">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rFonts w:ascii="Arial" w:cs="Arial" w:eastAsia="Arial" w:hAnsi="Arial"/>
        <w:b/>
        <w:bCs/>
        <w:color w:val="2E75B6"/>
        <w:sz w:val="18"/>
        <w:szCs w:val="18"/>
      </w:rPr>
      <w:t xml:space="preserve">SNOW | Snowflake Deep-Dive</w:t>
    </w:r>
    <w:r>
      <w:rPr>
        <w:rFonts w:ascii="Arial" w:cs="Arial" w:eastAsia="Arial" w:hAnsi="Arial"/>
        <w:color w:val="4A4A4A"/>
        <w:sz w:val="18"/>
        <w:szCs w:val="18"/>
      </w:rPr>
      <w:t xml:space="preserve">	Data Infra Framework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2026-03-26T05:15:49.859Z</dcterms:created>
  <dcterms:modified xsi:type="dcterms:W3CDTF">2026-03-26T05:15:49.859Z</dcterms:modified>
</cp:coreProperties>
</file>

<file path=docProps/custom.xml><?xml version="1.0" encoding="utf-8"?>
<Properties xmlns="http://schemas.openxmlformats.org/officeDocument/2006/custom-properties" xmlns:vt="http://schemas.openxmlformats.org/officeDocument/2006/docPropsVTypes"/>
</file>