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4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海底地形拟合"/>
    <w:p>
      <w:pPr>
        <w:pStyle w:val="3"/>
      </w:pPr>
      <w:r>
        <w:rPr>
          <w:rFonts w:hint="eastAsia"/>
        </w:rPr>
        <w:t xml:space="preserve">5.4.1海底地形拟合</w:t>
      </w:r>
    </w:p>
    <w:p>
      <w:pPr>
        <w:pStyle w:val="FirstParagraph"/>
      </w:pPr>
      <w:r>
        <w:rPr>
          <w:rFonts w:hint="eastAsia"/>
        </w:rPr>
        <w:t xml:space="preserve">在实际海域中，海底地形往往具有明显的非均匀性与多尺度空间变化特征，单一的全局模型难以精确描述其复杂结构。为此，本文引入了一种自适应递归平面片分区拟合算法（Adaptive</w:t>
      </w:r>
      <w:r>
        <w:t xml:space="preserve"> Recursive Plane Fitting, </w:t>
      </w:r>
      <w:r>
        <w:rPr>
          <w:rFonts w:hint="eastAsia"/>
        </w:rPr>
        <w:t xml:space="preserve">ARPF），用于高效且精确地实现三维海底地形的分块线性逼近。</w:t>
      </w:r>
      <w:r>
        <w:t xml:space="preserve"> </w:t>
      </w:r>
      <w:r>
        <w:rPr>
          <w:rFonts w:hint="eastAsia"/>
        </w:rPr>
        <w:t xml:space="preserve">以整个待测海域为初始拟合区域，首先对区域内所有实测(x,y,z)点采用最小二乘法进行平面拟合，并据此计算拟合平面对测点的均方误差（MSE）。为了确保拟合的精度与局部地形细节的表达，算法设置了严格的误差阈值与最小区块尺寸作为自适应细分的判据。当某一区域内的拟合误差低于预设阈值，或该区块已经细分至最小允许尺度时，即认为该区块地形已能用单一平面充分描述，记录下该区块的几何边界及平面参数；若拟合误差仍高于阈值，则将当前区域进一步细分为3×3的九宫格子区块，并对每一个子区块递归重复上述拟合和判据过程。</w:t>
      </w:r>
      <w:r>
        <w:t xml:space="preserve"> </w:t>
      </w:r>
      <w:r>
        <w:rPr>
          <w:rFonts w:hint="eastAsia"/>
        </w:rPr>
        <w:t xml:space="preserve">ARPF算法流程图如下：</w:t>
      </w:r>
    </w:p>
    <w:p>
      <w:pPr>
        <w:pStyle w:val="a0"/>
      </w:pPr>
      <w:r>
        <w:rPr>
          <w:rFonts w:hint="eastAsia"/>
        </w:rPr>
        <w:t xml:space="preserve">图【】ARPF算法流程图</w:t>
      </w:r>
    </w:p>
    <w:p>
      <w:pPr>
        <w:pStyle w:val="a0"/>
      </w:pPr>
      <w:r>
        <w:rPr>
          <w:rFonts w:hint="eastAsia"/>
        </w:rPr>
        <w:t xml:space="preserve">通过这种递归细分与自适应误差控制机制，ARPF算法能够根据海底地形的复杂程度自动调整区块分辨率，实现对整体海域的高效覆盖和复杂地形的精细表达。最终，整个海域被划分为若干不规则的矩形子区块，每一子区块均由一组最优平面参数进行近似拟合，并可进一步提取其局部坡度信息。与传统的全局平面拟合相比，ARPF算法具备显著的自适应性和空间效率，能够在保证全局误差可控的前提下，有效减少区块数和数据冗余，充分捕捉地形的空间异质性。该算法的输出不仅为后续的多波束测线自适应布设、条带宽度与重叠率的精确计算提供了坚实的数据基础，也为复杂海底地形的可视化与智能分区处理奠定了基础。</w:t>
      </w:r>
    </w:p>
    <w:bookmarkEnd w:id="20"/>
    <w:bookmarkStart w:id="21" w:name="基于arpf的测线自适应布设"/>
    <w:p>
      <w:pPr>
        <w:pStyle w:val="3"/>
      </w:pPr>
      <w:r>
        <w:t xml:space="preserve">5.4.2 </w:t>
      </w:r>
      <w:r>
        <w:rPr>
          <w:rFonts w:hint="eastAsia"/>
        </w:rPr>
        <w:t xml:space="preserve">基于ARPF的测线自适应布设</w:t>
      </w:r>
    </w:p>
    <w:p>
      <w:pPr>
        <w:pStyle w:val="FirstParagraph"/>
      </w:pPr>
      <w:r>
        <w:rPr>
          <w:rFonts w:hint="eastAsia"/>
        </w:rPr>
        <w:t xml:space="preserve">在完成海底地形分块线性拟合后，需在每个子区块内部布设满足10</w:t>
      </w:r>
      <w:r>
        <w:t xml:space="preserve"> %–20 </w:t>
      </w:r>
      <w:r>
        <w:rPr>
          <w:rFonts w:hint="eastAsia"/>
        </w:rPr>
        <w:t xml:space="preserve">%重叠率约束的最优测线。本文将5.3节推导的“坡度-宽度-重叠”模型（式(3.7)–(3.10)）与ARPF输出的局部平面参数耦合，提出一种“分块-等高平行”自适应布设策略，其流程如图5-10所示。</w:t>
      </w:r>
    </w:p>
    <w:p>
      <w:pPr>
        <w:pStyle w:val="a0"/>
      </w:pPr>
      <w:r>
        <w:rPr>
          <w:rFonts w:hint="eastAsia"/>
        </w:rPr>
        <w:t xml:space="preserve">图5-10</w:t>
      </w:r>
      <w:r>
        <w:t xml:space="preserve"> </w:t>
      </w:r>
      <w:r>
        <w:rPr>
          <w:rFonts w:hint="eastAsia"/>
        </w:rPr>
        <w:t xml:space="preserve">基于ARPF的测线自适应布设流程</w:t>
      </w:r>
      <w:r>
        <w:br/>
      </w:r>
      <w:r>
        <w:rPr>
          <w:rFonts w:hint="eastAsia"/>
        </w:rPr>
        <w:t xml:space="preserve">（1）区块平面参数提取：对每个ARPF子区块，读取其最小二乘拟合平面</w:t>
      </w:r>
      <w:r>
        <w:br/>
      </w:r>
    </w:p>
    <w:p>
      <w:pPr>
        <w:pStyle w:val="a0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y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rPr>
          <w:rFonts w:hint="eastAsia"/>
        </w:rPr>
        <w:t xml:space="preserve">计算坡度角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arccos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bSup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rad>
          </m:den>
        </m:f>
      </m:oMath>
      <w:r>
        <w:t xml:space="preserve"> </w:t>
      </w:r>
      <w:r>
        <w:rPr>
          <w:rFonts w:hint="eastAsia"/>
        </w:rPr>
        <w:t xml:space="preserve">及坡面法向在水平面的投影方向角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arctan</m:t>
        </m:r>
        <m:r>
          <m:rPr>
            <m:sty m:val="p"/>
          </m:rPr>
          <m:t>(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。</w:t>
      </w:r>
      <w:r>
        <w:br/>
      </w:r>
      <w:r>
        <w:rPr>
          <w:rFonts w:hint="eastAsia"/>
        </w:rPr>
        <w:t xml:space="preserve">（2）等高平行测线方向确定：令测线与等高线平行，即与坡面法向的水平投影垂直，则测线方向角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。</w:t>
      </w:r>
      <w:r>
        <w:br/>
      </w:r>
      <w:r>
        <w:rPr>
          <w:rFonts w:hint="eastAsia"/>
        </w:rPr>
        <w:t xml:space="preserve">（3）条带宽度与测线间距计算：利用5.3节模型，将中心水深</w:t>
      </w:r>
      <w:r>
        <w:t xml:space="preserve"> </w:t>
      </w:r>
      <m:oMath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i</m:t>
            </m:r>
          </m:sub>
        </m:sSub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(取区块几何中心处水深),与换能器开角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rPr>
          <w:rFonts w:hint="eastAsia"/>
        </w:rPr>
        <w:t xml:space="preserve">、坡度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代入，得覆盖宽度和优间距</w:t>
      </w:r>
      <w:r>
        <w:br/>
      </w:r>
      <w:r>
        <w:rPr>
          <w:rFonts w:hint="eastAsia"/>
        </w:rPr>
        <w:t xml:space="preserve">（4）边界裁剪与测线延伸：在区块矩形边界内，沿方向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以间距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生成起始测线，并双向延伸至与边界相交；对超出边界的部分，保留与相邻区块的重叠区，避免后期出现漏测。</w:t>
      </w:r>
      <w:r>
        <w:br/>
      </w:r>
      <w:r>
        <w:rPr>
          <w:rFonts w:hint="eastAsia"/>
        </w:rPr>
        <w:t xml:space="preserve">（5）全局测线合并：将所有子区块测线统一转换到全局坐标系，并对重叠或相邻测线进行合并与冗余剔除，最终输出全局测线集合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。</w:t>
      </w:r>
    </w:p>
    <w:bookmarkEnd w:id="21"/>
    <w:bookmarkStart w:id="22" w:name="测线评价指标计算"/>
    <w:p>
      <w:pPr>
        <w:pStyle w:val="3"/>
      </w:pPr>
      <w:r>
        <w:t xml:space="preserve">5.4.3 </w:t>
      </w:r>
      <w:r>
        <w:rPr>
          <w:rFonts w:hint="eastAsia"/>
        </w:rPr>
        <w:t xml:space="preserve">测线评价指标计算</w:t>
      </w:r>
    </w:p>
    <w:p>
      <w:pPr>
        <w:pStyle w:val="FirstParagraph"/>
      </w:pPr>
      <w:r>
        <w:rPr>
          <w:rFonts w:hint="eastAsia"/>
        </w:rPr>
        <w:t xml:space="preserve">按题意需对布设结果进行三项量化评估，算法如下。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测线总长度</w:t>
      </w:r>
      <w:r>
        <w:br/>
      </w:r>
      <w:r>
        <w:rPr>
          <w:rFonts w:hint="eastAsia"/>
        </w:rPr>
        <w:t xml:space="preserve">对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 </w:t>
      </w:r>
      <w:r>
        <w:rPr>
          <w:rFonts w:hint="eastAsia"/>
        </w:rPr>
        <w:t xml:space="preserve">中的每条测线段</w:t>
      </w:r>
      <w:r>
        <w:t xml:space="preserve"> </w:t>
      </w:r>
      <m:oMath>
        <m:sSub>
          <m:e>
            <m:r>
              <m:t>l</m:t>
            </m:r>
          </m:e>
          <m:sub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计算其欧氏长度，累加得</w:t>
      </w:r>
      <w:r>
        <w:br/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‖</m:t>
              </m:r>
            </m:e>
          </m:nary>
          <m:sSub>
            <m:e>
              <m:r>
                <m:t>l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‖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漏测面积百分比</w:t>
      </w:r>
      <w:r>
        <w:br/>
      </w:r>
      <w:r>
        <w:rPr>
          <w:rFonts w:hint="eastAsia"/>
        </w:rPr>
        <w:t xml:space="preserve">将待测海域栅格化为1</w:t>
      </w:r>
      <w:r>
        <w:t xml:space="preserve"> m×1 </w:t>
      </w:r>
      <w:r>
        <w:rPr>
          <w:rFonts w:hint="eastAsia"/>
        </w:rPr>
        <w:t xml:space="preserve">m网格，标记所有被至少一条条带覆盖的格点为“已测”，其余为“漏测”。设总网格数为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total</m:t>
            </m:r>
          </m:sub>
        </m:sSub>
      </m:oMath>
      <w:r>
        <w:rPr>
          <w:rFonts w:hint="eastAsia"/>
        </w:rPr>
        <w:t xml:space="preserve">，漏测网格数为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miss</m:t>
            </m:r>
          </m:sub>
        </m:sSub>
      </m:oMath>
      <w:r>
        <w:rPr>
          <w:rFonts w:hint="eastAsia"/>
        </w:rPr>
        <w:t xml:space="preserve">，则</w:t>
      </w:r>
      <w:r>
        <w:br/>
      </w:r>
    </w:p>
    <w:p>
      <w:pPr>
        <w:pStyle w:val="a0"/>
      </w:pPr>
      <m:oMathPara>
        <m:oMathParaPr>
          <m:jc m:val="center"/>
        </m:oMathParaPr>
        <m:oMath>
          <m:r>
            <m:rPr>
              <m:nor/>
              <m:sty m:val="p"/>
            </m:rPr>
            <m:t>漏测百分比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miss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过度重叠长度</w:t>
      </w:r>
      <w:r>
        <w:br/>
      </w:r>
      <w:r>
        <w:rPr>
          <w:rFonts w:hint="eastAsia"/>
        </w:rPr>
        <w:t xml:space="preserve">对相邻测线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j</m:t>
            </m:r>
          </m:sub>
        </m:sSub>
      </m:oMath>
      <w:r>
        <w:rPr>
          <w:rFonts w:hint="eastAsia"/>
        </w:rPr>
        <w:t xml:space="preserve">，计算其条带重叠区内的实际重叠率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沿测线方向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的分布。若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20</m:t>
        </m:r>
        <m:r>
          <m:rPr>
            <m:sty m:val="p"/>
          </m:rPr>
          <m:t>%</m:t>
        </m:r>
      </m:oMath>
      <w:r>
        <w:rPr>
          <w:rFonts w:hint="eastAsia"/>
        </w:rPr>
        <w:t xml:space="preserve">，则累计该段长度；遍历所有测线对，得</w:t>
      </w:r>
      <w:r>
        <w:br/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over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(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}</m:t>
              </m:r>
            </m:sub>
            <m:sup>
              <m:r>
                <m:t>​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n"/>
                </m:naryPr>
                <m:sub>
                  <m:r>
                    <m:t>s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rPr>
                      <m:scr m:val="double-struck"/>
                      <m:sty m:val="p"/>
                    </m:rPr>
                    <m:t>I</m:t>
                  </m:r>
                </m:e>
              </m:nary>
            </m:e>
          </m:nary>
          <m:r>
            <m:t>​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&gt;</m:t>
              </m:r>
              <m:r>
                <m:t>0.2</m:t>
              </m:r>
            </m:e>
          </m:d>
          <m:r>
            <m:rPr>
              <m:sty m:val="p"/>
            </m:rPr>
            <m:t>d</m:t>
          </m:r>
          <m:r>
            <m:t>s</m:t>
          </m:r>
          <m:r>
            <m:rPr>
              <m:sty m:val="p"/>
            </m:rPr>
            <m:t>.</m:t>
          </m:r>
        </m:oMath>
      </m:oMathPara>
    </w:p>
    <w:bookmarkEnd w:id="22"/>
    <w:bookmarkStart w:id="23" w:name="结果与分析"/>
    <w:p>
      <w:pPr>
        <w:pStyle w:val="3"/>
      </w:pPr>
      <w:r>
        <w:t xml:space="preserve">5.4.4 </w:t>
      </w:r>
      <w:r>
        <w:rPr>
          <w:rFonts w:hint="eastAsia"/>
        </w:rPr>
        <w:t xml:space="preserve">结果与分析</w:t>
      </w:r>
    </w:p>
    <w:p>
      <w:pPr>
        <w:pStyle w:val="FirstParagraph"/>
      </w:pPr>
      <w:r>
        <w:t xml:space="preserve">()</w:t>
      </w:r>
    </w:p>
    <w:p>
      <w:pPr>
        <w:pStyle w:val="a0"/>
      </w:pPr>
      <w:r>
        <w:rPr>
          <w:rFonts w:hint="eastAsia"/>
        </w:rPr>
        <w:t xml:space="preserve">综上，基于ARPF的自适应测线布设策略在复杂海底地形条件下，实现了“全覆盖、低冗余、短总长”的多目标优化，显著优于单一全局布设方案，验证了模型的有效性与工程实用性。</w:t>
      </w:r>
    </w:p>
    <w:bookmarkEnd w:id="23"/>
    <w:sectPr w:rsidR="00E1645B" w:rsidSect="00087D78">
      <w:footerReference r:id="rId9" w:type="default"/>
      <w:pgSz w:code="9" w:h="16838" w:w="11906"/>
      <w:pgMar w:bottom="1134" w:footer="720" w:gutter="0" w:header="720" w:left="1701" w:right="850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charset w:val="00"/>
    <w:family w:val="auto"/>
    <w:pitch w:val="fixed"/>
    <w:sig w:usb0="00000001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3818139"/>
      <w:docPartObj>
        <w:docPartGallery w:val="Page Numbers (Bottom of Page)"/>
        <w:docPartUnique/>
      </w:docPartObj>
    </w:sdtPr>
    <w:sdtEndPr/>
    <w:sdtContent>
      <w:p w14:paraId="542A371B" w14:textId="77777777" w:rsidR="00E1645B" w:rsidRDefault="009013F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A0A" w:rsidRPr="00742A0A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7290EB49" w14:textId="77777777" w:rsidR="00E1645B" w:rsidRDefault="00E1645B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DCB2411E"/>
    <w:lvl w:ilvl="0">
      <w:numFmt w:val="bullet"/>
      <w:lvlText w:val="•"/>
      <w:lvlJc w:val="left"/>
      <w:pPr>
        <w:ind w:hanging="329" w:left="567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329" w:left="1134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微软雅黑" w:hint="eastAsia"/>
        <w:sz w:val="28"/>
      </w:rPr>
    </w:lvl>
  </w:abstractNum>
  <w:abstractNum w15:restartNumberingAfterBreak="0" w:abstractNumId="2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87D78"/>
    <w:rsid w:val="00556B9E"/>
    <w:rsid w:val="006747B6"/>
    <w:rsid w:val="006E5724"/>
    <w:rsid w:val="00742A0A"/>
    <w:rsid w:val="009013F6"/>
    <w:rsid w:val="00970C9D"/>
    <w:rsid w:val="00A14FF3"/>
    <w:rsid w:val="00BF6B73"/>
    <w:rsid w:val="00C214C8"/>
    <w:rsid w:val="00E1645B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Char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rsid w:val="005D0F42"/>
    <w:pPr>
      <w:spacing w:after="120"/>
      <w:jc w:val="center"/>
    </w:p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0" w:type="character">
    <w:name w:val="题注 Char"/>
    <w:basedOn w:val="a1"/>
    <w:link w:val="aa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Char0"/>
    <w:link w:val="SourceCode"/>
    <w:rsid w:val="00D149F4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b" w:type="character">
    <w:name w:val="footnote reference"/>
    <w:basedOn w:val="Char0"/>
    <w:rPr>
      <w:rFonts w:ascii="Times New Roman" w:eastAsia="宋体" w:hAnsi="Times New Roman"/>
      <w:vertAlign w:val="superscript"/>
    </w:rPr>
  </w:style>
  <w:style w:styleId="ac" w:type="character">
    <w:name w:val="Hyperlink"/>
    <w:basedOn w:val="Char0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149F4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har" w:type="character">
    <w:name w:val="正文文本 Char"/>
    <w:basedOn w:val="a1"/>
    <w:link w:val="a0"/>
    <w:rsid w:val="00743667"/>
    <w:rPr>
      <w:rFonts w:ascii="Times New Roman" w:eastAsia="宋体" w:hAnsi="Times New Roman"/>
      <w:lang w:eastAsia="zh-CN"/>
    </w:rPr>
  </w:style>
  <w:style w:styleId="ad" w:type="paragraph">
    <w:name w:val="header"/>
    <w:basedOn w:val="a"/>
    <w:link w:val="Char1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1" w:type="character">
    <w:name w:val="页眉 Char"/>
    <w:basedOn w:val="a1"/>
    <w:link w:val="ad"/>
    <w:rsid w:val="00797A2D"/>
    <w:rPr>
      <w:sz w:val="18"/>
      <w:szCs w:val="18"/>
    </w:rPr>
  </w:style>
  <w:style w:styleId="ae" w:type="paragraph">
    <w:name w:val="footer"/>
    <w:basedOn w:val="a"/>
    <w:link w:val="Char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2" w:type="character">
    <w:name w:val="页脚 Char"/>
    <w:basedOn w:val="a1"/>
    <w:link w:val="ae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2025-08-03T09:35:15Z</dcterms:created>
  <dcterms:modified xsi:type="dcterms:W3CDTF">2025-08-03T09:35:15Z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