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</w:t>
      </w:r>
      <w:r>
        <w:t xml:space="preserve"> </w:t>
      </w:r>
      <w:r>
        <w:t xml:space="preserve">kills</w:t>
      </w:r>
      <w:r>
        <w:t xml:space="preserve"> </w:t>
      </w:r>
      <w:r>
        <w:t xml:space="preserve">patients</w:t>
      </w:r>
      <w:r>
        <w:t xml:space="preserve"> </w:t>
      </w:r>
      <w:r>
        <w:t xml:space="preserve">with</w:t>
      </w:r>
      <w:r>
        <w:t xml:space="preserve"> </w:t>
      </w:r>
      <w:r>
        <w:t xml:space="preserve">extraskeletal</w:t>
      </w:r>
      <w:r>
        <w:t xml:space="preserve"> </w:t>
      </w:r>
      <w:r>
        <w:t xml:space="preserve">myxoid</w:t>
      </w:r>
      <w:r>
        <w:t xml:space="preserve"> </w:t>
      </w:r>
      <w:r>
        <w:t xml:space="preserve">chondrosarcoma,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survival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tumour-directed</w:t>
      </w:r>
      <w:r>
        <w:t xml:space="preserve"> </w:t>
      </w:r>
      <w:r>
        <w:t xml:space="preserve">therapy:</w:t>
      </w:r>
      <w:r>
        <w:t xml:space="preserve"> </w:t>
      </w:r>
      <w:r>
        <w:t xml:space="preserve">a</w:t>
      </w:r>
      <w:r>
        <w:t xml:space="preserve"> </w:t>
      </w:r>
      <w:r>
        <w:t xml:space="preserve">cause-of-death</w:t>
      </w:r>
      <w:r>
        <w:t xml:space="preserve"> </w:t>
      </w:r>
      <w:r>
        <w:t xml:space="preserve">and</w:t>
      </w:r>
      <w:r>
        <w:t xml:space="preserve"> </w:t>
      </w:r>
      <w:r>
        <w:t xml:space="preserve">relative-survival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published</w:t>
      </w:r>
      <w:r>
        <w:t xml:space="preserve"> </w:t>
      </w:r>
      <w:r>
        <w:t xml:space="preserve">record</w:t>
      </w:r>
    </w:p>
    <w:p>
      <w:pPr>
        <w:pStyle w:val="Date"/>
      </w:pPr>
      <w:r>
        <w:t xml:space="preserve">2026-08-09</w:t>
      </w:r>
    </w:p>
    <w:bookmarkStart w:id="45" w:name="Xc86b9abe63d5687f8764d640637fd4f80e24c40"/>
    <w:p>
      <w:pPr>
        <w:pStyle w:val="Heading1"/>
      </w:pPr>
      <w:r>
        <w:t xml:space="preserve">What kills patients with extraskeletal myxoid chondrosarcoma, and the survival available to tumour-directed therapy: a cause-of-death and relative-survival analysis of the published record</w:t>
      </w:r>
    </w:p>
    <w:p>
      <w:pPr>
        <w:pStyle w:val="FirstParagraph"/>
      </w:pPr>
      <w:r>
        <w:rPr>
          <w:bCs/>
          <w:b/>
        </w:rPr>
        <w:t xml:space="preserve">Tristan D. McRae</w:t>
      </w:r>
    </w:p>
    <w:p>
      <w:pPr>
        <w:pStyle w:val="BodyText"/>
      </w:pPr>
      <w:r>
        <w:rPr>
          <w:iCs/>
          <w:i/>
        </w:rPr>
        <w:t xml:space="preserve">Independent researcher.</w:t>
      </w:r>
      <w:r>
        <w:t xml:space="preserve"> </w:t>
      </w:r>
      <w:r>
        <w:t xml:space="preserve">Correspondence: trimcrae@gmail.com</w:t>
      </w:r>
    </w:p>
    <w:p>
      <w:pPr>
        <w:pStyle w:val="BodyText"/>
      </w:pPr>
      <w:r>
        <w:rPr>
          <w:iCs/>
          <w:i/>
        </w:rPr>
        <w:t xml:space="preserve">A study of the published record. No patient was recruited, no patient-level record was re-analysed,</w:t>
      </w:r>
      <w:r>
        <w:rPr>
          <w:iCs/>
          <w:i/>
        </w:rPr>
        <w:t xml:space="preserve"> </w:t>
      </w:r>
      <w:r>
        <w:rPr>
          <w:iCs/>
          <w:i/>
        </w:rPr>
        <w:t xml:space="preserve">and no claim is made that any treatment works. Every figure below is computed from counts and</w:t>
      </w:r>
      <w:r>
        <w:rPr>
          <w:iCs/>
          <w:i/>
        </w:rPr>
        <w:t xml:space="preserve"> </w:t>
      </w:r>
      <w:r>
        <w:rPr>
          <w:iCs/>
          <w:i/>
        </w:rPr>
        <w:t xml:space="preserve">survival percentages already published, or from a public national life table. Analyses were carried</w:t>
      </w:r>
      <w:r>
        <w:rPr>
          <w:iCs/>
          <w:i/>
        </w:rPr>
        <w:t xml:space="preserve"> </w:t>
      </w:r>
      <w:r>
        <w:rPr>
          <w:iCs/>
          <w:i/>
        </w:rPr>
        <w:t xml:space="preserve">out with AI assistance (see Methods).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Background.</w:t>
      </w:r>
      <w:r>
        <w:t xml:space="preserve"> </w:t>
      </w:r>
      <w:r>
        <w:t xml:space="preserve">Extraskeletal myxoid chondrosarcoma is an ultra-rare translocation sarcoma with a</w:t>
      </w:r>
      <w:r>
        <w:t xml:space="preserve"> </w:t>
      </w:r>
      <w:r>
        <w:t xml:space="preserve">protracted course: reported ten-year disease-specific survival is approximately 85 per cent, while</w:t>
      </w:r>
      <w:r>
        <w:t xml:space="preserve"> </w:t>
      </w:r>
      <w:r>
        <w:t xml:space="preserve">30 to 50 per cent of patients develop distant metastases, mostly pulmonary. Research effort in this</w:t>
      </w:r>
      <w:r>
        <w:t xml:space="preserve"> </w:t>
      </w:r>
      <w:r>
        <w:t xml:space="preserve">disease is directed almost entirely at preventing death from the tumour. How often patients die of</w:t>
      </w:r>
      <w:r>
        <w:t xml:space="preserve"> </w:t>
      </w:r>
      <w:r>
        <w:t xml:space="preserve">the tumour, and by what mechanism, has not been described.</w:t>
      </w:r>
    </w:p>
    <w:p>
      <w:pPr>
        <w:pStyle w:val="BodyText"/>
      </w:pPr>
      <w:r>
        <w:rPr>
          <w:bCs/>
          <w:b/>
        </w:rPr>
        <w:t xml:space="preserve">Methods.</w:t>
      </w:r>
      <w:r>
        <w:t xml:space="preserve"> </w:t>
      </w:r>
      <w:r>
        <w:t xml:space="preserve">Six hundred open-access publications matching the disease were enumerated through</w:t>
      </w:r>
      <w:r>
        <w:t xml:space="preserve"> </w:t>
      </w:r>
      <w:r>
        <w:t xml:space="preserve">Europe PMC and 328 full texts retrieved. Sentences containing a death cue were extracted mechanically</w:t>
      </w:r>
      <w:r>
        <w:t xml:space="preserve"> </w:t>
      </w:r>
      <w:r>
        <w:t xml:space="preserve">and classified by reading, with the patient rather than the sentence as the unit; papers not about</w:t>
      </w:r>
      <w:r>
        <w:t xml:space="preserve"> </w:t>
      </w:r>
      <w:r>
        <w:t xml:space="preserve">this disease were excluded, leaving 34. Cause-of-death splits reported on identical patients were</w:t>
      </w:r>
      <w:r>
        <w:t xml:space="preserve"> </w:t>
      </w:r>
      <w:r>
        <w:t xml:space="preserve">extracted from a national registry cohort. Relative survival was computed under the Ederer II</w:t>
      </w:r>
      <w:r>
        <w:t xml:space="preserve"> </w:t>
      </w:r>
      <w:r>
        <w:t xml:space="preserve">convention against a World Health Organization life table for the United States, matched to the</w:t>
      </w:r>
      <w:r>
        <w:t xml:space="preserve"> </w:t>
      </w:r>
      <w:r>
        <w:t xml:space="preserve">cohort median age and sex ratio. Every quoted figure is asserted against its source artifact</w:t>
      </w:r>
      <w:r>
        <w:t xml:space="preserve"> </w:t>
      </w:r>
      <w:r>
        <w:t xml:space="preserve">programmatically, and the analysis code and data are public.</w:t>
      </w:r>
    </w:p>
    <w:p>
      <w:pPr>
        <w:pStyle w:val="BodyText"/>
      </w:pPr>
      <w:r>
        <w:rPr>
          <w:bCs/>
          <w:b/>
        </w:rPr>
        <w:t xml:space="preserve">Results.</w:t>
      </w:r>
      <w:r>
        <w:t xml:space="preserve"> </w:t>
      </w:r>
      <w:r>
        <w:t xml:space="preserve">Of 52 deaths described in the disease’s open-access literature, 15 (28.8 per cent)</w:t>
      </w:r>
      <w:r>
        <w:t xml:space="preserve"> </w:t>
      </w:r>
      <w:r>
        <w:t xml:space="preserve">carried any stated mechanism. Among those 15, death from a competing cause or a second malignancy was</w:t>
      </w:r>
      <w:r>
        <w:t xml:space="preserve"> </w:t>
      </w:r>
      <w:r>
        <w:t xml:space="preserve">the largest category (6 deaths, 40 per cent), exceeding respiratory failure (3 deaths), and one of the</w:t>
      </w:r>
      <w:r>
        <w:t xml:space="preserve"> </w:t>
      </w:r>
      <w:r>
        <w:t xml:space="preserve">three respiratory deaths followed tumour-embolic ischaemic stroke rather than pulmonary tumour</w:t>
      </w:r>
      <w:r>
        <w:t xml:space="preserve"> </w:t>
      </w:r>
      <w:r>
        <w:t xml:space="preserve">burden. In the national registry cohort, deaths not attributed to the sarcoma comprised 30.8 per cent</w:t>
      </w:r>
      <w:r>
        <w:t xml:space="preserve"> </w:t>
      </w:r>
      <w:r>
        <w:t xml:space="preserve">of deaths in localised disease (4 of 13) and 10.0 per cent in disease metastatic at diagnosis (1 of</w:t>
      </w:r>
      <w:r>
        <w:t xml:space="preserve"> </w:t>
      </w:r>
      <w:r>
        <w:t xml:space="preserve">10). The corresponding upper bound on what preventing every disease death could add was 6.7</w:t>
      </w:r>
      <w:r>
        <w:t xml:space="preserve"> </w:t>
      </w:r>
      <w:r>
        <w:t xml:space="preserve">percentage points of survival in localised disease and 31.0 points in metastatic disease at a median</w:t>
      </w:r>
      <w:r>
        <w:t xml:space="preserve"> </w:t>
      </w:r>
      <w:r>
        <w:t xml:space="preserve">follow-up of just over three years. Relative survival, which assigns no cause to any patient, gave a</w:t>
      </w:r>
      <w:r>
        <w:t xml:space="preserve"> </w:t>
      </w:r>
      <w:r>
        <w:t xml:space="preserve">median competing share of 23.0 per cent across eight series-horizons, against 21.7 per cent from the</w:t>
      </w:r>
      <w:r>
        <w:t xml:space="preserve"> </w:t>
      </w:r>
      <w:r>
        <w:t xml:space="preserve">cause split; the two methods share no input. Observed non-sarcoma deaths matched background mortality</w:t>
      </w:r>
      <w:r>
        <w:t xml:space="preserve"> </w:t>
      </w:r>
      <w:r>
        <w:t xml:space="preserve">for the cohort’s age and sex (ratios 0.97 and 1.04, on four and one events). No publication reporting</w:t>
      </w:r>
      <w:r>
        <w:t xml:space="preserve"> </w:t>
      </w:r>
      <w:r>
        <w:t xml:space="preserve">the growth rate of pulmonary metastases in this disease was found.</w:t>
      </w:r>
    </w:p>
    <w:p>
      <w:pPr>
        <w:pStyle w:val="BodyText"/>
      </w:pPr>
      <w:r>
        <w:rPr>
          <w:bCs/>
          <w:b/>
        </w:rPr>
        <w:t xml:space="preserve">Conclusions.</w:t>
      </w:r>
      <w:r>
        <w:t xml:space="preserve"> </w:t>
      </w:r>
      <w:r>
        <w:t xml:space="preserve">The published record of this disease cannot say how most of its patients die. What it</w:t>
      </w:r>
      <w:r>
        <w:t xml:space="preserve"> </w:t>
      </w:r>
      <w:r>
        <w:t xml:space="preserve">does say is that a substantial minority of deaths are not caused by the sarcoma, that this fraction is</w:t>
      </w:r>
      <w:r>
        <w:t xml:space="preserve"> </w:t>
      </w:r>
      <w:r>
        <w:t xml:space="preserve">large in localised disease and small in metastatic disease, and that the survival available to</w:t>
      </w:r>
      <w:r>
        <w:t xml:space="preserve"> </w:t>
      </w:r>
      <w:r>
        <w:t xml:space="preserve">antitumour therapy is correspondingly concentrated in the metastatic stratum. Two independent methods</w:t>
      </w:r>
      <w:r>
        <w:t xml:space="preserve"> </w:t>
      </w:r>
      <w:r>
        <w:t xml:space="preserve">agree on the size of the competing fraction. These findings bound what tumour-directed research in</w:t>
      </w:r>
      <w:r>
        <w:t xml:space="preserve"> </w:t>
      </w:r>
      <w:r>
        <w:t xml:space="preserve">this disease can achieve and identify a second, unaddressed population of deaths.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Extraskeletal myxoid chondrosarcoma is defined by rearrangement of</w:t>
      </w:r>
      <w:r>
        <w:t xml:space="preserve"> </w:t>
      </w:r>
      <w:r>
        <w:rPr>
          <w:iCs/>
          <w:i/>
        </w:rPr>
        <w:t xml:space="preserve">NR4A3</w:t>
      </w:r>
      <w:r>
        <w:t xml:space="preserve">, most often as an</w:t>
      </w:r>
      <w:r>
        <w:t xml:space="preserve"> </w:t>
      </w:r>
      <w:r>
        <w:rPr>
          <w:iCs/>
          <w:i/>
        </w:rPr>
        <w:t xml:space="preserve">EWSR1::NR4A3</w:t>
      </w:r>
      <w:r>
        <w:t xml:space="preserve"> </w:t>
      </w:r>
      <w:r>
        <w:t xml:space="preserve">fusion. It is ultra-rare, with an incidence well under one per million per year, and</w:t>
      </w:r>
      <w:r>
        <w:t xml:space="preserve"> </w:t>
      </w:r>
      <w:r>
        <w:t xml:space="preserve">its course is unusually protracted: patients recur and metastasise late, and survival with metastatic</w:t>
      </w:r>
      <w:r>
        <w:t xml:space="preserve"> </w:t>
      </w:r>
      <w:r>
        <w:t xml:space="preserve">disease is measured in years rather than months.</w:t>
      </w:r>
    </w:p>
    <w:p>
      <w:pPr>
        <w:pStyle w:val="BodyText"/>
      </w:pPr>
      <w:r>
        <w:t xml:space="preserve">Almost all translational work in this disease is directed at the tumour. That is reasonable, and it</w:t>
      </w:r>
      <w:r>
        <w:t xml:space="preserve"> </w:t>
      </w:r>
      <w:r>
        <w:t xml:space="preserve">carries an assumption nobody has examined: that the event research is trying to prevent, death caused</w:t>
      </w:r>
      <w:r>
        <w:t xml:space="preserve"> </w:t>
      </w:r>
      <w:r>
        <w:t xml:space="preserve">by the sarcoma, is the event that actually occurs. For a disease whose reported ten-year</w:t>
      </w:r>
      <w:r>
        <w:t xml:space="preserve"> </w:t>
      </w:r>
      <w:r>
        <w:t xml:space="preserve">disease-specific survival is approximately 85 per cent, in patients most often diagnosed in their</w:t>
      </w:r>
      <w:r>
        <w:t xml:space="preserve"> </w:t>
      </w:r>
      <w:r>
        <w:t xml:space="preserve">fifties and sixties, the assumption is not self-evident. If a meaningful share of deaths after</w:t>
      </w:r>
      <w:r>
        <w:t xml:space="preserve"> </w:t>
      </w:r>
      <w:r>
        <w:t xml:space="preserve">diagnosis are not caused by the sarcoma, then the survival available to any antitumour therapy is</w:t>
      </w:r>
      <w:r>
        <w:t xml:space="preserve"> </w:t>
      </w:r>
      <w:r>
        <w:t xml:space="preserve">smaller than overall survival curves suggest, and a second population of deaths exists that no</w:t>
      </w:r>
      <w:r>
        <w:t xml:space="preserve"> </w:t>
      </w:r>
      <w:r>
        <w:t xml:space="preserve">tumour-directed approach addresses.</w:t>
      </w:r>
    </w:p>
    <w:p>
      <w:pPr>
        <w:pStyle w:val="BodyText"/>
      </w:pPr>
      <w:r>
        <w:t xml:space="preserve">Answering this requires knowing what patients die of, which requires the literature to have recorded</w:t>
      </w:r>
      <w:r>
        <w:t xml:space="preserve"> </w:t>
      </w:r>
      <w:r>
        <w:t xml:space="preserve">it. This study asks three questions in order: how often the published record states a mechanism of</w:t>
      </w:r>
      <w:r>
        <w:t xml:space="preserve"> </w:t>
      </w:r>
      <w:r>
        <w:t xml:space="preserve">death; what fraction of deaths are attributed to the disease when a cohort reports both; and whether</w:t>
      </w:r>
      <w:r>
        <w:t xml:space="preserve"> </w:t>
      </w:r>
      <w:r>
        <w:t xml:space="preserve">a method that requires no cause-of-death assignment agrees.</w:t>
      </w:r>
    </w:p>
    <w:bookmarkEnd w:id="21"/>
    <w:bookmarkStart w:id="27" w:name="methods"/>
    <w:p>
      <w:pPr>
        <w:pStyle w:val="Heading2"/>
      </w:pPr>
      <w:r>
        <w:t xml:space="preserve">2. Methods</w:t>
      </w:r>
    </w:p>
    <w:bookmarkStart w:id="22" w:name="corpus"/>
    <w:p>
      <w:pPr>
        <w:pStyle w:val="Heading3"/>
      </w:pPr>
      <w:r>
        <w:t xml:space="preserve">2.1 Corpus</w:t>
      </w:r>
    </w:p>
    <w:p>
      <w:pPr>
        <w:pStyle w:val="FirstParagraph"/>
      </w:pPr>
      <w:r>
        <w:t xml:space="preserve">Publications were enumerated through the Europe PMC REST interface using a disease query spanning the</w:t>
      </w:r>
      <w:r>
        <w:t xml:space="preserve"> </w:t>
      </w:r>
      <w:r>
        <w:t xml:space="preserve">condition’s alternative names, restricted to records with open-access or Europe PMC full text. Six</w:t>
      </w:r>
      <w:r>
        <w:t xml:space="preserve"> </w:t>
      </w:r>
      <w:r>
        <w:t xml:space="preserve">hundred records were enumerated and full text retrieved for 400, of which 328 returned parsable text.</w:t>
      </w:r>
      <w:r>
        <w:t xml:space="preserve"> </w:t>
      </w:r>
      <w:r>
        <w:t xml:space="preserve">Reference lists, tables and figures were removed before analysis, because bibliographies contain other</w:t>
      </w:r>
      <w:r>
        <w:t xml:space="preserve"> </w:t>
      </w:r>
      <w:r>
        <w:t xml:space="preserve">papers’ titles carrying death terms.</w:t>
      </w:r>
    </w:p>
    <w:p>
      <w:pPr>
        <w:pStyle w:val="BodyText"/>
      </w:pPr>
      <w:r>
        <w:t xml:space="preserve">Sentences containing a death cue were extracted by pattern. The pattern is</w:t>
      </w:r>
      <w:r>
        <w:t xml:space="preserve"> </w:t>
      </w:r>
      <w:r>
        <w:t xml:space="preserve">recall-oriented by design: it retains negative statements and methodological definitions, because a filter tuned</w:t>
      </w:r>
      <w:r>
        <w:t xml:space="preserve"> </w:t>
      </w:r>
      <w:r>
        <w:t xml:space="preserve">to exclude them would also exclude unusual terminal events, which are the observations of interest.</w:t>
      </w:r>
      <w:r>
        <w:t xml:space="preserve"> </w:t>
      </w:r>
      <w:r>
        <w:t xml:space="preserve">No cause was assigned by pattern at any point.</w:t>
      </w:r>
    </w:p>
    <w:bookmarkEnd w:id="22"/>
    <w:bookmarkStart w:id="23" w:name="inclusion-and-classification"/>
    <w:p>
      <w:pPr>
        <w:pStyle w:val="Heading3"/>
      </w:pPr>
      <w:r>
        <w:t xml:space="preserve">2.2 Inclusion and classification</w:t>
      </w:r>
    </w:p>
    <w:p>
      <w:pPr>
        <w:pStyle w:val="FirstParagraph"/>
      </w:pPr>
      <w:r>
        <w:t xml:space="preserve">Of 162 papers carrying at least one death sentence, 34 have the disease in their title. The remainder</w:t>
      </w:r>
      <w:r>
        <w:t xml:space="preserve"> </w:t>
      </w:r>
      <w:r>
        <w:t xml:space="preserve">match because the disease appears in a differential diagnosis or a citation, and their deaths belong</w:t>
      </w:r>
      <w:r>
        <w:t xml:space="preserve"> </w:t>
      </w:r>
      <w:r>
        <w:t xml:space="preserve">to other diseases’ patients; all analyses are restricted to the 34.</w:t>
      </w:r>
    </w:p>
    <w:p>
      <w:pPr>
        <w:pStyle w:val="BodyText"/>
      </w:pPr>
      <w:r>
        <w:t xml:space="preserve">Classification was performed by reading each sentence with its paper’s context, and assigning one of:</w:t>
      </w:r>
      <w:r>
        <w:t xml:space="preserve"> </w:t>
      </w:r>
      <w:r>
        <w:t xml:space="preserve">respiratory failure, locoregional complication, visceral metastasis complication, treatment-related</w:t>
      </w:r>
      <w:r>
        <w:t xml:space="preserve"> </w:t>
      </w:r>
      <w:r>
        <w:t xml:space="preserve">death, competing non-cancer death, second malignancy, death from progressive disease without a stated</w:t>
      </w:r>
      <w:r>
        <w:t xml:space="preserve"> </w:t>
      </w:r>
      <w:r>
        <w:t xml:space="preserve">mechanism, mechanism unstated, or not a patient death.</w:t>
      </w:r>
    </w:p>
    <w:p>
      <w:pPr>
        <w:pStyle w:val="BodyText"/>
      </w:pPr>
      <w:r>
        <w:t xml:space="preserve">The unit of analysis is a patient or a reported patient group, never a sentence. One paper describes</w:t>
      </w:r>
      <w:r>
        <w:t xml:space="preserve"> </w:t>
      </w:r>
      <w:r>
        <w:t xml:space="preserve">three deaths across seven sentences and another describes one death in four; counting sentences would</w:t>
      </w:r>
      <w:r>
        <w:t xml:space="preserve"> </w:t>
      </w:r>
      <w:r>
        <w:t xml:space="preserve">have inflated the total roughly threefold and weighted the most verbose reports most heavily.</w:t>
      </w:r>
    </w:p>
    <w:bookmarkEnd w:id="23"/>
    <w:bookmarkStart w:id="24" w:name="X5644dc398a867991561cafb15a95cdcd30f41c1"/>
    <w:p>
      <w:pPr>
        <w:pStyle w:val="Heading3"/>
      </w:pPr>
      <w:r>
        <w:t xml:space="preserve">2.3 Cause splits and the upper bound on antitumour benefit</w:t>
      </w:r>
    </w:p>
    <w:p>
      <w:pPr>
        <w:pStyle w:val="FirstParagraph"/>
      </w:pPr>
      <w:r>
        <w:t xml:space="preserve">Where a cohort reported both deaths attributed to the sarcoma and deaths attributed to other causes on</w:t>
      </w:r>
      <w:r>
        <w:t xml:space="preserve"> </w:t>
      </w:r>
      <w:r>
        <w:t xml:space="preserve">identical patients, the competing share was computed as a direct ratio of counts. This requires no</w:t>
      </w:r>
      <w:r>
        <w:t xml:space="preserve"> </w:t>
      </w:r>
      <w:r>
        <w:t xml:space="preserve">survival curve, no pairing across populations and no subtraction of summary percentages.</w:t>
      </w:r>
    </w:p>
    <w:p>
      <w:pPr>
        <w:pStyle w:val="BodyText"/>
      </w:pPr>
      <w:r>
        <w:t xml:space="preserve">The upper bound on antitumour benefit, referred to below as the ceiling, is the disease-specific</w:t>
      </w:r>
      <w:r>
        <w:t xml:space="preserve"> </w:t>
      </w:r>
      <w:r>
        <w:t xml:space="preserve">mortality present in a cohort: the survival that preventing every death from the sarcoma would add.</w:t>
      </w:r>
      <w:r>
        <w:t xml:space="preserve"> </w:t>
      </w:r>
      <w:r>
        <w:t xml:space="preserve">It is an upper bound on all tumour-directed therapy taken together, not on any single agent.</w:t>
      </w:r>
      <w:r>
        <w:t xml:space="preserve"> </w:t>
      </w:r>
      <w:r>
        <w:t xml:space="preserve">Binomial proportions carry Wilson intervals.</w:t>
      </w:r>
    </w:p>
    <w:bookmarkEnd w:id="24"/>
    <w:bookmarkStart w:id="25" w:name="relative-survival"/>
    <w:p>
      <w:pPr>
        <w:pStyle w:val="Heading3"/>
      </w:pPr>
      <w:r>
        <w:t xml:space="preserve">2.4 Relative survival</w:t>
      </w:r>
    </w:p>
    <w:p>
      <w:pPr>
        <w:pStyle w:val="FirstParagraph"/>
      </w:pPr>
      <w:r>
        <w:t xml:space="preserve">Relative survival was computed as observed all-cause survival divided by the survival expected for a</w:t>
      </w:r>
      <w:r>
        <w:t xml:space="preserve"> </w:t>
      </w:r>
      <w:r>
        <w:t xml:space="preserve">general population of the same age and sex, under the Ederer II convention, using age-specific death</w:t>
      </w:r>
      <w:r>
        <w:t xml:space="preserve"> </w:t>
      </w:r>
      <w:r>
        <w:t xml:space="preserve">rates from the World Health Organization Global Health Observatory for the United States. Expected</w:t>
      </w:r>
      <w:r>
        <w:t xml:space="preserve"> </w:t>
      </w:r>
      <w:r>
        <w:t xml:space="preserve">survival was computed for a synthetic cohort at the median age at diagnosis and the reported sex</w:t>
      </w:r>
      <w:r>
        <w:t xml:space="preserve"> </w:t>
      </w:r>
      <w:r>
        <w:t xml:space="preserve">ratio, and survival across a rate band of width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at rate</w:t>
      </w:r>
      <w:r>
        <w:t xml:space="preserve"> </w:t>
      </w:r>
      <w:r>
        <w:rPr>
          <w:iCs/>
          <w:i/>
        </w:rPr>
        <w:t xml:space="preserve">m</w:t>
      </w:r>
      <w:r>
        <w:t xml:space="preserve"> </w:t>
      </w:r>
      <w:r>
        <w:t xml:space="preserve">was taken as exp(−</w:t>
      </w:r>
      <w:r>
        <w:rPr>
          <w:iCs/>
          <w:i/>
        </w:rPr>
        <w:t xml:space="preserve">mw</w:t>
      </w:r>
      <w:r>
        <w:t xml:space="preserve">).</w:t>
      </w:r>
    </w:p>
    <w:p>
      <w:pPr>
        <w:pStyle w:val="BodyText"/>
      </w:pPr>
      <w:r>
        <w:t xml:space="preserve">This method attributes excess mortality to the disease without assigning a cause to any individual,</w:t>
      </w:r>
      <w:r>
        <w:t xml:space="preserve"> </w:t>
      </w:r>
      <w:r>
        <w:t xml:space="preserve">which is the point: it is independent of the cause-split described above and shares none of its</w:t>
      </w:r>
      <w:r>
        <w:t xml:space="preserve"> </w:t>
      </w:r>
      <w:r>
        <w:t xml:space="preserve">inputs. Series with relative survival at or above 0.99 were excluded from the pooled band, because the</w:t>
      </w:r>
      <w:r>
        <w:t xml:space="preserve"> </w:t>
      </w:r>
      <w:r>
        <w:t xml:space="preserve">competing share then divides a near-zero excess by a small all-cause mortality and becomes numerically</w:t>
      </w:r>
      <w:r>
        <w:t xml:space="preserve"> </w:t>
      </w:r>
      <w:r>
        <w:t xml:space="preserve">unstable; exclusions are reported individually.</w:t>
      </w:r>
    </w:p>
    <w:bookmarkEnd w:id="25"/>
    <w:bookmarkStart w:id="26" w:name="X7e565ba75a7e660afe75f6ed5beaeedaa992068"/>
    <w:p>
      <w:pPr>
        <w:pStyle w:val="Heading3"/>
      </w:pPr>
      <w:r>
        <w:t xml:space="preserve">2.5 Reproducibility and the use of AI assistance</w:t>
      </w:r>
    </w:p>
    <w:p>
      <w:pPr>
        <w:pStyle w:val="FirstParagraph"/>
      </w:pPr>
      <w:r>
        <w:t xml:space="preserve">All analysis code, input specifications and output artifacts are public. Every survival figure is</w:t>
      </w:r>
      <w:r>
        <w:t xml:space="preserve"> </w:t>
      </w:r>
      <w:r>
        <w:t xml:space="preserve">declared with the verbatim string it was read from and checked programmatically against its source, so</w:t>
      </w:r>
      <w:r>
        <w:t xml:space="preserve"> </w:t>
      </w:r>
      <w:r>
        <w:t xml:space="preserve">a corrected source figure fails the build rather than leaving a stale number. Every classified death</w:t>
      </w:r>
      <w:r>
        <w:t xml:space="preserve"> </w:t>
      </w:r>
      <w:r>
        <w:t xml:space="preserve">carries its verbatim sentence and identifier, checked against the retrieval artifact before any tally</w:t>
      </w:r>
      <w:r>
        <w:t xml:space="preserve"> </w:t>
      </w:r>
      <w:r>
        <w:t xml:space="preserve">is produced.</w:t>
      </w:r>
    </w:p>
    <w:p>
      <w:pPr>
        <w:pStyle w:val="BodyText"/>
      </w:pPr>
      <w:r>
        <w:t xml:space="preserve">Analyses were carried out with AI assistance. Retrieval, arithmetic and consistency checking were</w:t>
      </w:r>
      <w:r>
        <w:t xml:space="preserve"> </w:t>
      </w:r>
      <w:r>
        <w:t xml:space="preserve">performed by software; the classification of each death, the inclusion decisions and the</w:t>
      </w:r>
      <w:r>
        <w:t xml:space="preserve"> </w:t>
      </w:r>
      <w:r>
        <w:t xml:space="preserve">interpretation are the author’s. Two errors found during the work are recorded in Appendix A, because</w:t>
      </w:r>
      <w:r>
        <w:t xml:space="preserve"> </w:t>
      </w:r>
      <w:r>
        <w:t xml:space="preserve">both changed a headline figure.</w:t>
      </w:r>
    </w:p>
    <w:bookmarkEnd w:id="26"/>
    <w:bookmarkEnd w:id="27"/>
    <w:bookmarkStart w:id="35" w:name="results"/>
    <w:p>
      <w:pPr>
        <w:pStyle w:val="Heading2"/>
      </w:pPr>
      <w:r>
        <w:t xml:space="preserve">3. Results</w:t>
      </w:r>
    </w:p>
    <w:bookmarkStart w:id="28" w:name="Xa1b4c68383ca00ec496adb3a7841cb9b7133754"/>
    <w:p>
      <w:pPr>
        <w:pStyle w:val="Heading3"/>
      </w:pPr>
      <w:r>
        <w:t xml:space="preserve">3.1 Statement of a mechanism in the published record</w:t>
      </w:r>
    </w:p>
    <w:p>
      <w:pPr>
        <w:pStyle w:val="FirstParagraph"/>
      </w:pPr>
      <w:r>
        <w:t xml:space="preserve">Fifty-two deaths were described across 16 of the 34 papers. Fifteen (28.8 per cent) carried a stated</w:t>
      </w:r>
      <w:r>
        <w:t xml:space="preserve"> </w:t>
      </w:r>
      <w:r>
        <w:t xml:space="preserve">mechanism. Twenty-eight were recorded with no mechanism beyond a vital status, and a further eight</w:t>
      </w:r>
      <w:r>
        <w:t xml:space="preserve"> </w:t>
      </w:r>
      <w:r>
        <w:t xml:space="preserve">were attributed to progressive disease without further specification.</w:t>
      </w:r>
    </w:p>
    <w:p>
      <w:pPr>
        <w:pStyle w:val="BodyText"/>
      </w:pPr>
      <w:r>
        <w:rPr>
          <w:bCs/>
          <w:b/>
        </w:rPr>
        <w:t xml:space="preserve">Table 1.</w:t>
      </w:r>
      <w:r>
        <w:t xml:space="preserve"> </w:t>
      </w:r>
      <w:r>
        <w:t xml:space="preserve">Deaths in the open-access literature of this disease, by stated mechanism.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mechanism unstated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progressive disease, mechanism unspecified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respiratory failure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competing non-cancer cause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malignancy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locoregional complication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visceral metastasis complication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treatment-related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ambiguous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52</w:t>
            </w:r>
          </w:p>
        </w:tc>
      </w:tr>
    </w:tbl>
    <w:p>
      <w:pPr>
        <w:pStyle w:val="BodyText"/>
      </w:pPr>
      <w:r>
        <w:t xml:space="preserve">This is the study’s first result rather than a limitation of it. A research programme directed at</w:t>
      </w:r>
      <w:r>
        <w:t xml:space="preserve"> </w:t>
      </w:r>
      <w:r>
        <w:t xml:space="preserve">preventing a specific event cannot, from its own literature, describe that event in most of the</w:t>
      </w:r>
      <w:r>
        <w:t xml:space="preserve"> </w:t>
      </w:r>
      <w:r>
        <w:t xml:space="preserve">patients it has recorded.</w:t>
      </w:r>
    </w:p>
    <w:bookmarkEnd w:id="28"/>
    <w:bookmarkStart w:id="29" w:name="competing-causes-and-second-malignancies"/>
    <w:p>
      <w:pPr>
        <w:pStyle w:val="Heading3"/>
      </w:pPr>
      <w:r>
        <w:t xml:space="preserve">3.2 Competing causes and second malignancies</w:t>
      </w:r>
    </w:p>
    <w:p>
      <w:pPr>
        <w:pStyle w:val="FirstParagraph"/>
      </w:pPr>
      <w:r>
        <w:t xml:space="preserve">Among the 15 deaths with a stated mechanism, six were from a competing cause or a second malignancy,</w:t>
      </w:r>
      <w:r>
        <w:t xml:space="preserve"> </w:t>
      </w:r>
      <w:r>
        <w:t xml:space="preserve">exceeding any disease-specific mechanism. These recur across independent reports: two patients died of</w:t>
      </w:r>
      <w:r>
        <w:t xml:space="preserve"> </w:t>
      </w:r>
      <w:r>
        <w:t xml:space="preserve">concurrent malignancies within months of diagnosis in one series; a patient followed for 126 months</w:t>
      </w:r>
      <w:r>
        <w:t xml:space="preserve"> </w:t>
      </w:r>
      <w:r>
        <w:t xml:space="preserve">with metastatic disease died of unresectable colon cancer; two of sixteen collected intracranial cases</w:t>
      </w:r>
      <w:r>
        <w:t xml:space="preserve"> </w:t>
      </w:r>
      <w:r>
        <w:t xml:space="preserve">died of causes the reviewing authors judged unrelated; and one patient died of cerebral haemorrhage at</w:t>
      </w:r>
      <w:r>
        <w:t xml:space="preserve"> </w:t>
      </w:r>
      <w:r>
        <w:t xml:space="preserve">9.5 years with no tumour recurrence.</w:t>
      </w:r>
    </w:p>
    <w:p>
      <w:pPr>
        <w:pStyle w:val="BodyText"/>
      </w:pPr>
      <w:r>
        <w:t xml:space="preserve">Case reports over-select the notable, so this is a description of what was recorded and not an</w:t>
      </w:r>
      <w:r>
        <w:t xml:space="preserve"> </w:t>
      </w:r>
      <w:r>
        <w:t xml:space="preserve">incidence. Its direction is nevertheless the same as the registry result below, which is not subject</w:t>
      </w:r>
      <w:r>
        <w:t xml:space="preserve"> </w:t>
      </w:r>
      <w:r>
        <w:t xml:space="preserve">to case-report selection.</w:t>
      </w:r>
    </w:p>
    <w:bookmarkEnd w:id="29"/>
    <w:bookmarkStart w:id="30" w:name="Xb754322f63da2e7871421e85f24c9667115b1f3"/>
    <w:p>
      <w:pPr>
        <w:pStyle w:val="Heading3"/>
      </w:pPr>
      <w:r>
        <w:t xml:space="preserve">3.3 Respiratory failure, and the distinction from metastatic site</w:t>
      </w:r>
    </w:p>
    <w:p>
      <w:pPr>
        <w:pStyle w:val="FirstParagraph"/>
      </w:pPr>
      <w:r>
        <w:t xml:space="preserve">Three deaths were attributed to respiratory failure or to lung metastases. One followed tumour-embolic</w:t>
      </w:r>
      <w:r>
        <w:t xml:space="preserve"> </w:t>
      </w:r>
      <w:r>
        <w:t xml:space="preserve">ischaemic stroke treated by thrombectomy, with death 15 days later, rather than progressive pulmonary</w:t>
      </w:r>
      <w:r>
        <w:t xml:space="preserve"> </w:t>
      </w:r>
      <w:r>
        <w:t xml:space="preserve">tumour burden.</w:t>
      </w:r>
    </w:p>
    <w:p>
      <w:pPr>
        <w:pStyle w:val="BodyText"/>
      </w:pPr>
      <w:r>
        <w:t xml:space="preserve">This distinction matters because the pulmonary dominance of this disease’s metastatic pattern is well</w:t>
      </w:r>
      <w:r>
        <w:t xml:space="preserve"> </w:t>
      </w:r>
      <w:r>
        <w:t xml:space="preserve">established and is easily transposed into an assumption about how patients die. The site of metastasis</w:t>
      </w:r>
      <w:r>
        <w:t xml:space="preserve"> </w:t>
      </w:r>
      <w:r>
        <w:t xml:space="preserve">and the mode of death are different claims, and the present corpus supports the first without</w:t>
      </w:r>
      <w:r>
        <w:t xml:space="preserve"> </w:t>
      </w:r>
      <w:r>
        <w:t xml:space="preserve">establishing the second.</w:t>
      </w:r>
    </w:p>
    <w:bookmarkEnd w:id="30"/>
    <w:bookmarkStart w:id="31" w:name="X0f33c5cc3fd54fe8d2700bd9e3ce231c83d9b0e"/>
    <w:p>
      <w:pPr>
        <w:pStyle w:val="Heading3"/>
      </w:pPr>
      <w:r>
        <w:t xml:space="preserve">3.4 The antitumour ceiling, and its dependence on stage</w:t>
      </w:r>
    </w:p>
    <w:p>
      <w:pPr>
        <w:pStyle w:val="FirstParagraph"/>
      </w:pPr>
      <w:r>
        <w:t xml:space="preserve">One national registry cohort reported both cause counts on identical patients.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Cause of death and the ceiling on antitumour benefit, by stage at diagnosis.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disease deaths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other-cause deaths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competing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localised, surgically treated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6.7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metastatic at diagnosis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31.0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 points</w:t>
            </w:r>
          </w:p>
        </w:tc>
      </w:tr>
    </w:tbl>
    <w:p>
      <w:pPr>
        <w:pStyle w:val="BodyText"/>
      </w:pPr>
      <w:r>
        <w:t xml:space="preserve">At a median follow-up of just over three years, preventing every death from the sarcoma in the</w:t>
      </w:r>
      <w:r>
        <w:t xml:space="preserve"> </w:t>
      </w:r>
      <w:r>
        <w:t xml:space="preserve">localised cohort would have added 6.7 percentage points of survival; in the cohort metastatic at</w:t>
      </w:r>
      <w:r>
        <w:t xml:space="preserve"> </w:t>
      </w:r>
      <w:r>
        <w:t xml:space="preserve">diagnosis it would have added 31.0. The value available to tumour-directed therapy is concentrated in</w:t>
      </w:r>
      <w:r>
        <w:t xml:space="preserve"> </w:t>
      </w:r>
      <w:r>
        <w:t xml:space="preserve">the stratum that is the minority of patients.</w:t>
      </w:r>
    </w:p>
    <w:p>
      <w:pPr>
        <w:pStyle w:val="BodyText"/>
      </w:pPr>
      <w:r>
        <w:t xml:space="preserve">The same cohort reported that distant metastasis was associated with death from the tumour on</w:t>
      </w:r>
      <w:r>
        <w:t xml:space="preserve"> </w:t>
      </w:r>
      <w:r>
        <w:t xml:space="preserve">multivariate analysis, with an odds ratio of 26.26 (95 per cent CI 2.99 to 231.04), while local</w:t>
      </w:r>
      <w:r>
        <w:t xml:space="preserve"> </w:t>
      </w:r>
      <w:r>
        <w:t xml:space="preserve">recurrence was not associated with tumour mortality. The confidence interval is very wide on a small</w:t>
      </w:r>
      <w:r>
        <w:t xml:space="preserve"> </w:t>
      </w:r>
      <w:r>
        <w:t xml:space="preserve">number of events.</w:t>
      </w:r>
    </w:p>
    <w:bookmarkEnd w:id="31"/>
    <w:bookmarkStart w:id="32" w:name="X649f25f54dc1775da55514a8365df7e3b55b68f"/>
    <w:p>
      <w:pPr>
        <w:pStyle w:val="Heading3"/>
      </w:pPr>
      <w:r>
        <w:t xml:space="preserve">3.5 Agreement between two independent estimates</w:t>
      </w:r>
    </w:p>
    <w:p>
      <w:pPr>
        <w:pStyle w:val="FirstParagraph"/>
      </w:pPr>
      <w:r>
        <w:t xml:space="preserve">Relative survival gave a median competing share of 23.0 per cent across eight series-horizons (range</w:t>
      </w:r>
      <w:r>
        <w:t xml:space="preserve"> </w:t>
      </w:r>
      <w:r>
        <w:t xml:space="preserve">12.1 to 45.4), against 21.7 per cent from the registry cause split. The two share no input: one is</w:t>
      </w:r>
      <w:r>
        <w:t xml:space="preserve"> </w:t>
      </w:r>
      <w:r>
        <w:t xml:space="preserve">published all-cause survival divided by a national life table, the other is counts of patients a</w:t>
      </w:r>
      <w:r>
        <w:t xml:space="preserve"> </w:t>
      </w:r>
      <w:r>
        <w:t xml:space="preserve">registry assigned a cause to, and neither can be derived from the other.</w:t>
      </w:r>
    </w:p>
    <w:p>
      <w:pPr>
        <w:pStyle w:val="BodyText"/>
      </w:pPr>
      <w:r>
        <w:t xml:space="preserve">One series was excluded from the band with relative survival of 0.9925, and one horizon of the same</w:t>
      </w:r>
      <w:r>
        <w:t xml:space="preserve"> </w:t>
      </w:r>
      <w:r>
        <w:t xml:space="preserve">series produced relative survival above 1, meaning the cohort out-lived the general population. That</w:t>
      </w:r>
      <w:r>
        <w:t xml:space="preserve"> </w:t>
      </w:r>
      <w:r>
        <w:t xml:space="preserve">is a selection signal in a 42-patient cohort reporting 100 per cent five-year survival, not a property</w:t>
      </w:r>
      <w:r>
        <w:t xml:space="preserve"> </w:t>
      </w:r>
      <w:r>
        <w:t xml:space="preserve">of the disease.</w:t>
      </w:r>
    </w:p>
    <w:bookmarkEnd w:id="32"/>
    <w:bookmarkStart w:id="33" w:name="X387f90b1ddc4e5c5a8193d2a0993df96b9e3ab3"/>
    <w:p>
      <w:pPr>
        <w:pStyle w:val="Heading3"/>
      </w:pPr>
      <w:r>
        <w:t xml:space="preserve">3.6 Non-sarcoma deaths occur at background rate</w:t>
      </w:r>
    </w:p>
    <w:p>
      <w:pPr>
        <w:pStyle w:val="FirstParagraph"/>
      </w:pPr>
      <w:r>
        <w:t xml:space="preserve">Observed deaths not attributed to the sarcoma were compared against a life table matched on age and</w:t>
      </w:r>
      <w:r>
        <w:t xml:space="preserve"> </w:t>
      </w:r>
      <w:r>
        <w:t xml:space="preserve">sex, at each cohort’s own follow-up: 3.0 per cent observed against 3.1 per cent expected in the</w:t>
      </w:r>
      <w:r>
        <w:t xml:space="preserve"> </w:t>
      </w:r>
      <w:r>
        <w:t xml:space="preserve">localised stratum (ratio 0.97, 95 per cent CI 0.38 to 2.41) and 3.4 against 3.3 per cent in the</w:t>
      </w:r>
      <w:r>
        <w:t xml:space="preserve"> </w:t>
      </w:r>
      <w:r>
        <w:t xml:space="preserve">metastatic stratum (ratio 1.04, 95 per cent CI 0.18 to 5.18).</w:t>
      </w:r>
    </w:p>
    <w:p>
      <w:pPr>
        <w:pStyle w:val="BodyText"/>
      </w:pPr>
      <w:r>
        <w:t xml:space="preserve">These rest on four events and one event respectively. What they establish is consistency with</w:t>
      </w:r>
      <w:r>
        <w:t xml:space="preserve"> </w:t>
      </w:r>
      <w:r>
        <w:t xml:space="preserve">background mortality, not equality to it. The comparison is also one-sided: a general-population life</w:t>
      </w:r>
      <w:r>
        <w:t xml:space="preserve"> </w:t>
      </w:r>
      <w:r>
        <w:t xml:space="preserve">table overstates background mortality for a cohort fit enough to reach and survive a sarcoma</w:t>
      </w:r>
      <w:r>
        <w:t xml:space="preserve"> </w:t>
      </w:r>
      <w:r>
        <w:t xml:space="preserve">diagnosis, so it can refute the proposition that the gap is ordinary background mortality and cannot</w:t>
      </w:r>
      <w:r>
        <w:t xml:space="preserve"> </w:t>
      </w:r>
      <w:r>
        <w:t xml:space="preserve">prove it. It did not refute it.</w:t>
      </w:r>
    </w:p>
    <w:bookmarkEnd w:id="33"/>
    <w:bookmarkStart w:id="34" w:name="X81e03f652906a0a781adb7162bcdaca96c0e388"/>
    <w:p>
      <w:pPr>
        <w:pStyle w:val="Heading3"/>
      </w:pPr>
      <w:r>
        <w:t xml:space="preserve">3.7 Absence of a growth-rate measurement for pulmonary metastases</w:t>
      </w:r>
    </w:p>
    <w:p>
      <w:pPr>
        <w:pStyle w:val="FirstParagraph"/>
      </w:pPr>
      <w:r>
        <w:t xml:space="preserve">A targeted search for the natural history, growth rate or doubling time of pulmonary metastases in</w:t>
      </w:r>
      <w:r>
        <w:t xml:space="preserve"> </w:t>
      </w:r>
      <w:r>
        <w:t xml:space="preserve">this disease returned zero records. Whether repeated local treatment of lung metastases can keep pace</w:t>
      </w:r>
      <w:r>
        <w:t xml:space="preserve"> </w:t>
      </w:r>
      <w:r>
        <w:t xml:space="preserve">with their progression depends on that rate, and it has not been measured.</w:t>
      </w:r>
    </w:p>
    <w:bookmarkEnd w:id="34"/>
    <w:bookmarkEnd w:id="35"/>
    <w:bookmarkStart w:id="40" w:name="discussion"/>
    <w:p>
      <w:pPr>
        <w:pStyle w:val="Heading2"/>
      </w:pPr>
      <w:r>
        <w:t xml:space="preserve">4. Discussion</w:t>
      </w:r>
    </w:p>
    <w:bookmarkStart w:id="36" w:name="what-this-bounds"/>
    <w:p>
      <w:pPr>
        <w:pStyle w:val="Heading3"/>
      </w:pPr>
      <w:r>
        <w:t xml:space="preserve">4.1 What this bounds</w:t>
      </w:r>
    </w:p>
    <w:p>
      <w:pPr>
        <w:pStyle w:val="FirstParagraph"/>
      </w:pPr>
      <w:r>
        <w:t xml:space="preserve">Preventing every death caused by the sarcoma in the localised cohort would have added 6.7 percentage</w:t>
      </w:r>
      <w:r>
        <w:t xml:space="preserve"> </w:t>
      </w:r>
      <w:r>
        <w:t xml:space="preserve">points of survival at three years. This is an upper bound on all tumour-directed therapy taken</w:t>
      </w:r>
      <w:r>
        <w:t xml:space="preserve"> </w:t>
      </w:r>
      <w:r>
        <w:t xml:space="preserve">together, and no agent achieves an upper bound. It does not argue against developing such therapy: in</w:t>
      </w:r>
      <w:r>
        <w:t xml:space="preserve"> </w:t>
      </w:r>
      <w:r>
        <w:t xml:space="preserve">metastatic disease the same calculation gives 31.0 points, and that is where the value is.</w:t>
      </w:r>
    </w:p>
    <w:p>
      <w:pPr>
        <w:pStyle w:val="BodyText"/>
      </w:pPr>
      <w:r>
        <w:t xml:space="preserve">What it does argue against is a portfolio that regards all stages as one target. The stratum with most</w:t>
      </w:r>
      <w:r>
        <w:t xml:space="preserve"> </w:t>
      </w:r>
      <w:r>
        <w:t xml:space="preserve">patients has least to gain, and the stratum with most to gain is a minority.</w:t>
      </w:r>
    </w:p>
    <w:bookmarkEnd w:id="36"/>
    <w:bookmarkStart w:id="37" w:name="what-this-says-about-the-evidence-base"/>
    <w:p>
      <w:pPr>
        <w:pStyle w:val="Heading3"/>
      </w:pPr>
      <w:r>
        <w:t xml:space="preserve">4.2 What this says about the evidence base</w:t>
      </w:r>
    </w:p>
    <w:p>
      <w:pPr>
        <w:pStyle w:val="FirstParagraph"/>
      </w:pPr>
      <w:r>
        <w:t xml:space="preserve">That fewer than a third of recorded deaths carry a stated mechanism is a finding about the literature</w:t>
      </w:r>
      <w:r>
        <w:t xml:space="preserve"> </w:t>
      </w:r>
      <w:r>
        <w:t xml:space="preserve">rather than the disease. It has a practical consequence: every disease-specific survival figure in</w:t>
      </w:r>
      <w:r>
        <w:t xml:space="preserve"> </w:t>
      </w:r>
      <w:r>
        <w:t xml:space="preserve">this disease rests on somebody having assigned a cause by an instrument no paper reports. The relative</w:t>
      </w:r>
      <w:r>
        <w:t xml:space="preserve"> </w:t>
      </w:r>
      <w:r>
        <w:t xml:space="preserve">survival analysis was performed because it does not need that assignment, and its agreement with the</w:t>
      </w:r>
      <w:r>
        <w:t xml:space="preserve"> </w:t>
      </w:r>
      <w:r>
        <w:t xml:space="preserve">cause split provides evidence that the assignment, where made, is not badly wrong.</w:t>
      </w:r>
    </w:p>
    <w:p>
      <w:pPr>
        <w:pStyle w:val="BodyText"/>
      </w:pPr>
      <w:r>
        <w:t xml:space="preserve">For ultra-rare cancers generally, the implication is that cause-of-death recording, which costs</w:t>
      </w:r>
      <w:r>
        <w:t xml:space="preserve"> </w:t>
      </w:r>
      <w:r>
        <w:t xml:space="preserve">nothing at the point of follow-up, determines whether a disease’s evidence base can support the</w:t>
      </w:r>
      <w:r>
        <w:t xml:space="preserve"> </w:t>
      </w:r>
      <w:r>
        <w:t xml:space="preserve">questions its research programme asks.</w:t>
      </w:r>
    </w:p>
    <w:bookmarkEnd w:id="37"/>
    <w:bookmarkStart w:id="38" w:name="X07779cac7ec9c8e594cb1721121a1adcba914bb"/>
    <w:p>
      <w:pPr>
        <w:pStyle w:val="Heading3"/>
      </w:pPr>
      <w:r>
        <w:t xml:space="preserve">4.3 The population no tumour-directed approach addresses</w:t>
      </w:r>
    </w:p>
    <w:p>
      <w:pPr>
        <w:pStyle w:val="FirstParagraph"/>
      </w:pPr>
      <w:r>
        <w:t xml:space="preserve">Between a fifth and a third of deaths after diagnosis are not caused by the sarcoma, and they occur at</w:t>
      </w:r>
      <w:r>
        <w:t xml:space="preserve"> </w:t>
      </w:r>
      <w:r>
        <w:t xml:space="preserve">approximately the rate the cohort’s age and sex predict. Two consequences follow, and only the first</w:t>
      </w:r>
      <w:r>
        <w:t xml:space="preserve"> </w:t>
      </w:r>
      <w:r>
        <w:t xml:space="preserve">is established here.</w:t>
      </w:r>
    </w:p>
    <w:p>
      <w:pPr>
        <w:pStyle w:val="BodyText"/>
      </w:pPr>
      <w:r>
        <w:t xml:space="preserve">Established: the ceiling on antitumour benefit is correspondingly reduced, most severely in localised</w:t>
      </w:r>
      <w:r>
        <w:t xml:space="preserve"> </w:t>
      </w:r>
      <w:r>
        <w:t xml:space="preserve">disease.</w:t>
      </w:r>
    </w:p>
    <w:p>
      <w:pPr>
        <w:pStyle w:val="BodyText"/>
      </w:pPr>
      <w:r>
        <w:t xml:space="preserve">Not established, and stated as a direction rather than a result: if these deaths occur at</w:t>
      </w:r>
      <w:r>
        <w:t xml:space="preserve"> </w:t>
      </w:r>
      <w:r>
        <w:t xml:space="preserve">general-population rates, then interventions that reduce general-population mortality would be</w:t>
      </w:r>
      <w:r>
        <w:t xml:space="preserve"> </w:t>
      </w:r>
      <w:r>
        <w:t xml:space="preserve">expected to apply, with a weaker transportability assumption than any tumour-directed therapy</w:t>
      </w:r>
      <w:r>
        <w:t xml:space="preserve"> </w:t>
      </w:r>
      <w:r>
        <w:t xml:space="preserve">requires, because the deaths in question are not cancer deaths. Quantifying that requires effect sizes</w:t>
      </w:r>
      <w:r>
        <w:t xml:space="preserve"> </w:t>
      </w:r>
      <w:r>
        <w:t xml:space="preserve">this study did not retrieve, and no outcome data on supportive or host-directed care exists in this</w:t>
      </w:r>
      <w:r>
        <w:t xml:space="preserve"> </w:t>
      </w:r>
      <w:r>
        <w:t xml:space="preserve">disease in either direction.</w:t>
      </w:r>
    </w:p>
    <w:bookmarkEnd w:id="38"/>
    <w:bookmarkStart w:id="39" w:name="lung-directed-treatment"/>
    <w:p>
      <w:pPr>
        <w:pStyle w:val="Heading3"/>
      </w:pPr>
      <w:r>
        <w:t xml:space="preserve">4.4 Lung-directed treatment</w:t>
      </w:r>
    </w:p>
    <w:p>
      <w:pPr>
        <w:pStyle w:val="FirstParagraph"/>
      </w:pPr>
      <w:r>
        <w:t xml:space="preserve">Pulmonary metastasis is the dominant distant pattern in this disease, and both surgical</w:t>
      </w:r>
      <w:r>
        <w:t xml:space="preserve"> </w:t>
      </w:r>
      <w:r>
        <w:t xml:space="preserve">metastasectomy and ablative local therapies are established options in sarcoma more broadly. The</w:t>
      </w:r>
      <w:r>
        <w:t xml:space="preserve"> </w:t>
      </w:r>
      <w:r>
        <w:t xml:space="preserve">present corpus does not, however, establish respiratory failure as the dominant mode of death, so this</w:t>
      </w:r>
      <w:r>
        <w:t xml:space="preserve"> </w:t>
      </w:r>
      <w:r>
        <w:t xml:space="preserve">study cannot support prioritising lung-directed treatment on mortality-mechanism grounds. The absence</w:t>
      </w:r>
      <w:r>
        <w:t xml:space="preserve"> </w:t>
      </w:r>
      <w:r>
        <w:t xml:space="preserve">of any growth-rate measurement (3.7) is the more immediate obstacle: whether repeated local therapy</w:t>
      </w:r>
      <w:r>
        <w:t xml:space="preserve"> </w:t>
      </w:r>
      <w:r>
        <w:t xml:space="preserve">can outpace this disease’s pulmonary progression is unknown, and it is answerable from serial imaging</w:t>
      </w:r>
      <w:r>
        <w:t xml:space="preserve"> </w:t>
      </w:r>
      <w:r>
        <w:t xml:space="preserve">already held by treating centres.</w:t>
      </w:r>
    </w:p>
    <w:bookmarkEnd w:id="39"/>
    <w:bookmarkEnd w:id="40"/>
    <w:bookmarkStart w:id="41" w:name="limitations"/>
    <w:p>
      <w:pPr>
        <w:pStyle w:val="Heading2"/>
      </w:pPr>
      <w:r>
        <w:t xml:space="preserve">5. Limitations</w:t>
      </w:r>
    </w:p>
    <w:p>
      <w:pPr>
        <w:pStyle w:val="FirstParagraph"/>
      </w:pPr>
      <w:r>
        <w:t xml:space="preserve">Open-access full text is a convenience sample: 328 of 600 enumerated records were retrieved, and</w:t>
      </w:r>
      <w:r>
        <w:t xml:space="preserve"> </w:t>
      </w:r>
      <w:r>
        <w:t xml:space="preserve">non-open-access series are systematically older and larger. Case reports are written because a case</w:t>
      </w:r>
      <w:r>
        <w:t xml:space="preserve"> </w:t>
      </w:r>
      <w:r>
        <w:t xml:space="preserve">was notable, over-representing unusual terminal events; this biases against the indolent,</w:t>
      </w:r>
      <w:r>
        <w:t xml:space="preserve"> </w:t>
      </w:r>
      <w:r>
        <w:t xml:space="preserve">competing-cause picture the data nevertheless show. Counts of described patients have no denominator</w:t>
      </w:r>
      <w:r>
        <w:t xml:space="preserve"> </w:t>
      </w:r>
      <w:r>
        <w:t xml:space="preserve">and support no rate.</w:t>
      </w:r>
    </w:p>
    <w:p>
      <w:pPr>
        <w:pStyle w:val="BodyText"/>
      </w:pPr>
      <w:r>
        <w:t xml:space="preserve">The cause split rests on 13 and 10 deaths in two strata of one registry, at a median follow-up of</w:t>
      </w:r>
      <w:r>
        <w:t xml:space="preserve"> </w:t>
      </w:r>
      <w:r>
        <w:t xml:space="preserve">just over three years, which is short relative to this disease’s natural history. Follow-up censors</w:t>
      </w:r>
      <w:r>
        <w:t xml:space="preserve"> </w:t>
      </w:r>
      <w:r>
        <w:t xml:space="preserve">the two causes unequally: competing deaths accrue immediately while sarcoma deaths continue to accrue</w:t>
      </w:r>
      <w:r>
        <w:t xml:space="preserve"> </w:t>
      </w:r>
      <w:r>
        <w:t xml:space="preserve">for decades, so short follow-up flatters the competing share. The ceiling figures are therefore lower</w:t>
      </w:r>
      <w:r>
        <w:t xml:space="preserve"> </w:t>
      </w:r>
      <w:r>
        <w:t xml:space="preserve">bounds on the eventual disease mortality and the competing share is an upper bound at that horizon.</w:t>
      </w:r>
    </w:p>
    <w:p>
      <w:pPr>
        <w:pStyle w:val="BodyText"/>
      </w:pPr>
      <w:r>
        <w:t xml:space="preserve">Relative survival was applied to published summary survival with a cohort median age and sex ratio</w:t>
      </w:r>
      <w:r>
        <w:t xml:space="preserve"> </w:t>
      </w:r>
      <w:r>
        <w:t xml:space="preserve">rather than patient-level data, so the expected-survival term is that of a synthetic cohort rather</w:t>
      </w:r>
      <w:r>
        <w:t xml:space="preserve"> </w:t>
      </w:r>
      <w:r>
        <w:t xml:space="preserve">than a true Ederer II match. A single national life table for one country and year was applied to</w:t>
      </w:r>
      <w:r>
        <w:t xml:space="preserve"> </w:t>
      </w:r>
      <w:r>
        <w:t xml:space="preserve">cohorts from five countries across five decades. Excess mortality attributes to the disease any</w:t>
      </w:r>
      <w:r>
        <w:t xml:space="preserve"> </w:t>
      </w:r>
      <w:r>
        <w:t xml:space="preserve">elevation in other-cause mortality among its patients, including treatment-caused death, which the</w:t>
      </w:r>
      <w:r>
        <w:t xml:space="preserve"> </w:t>
      </w:r>
      <w:r>
        <w:t xml:space="preserve">cause split counts separately.</w:t>
      </w:r>
    </w:p>
    <w:p>
      <w:pPr>
        <w:pStyle w:val="BodyText"/>
      </w:pPr>
      <w:r>
        <w:t xml:space="preserve">Where a paper judged a death unrelated to the sarcoma, that is the paper’s judgement, made by an</w:t>
      </w:r>
      <w:r>
        <w:t xml:space="preserve"> </w:t>
      </w:r>
      <w:r>
        <w:t xml:space="preserve">instrument it does not report.</w:t>
      </w:r>
    </w:p>
    <w:bookmarkEnd w:id="41"/>
    <w:bookmarkStart w:id="42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published record of extraskeletal myxoid chondrosarcoma does not say how most of its patients die.</w:t>
      </w:r>
      <w:r>
        <w:t xml:space="preserve"> </w:t>
      </w:r>
      <w:r>
        <w:t xml:space="preserve">Where it does, deaths from competing causes and second malignancies are the largest identifiable</w:t>
      </w:r>
      <w:r>
        <w:t xml:space="preserve"> </w:t>
      </w:r>
      <w:r>
        <w:t xml:space="preserve">category, and respiratory failure, though present, is not dominant. Between a fifth and a third of</w:t>
      </w:r>
      <w:r>
        <w:t xml:space="preserve"> </w:t>
      </w:r>
      <w:r>
        <w:t xml:space="preserve">deaths after diagnosis are not caused by the sarcoma, a figure two independent methods agree on, and</w:t>
      </w:r>
      <w:r>
        <w:t xml:space="preserve"> </w:t>
      </w:r>
      <w:r>
        <w:t xml:space="preserve">those deaths occur at approximately background rate. The survival available to antitumour therapy is</w:t>
      </w:r>
      <w:r>
        <w:t xml:space="preserve"> </w:t>
      </w:r>
      <w:r>
        <w:t xml:space="preserve">6.7 percentage points in localised disease and 31.0 in metastatic disease at three years. Research</w:t>
      </w:r>
      <w:r>
        <w:t xml:space="preserve"> </w:t>
      </w:r>
      <w:r>
        <w:t xml:space="preserve">prioritisation in this disease should reflect that difference, and cause-of-death recording should be</w:t>
      </w:r>
      <w:r>
        <w:t xml:space="preserve"> </w:t>
      </w:r>
      <w:r>
        <w:t xml:space="preserve">treated as a measurement that determines what its evidence base can answer.</w:t>
      </w:r>
    </w:p>
    <w:bookmarkEnd w:id="42"/>
    <w:bookmarkStart w:id="43" w:name="X40d44f2e7c9b31e3f62909385c4ca5cc92b7139"/>
    <w:p>
      <w:pPr>
        <w:pStyle w:val="Heading2"/>
      </w:pPr>
      <w:r>
        <w:t xml:space="preserve">Appendix A. Corrections made during this work</w:t>
      </w:r>
    </w:p>
    <w:p>
      <w:pPr>
        <w:pStyle w:val="FirstParagraph"/>
      </w:pPr>
      <w:r>
        <w:t xml:space="preserve">Both corrections changed a headline figure and are recorded because the superseded values were</w:t>
      </w:r>
      <w:r>
        <w:t xml:space="preserve"> </w:t>
      </w:r>
      <w:r>
        <w:t xml:space="preserve">circulated internally before they were withdrawn.</w:t>
      </w:r>
    </w:p>
    <w:p>
      <w:pPr>
        <w:pStyle w:val="BodyText"/>
      </w:pPr>
      <w:r>
        <w:rPr>
          <w:bCs/>
          <w:b/>
        </w:rPr>
        <w:t xml:space="preserve">A.1 Competing share, 39.4 per cent superseded by 21.7 per cent.</w:t>
      </w:r>
      <w:r>
        <w:t xml:space="preserve"> </w:t>
      </w:r>
      <w:r>
        <w:t xml:space="preserve">The first estimate paired a</w:t>
      </w:r>
      <w:r>
        <w:t xml:space="preserve"> </w:t>
      </w:r>
      <w:r>
        <w:t xml:space="preserve">survival-curve reading against a crude death proportion from a different cohort. When one registry’s</w:t>
      </w:r>
      <w:r>
        <w:t xml:space="preserve"> </w:t>
      </w:r>
      <w:r>
        <w:t xml:space="preserve">own cause counts on identical patients became available, the direct ratio replaced it. The direct</w:t>
      </w:r>
      <w:r>
        <w:t xml:space="preserve"> </w:t>
      </w:r>
      <w:r>
        <w:t xml:space="preserve">estimator has none of the weaknesses the first disclosed, and the change is a change of method rather</w:t>
      </w:r>
      <w:r>
        <w:t xml:space="preserve"> </w:t>
      </w:r>
      <w:r>
        <w:t xml:space="preserve">than a correction of arithmetic.</w:t>
      </w:r>
    </w:p>
    <w:p>
      <w:pPr>
        <w:pStyle w:val="BodyText"/>
      </w:pPr>
      <w:r>
        <w:rPr>
          <w:bCs/>
          <w:b/>
        </w:rPr>
        <w:t xml:space="preserve">A.2 Background mortality, 2.4 per cent superseded by 11.3 per cent at ten years.</w:t>
      </w:r>
      <w:r>
        <w:t xml:space="preserve"> </w:t>
      </w:r>
      <w:r>
        <w:t xml:space="preserve">The life-table</w:t>
      </w:r>
      <w:r>
        <w:t xml:space="preserve"> </w:t>
      </w:r>
      <w:r>
        <w:t xml:space="preserve">fetch treated the World Health Organization indicator nMx as a five-year probability. It is an</w:t>
      </w:r>
      <w:r>
        <w:t xml:space="preserve"> </w:t>
      </w:r>
      <w:r>
        <w:t xml:space="preserve">age-specific death rate, and survival over a band of width</w:t>
      </w:r>
      <w:r>
        <w:t xml:space="preserve"> </w:t>
      </w:r>
      <w:r>
        <w:rPr>
          <w:iCs/>
          <w:i/>
        </w:rPr>
        <w:t xml:space="preserve">w</w:t>
      </w:r>
      <w:r>
        <w:t xml:space="preserve"> </w:t>
      </w:r>
      <w:r>
        <w:t xml:space="preserve">is exp(−</w:t>
      </w:r>
      <w:r>
        <w:rPr>
          <w:iCs/>
          <w:i/>
        </w:rPr>
        <w:t xml:space="preserve">mw</w:t>
      </w:r>
      <w:r>
        <w:t xml:space="preserve">). The error understated</w:t>
      </w:r>
      <w:r>
        <w:t xml:space="preserve"> </w:t>
      </w:r>
      <w:r>
        <w:t xml:space="preserve">background mortality roughly fourfold and would have attributed nearly every death to the sarcoma. It</w:t>
      </w:r>
      <w:r>
        <w:t xml:space="preserve"> </w:t>
      </w:r>
      <w:r>
        <w:t xml:space="preserve">was caught because the resulting figure was implausibly low for a cohort at this age, and confirmed</w:t>
      </w:r>
      <w:r>
        <w:t xml:space="preserve"> </w:t>
      </w:r>
      <w:r>
        <w:t xml:space="preserve">from the indicator’s published name rather than by inspection of which value looked right.</w:t>
      </w:r>
    </w:p>
    <w:bookmarkEnd w:id="43"/>
    <w:bookmarkStart w:id="44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All analysis code, input specifications, retrieval artifacts and outputs are available in the</w:t>
      </w:r>
      <w:r>
        <w:t xml:space="preserve"> </w:t>
      </w:r>
      <w:r>
        <w:t xml:space="preserve">project repository. The retrieval artifacts record every query verbatim with its hit count, so both</w:t>
      </w:r>
      <w:r>
        <w:t xml:space="preserve"> </w:t>
      </w:r>
      <w:r>
        <w:t xml:space="preserve">positive findings and absences can be reproduced or refuted.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kills patients with extraskeletal myxoid chondrosarcoma, and the survival available to tumour-directed therapy: a cause-of-death and relative-survival analysis of the published record</dc:title>
  <dc:creator/>
  <cp:keywords/>
  <dcterms:created xsi:type="dcterms:W3CDTF">2026-08-09T22:07:51Z</dcterms:created>
  <dcterms:modified xsi:type="dcterms:W3CDTF">2026-08-09T22:07:51Z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canonical_for">
    <vt:lpwstr/>
  </property>
  <property fmtid="{D5CDD505-2E9C-101B-9397-08002B2CF9AE}" pid="4" name="date">
    <vt:lpwstr>2026-08-09</vt:lpwstr>
  </property>
  <property fmtid="{D5CDD505-2E9C-101B-9397-08002B2CF9AE}" pid="5" name="id">
    <vt:lpwstr>DOC-EMC-MORTALITY-MECHANISMS-PAPER</vt:lpwstr>
  </property>
  <property fmtid="{D5CDD505-2E9C-101B-9397-08002B2CF9AE}" pid="6" name="kind">
    <vt:lpwstr>manuscript</vt:lpwstr>
  </property>
  <property fmtid="{D5CDD505-2E9C-101B-9397-08002B2CF9AE}" pid="7" name="last_verified">
    <vt:lpwstr>2026-08-09</vt:lpwstr>
  </property>
  <property fmtid="{D5CDD505-2E9C-101B-9397-08002B2CF9AE}" pid="8" name="level">
    <vt:lpwstr>L3</vt:lpwstr>
  </property>
  <property fmtid="{D5CDD505-2E9C-101B-9397-08002B2CF9AE}" pid="9" name="purpose">
    <vt:lpwstr>Establish what the published record of an ultra-rare, indolent sarcoma says about how its patients die; bound what preventing every disease death could add to survival, by stage at diagnosis; and test that bound with a method that requires no cause-of-death assignment.</vt:lpwstr>
  </property>
  <property fmtid="{D5CDD505-2E9C-101B-9397-08002B2CF9AE}" pid="10" name="related">
    <vt:lpwstr/>
  </property>
  <property fmtid="{D5CDD505-2E9C-101B-9397-08002B2CF9AE}" pid="11" name="scope">
    <vt:lpwstr>Published cohorts, case series and case reports of extraskeletal myxoid chondrosarcoma, together with a national life table. A study of the published record and of measurement. It contains no new patient, no patient-level re-analysis, and no claim that any treatment works.</vt:lpwstr>
  </property>
  <property fmtid="{D5CDD505-2E9C-101B-9397-08002B2CF9AE}" pid="12" name="status">
    <vt:lpwstr>live</vt:lpwstr>
  </property>
</Properties>
</file>