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645be3f6f9ac0de4b854c6d200ae425f29cb7d"/>
    <w:p>
      <w:pPr>
        <w:pStyle w:val="Heading1"/>
      </w:pPr>
      <w:r>
        <w:t xml:space="preserve">Computational design of a selective NR4A3 degrader: opening a cryptic pocket in a</w:t>
      </w:r>
      <w:r>
        <w:t xml:space="preserve"> </w:t>
      </w:r>
      <w:r>
        <w:t xml:space="preserve">“</w:t>
      </w:r>
      <w:r>
        <w:t xml:space="preserve">ligand-independent</w:t>
      </w:r>
      <w:r>
        <w:t xml:space="preserve">”</w:t>
      </w:r>
      <w:r>
        <w:t xml:space="preserve"> </w:t>
      </w:r>
      <w:r>
        <w:t xml:space="preserve">nuclear receptor</w:t>
      </w:r>
    </w:p>
    <w:p>
      <w:pPr>
        <w:pStyle w:val="BlockText"/>
      </w:pPr>
      <w:r>
        <w:rPr>
          <w:bCs/>
          <w:b/>
        </w:rPr>
        <w:t xml:space="preserve">Working title.</w:t>
      </w:r>
      <w:r>
        <w:t xml:space="preserve"> </w:t>
      </w:r>
      <w:r>
        <w:t xml:space="preserve">The selectivity FEP result is now</w:t>
      </w:r>
      <w:r>
        <w:t xml:space="preserve"> </w:t>
      </w:r>
      <w:r>
        <w:rPr>
          <w:bCs/>
          <w:b/>
        </w:rPr>
        <w:t xml:space="preserve">in hand and confirming</w:t>
      </w:r>
      <w:r>
        <w:t xml:space="preserve"> </w:t>
      </w:r>
      <w:r>
        <w:t xml:space="preserve">— a three-replicate</w:t>
      </w:r>
      <w:r>
        <w:t xml:space="preserve"> </w:t>
      </w:r>
      <w:r>
        <w:t xml:space="preserve">NR4A3-selective ΔΔG (−4.76 ± 2.03 vs NR4A1, −4.98 ± 0.68 vs NR4A2 kcal/mol; NR4A3 tightest-bound in all three</w:t>
      </w:r>
      <w:r>
        <w:t xml:space="preserve"> </w:t>
      </w:r>
      <w:r>
        <w:t xml:space="preserve">replicates; §4) — which licenses the result-led framing above (</w:t>
      </w:r>
      <w:r>
        <w:t xml:space="preserve">“</w:t>
      </w:r>
      <w:r>
        <w:t xml:space="preserve">predicted-selective … warhead candidate</w:t>
      </w:r>
      <w:r>
        <w:t xml:space="preserve">”</w:t>
      </w:r>
      <w:r>
        <w:t xml:space="preserve">).</w:t>
      </w:r>
      <w:r>
        <w:t xml:space="preserve"> </w:t>
      </w:r>
      <w:r>
        <w:t xml:space="preserve">Title options + rationale in</w:t>
      </w:r>
      <w:r>
        <w:t xml:space="preserve"> </w:t>
      </w:r>
      <w:r>
        <w:rPr>
          <w:rStyle w:val="VerbatimChar"/>
        </w:rPr>
        <w:t xml:space="preserve">nr4a3-degrader-preprint-plan.md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Tristan D. McRae</w:t>
      </w:r>
    </w:p>
    <w:p>
      <w:pPr>
        <w:pStyle w:val="BodyText"/>
      </w:pPr>
      <w:r>
        <w:rPr>
          <w:iCs/>
          <w:i/>
        </w:rPr>
        <w:t xml:space="preserve">Independent researcher. Correspondence: trimcrae@gmail.com</w:t>
      </w:r>
    </w:p>
    <w:p>
      <w:pPr>
        <w:pStyle w:val="BodyText"/>
      </w:pPr>
      <w:r>
        <w:rPr>
          <w:iCs/>
          <w:i/>
        </w:rPr>
        <w:t xml:space="preserve">Preprint. In-silico design and feasibility study — no wet-lab validation; no molecule synthesized. Every</w:t>
      </w:r>
      <w:r>
        <w:rPr>
          <w:iCs/>
          <w:i/>
        </w:rPr>
        <w:t xml:space="preserve"> </w:t>
      </w:r>
      <w:r>
        <w:rPr>
          <w:iCs/>
          <w:i/>
        </w:rPr>
        <w:t xml:space="preserve">result is computed and reported with its evidentiary weight. Supporting analyses (pre-registration,</w:t>
      </w:r>
      <w:r>
        <w:rPr>
          <w:iCs/>
          <w:i/>
        </w:rPr>
        <w:t xml:space="preserve"> </w:t>
      </w:r>
      <w:r>
        <w:rPr>
          <w:iCs/>
          <w:i/>
        </w:rPr>
        <w:t xml:space="preserve">adversarial review, full selectivity-architecture treatment, method details) are cited as Supplementary</w:t>
      </w:r>
      <w:r>
        <w:rPr>
          <w:iCs/>
          <w:i/>
        </w:rPr>
        <w:t xml:space="preserve"> </w:t>
      </w:r>
      <w:r>
        <w:rPr>
          <w:iCs/>
          <w:i/>
        </w:rPr>
        <w:t xml:space="preserve">Information.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NR4A nuclear receptors (NR4A1/2/3) are regarded as</w:t>
      </w:r>
      <w:r>
        <w:t xml:space="preserve"> </w:t>
      </w:r>
      <w:r>
        <w:t xml:space="preserve">“</w:t>
      </w:r>
      <w:r>
        <w:t xml:space="preserve">undruggable</w:t>
      </w:r>
      <w:r>
        <w:t xml:space="preserve">”</w:t>
      </w:r>
      <w:r>
        <w:t xml:space="preserve"> </w:t>
      </w:r>
      <w:r>
        <w:t xml:space="preserve">transcription factors: the canonical</w:t>
      </w:r>
      <w:r>
        <w:t xml:space="preserve"> </w:t>
      </w:r>
      <w:r>
        <w:t xml:space="preserve">Nurr1/NR4A2 crystal structure shows a ligand-binding pocket occluded by bulky side chains, and NR4A3 has no</w:t>
      </w:r>
      <w:r>
        <w:t xml:space="preserve"> </w:t>
      </w:r>
      <w:r>
        <w:t xml:space="preserve">experimental structure. Yet NR4A3 is a compelling</w:t>
      </w:r>
      <w:r>
        <w:t xml:space="preserve"> </w:t>
      </w:r>
      <w:r>
        <w:rPr>
          <w:iCs/>
          <w:i/>
        </w:rPr>
        <w:t xml:space="preserve">selective</w:t>
      </w:r>
      <w:r>
        <w:t xml:space="preserve"> </w:t>
      </w:r>
      <w:r>
        <w:t xml:space="preserve">degradation target, driving extraskeletal</w:t>
      </w:r>
      <w:r>
        <w:t xml:space="preserve"> </w:t>
      </w:r>
      <w:r>
        <w:t xml:space="preserve">myxoid chondrosarcoma (EMC; EWSR1/TAF15::NR4A3 fusion) and acinic cell carcinoma (AciCC; NR4A3</w:t>
      </w:r>
      <w:r>
        <w:t xml:space="preserve"> </w:t>
      </w:r>
      <w:r>
        <w:t xml:space="preserve">over-expression) by gain of NR4A3, where the therapeutic goal is to remove NR4A3 while sparing NR4A1/2</w:t>
      </w:r>
      <w:r>
        <w:t xml:space="preserve"> </w:t>
      </w:r>
      <w:r>
        <w:t xml:space="preserve">(whose combined loss is leukaemogenic). We present a computation-only program to assess NR4A3’s</w:t>
      </w:r>
      <w:r>
        <w:t xml:space="preserve"> </w:t>
      </w:r>
      <w:r>
        <w:t xml:space="preserve">druggability and design a selective degrader warhead. (1) Calibrated against a nuclear-receptor panel, the</w:t>
      </w:r>
      <w:r>
        <w:t xml:space="preserve"> </w:t>
      </w:r>
      <w:r>
        <w:t xml:space="preserve">NR4A3 orthosteric pocket is borderline in the static AlphaFold2 model (fpocket druggability 0.495, below the</w:t>
      </w:r>
      <w:r>
        <w:t xml:space="preserve"> </w:t>
      </w:r>
      <w:r>
        <w:t xml:space="preserve">calibrated drug-bound band of 0.53–0.68). (2) Well-tempered metadynamics drives the orthosteric pocket to</w:t>
      </w:r>
      <w:r>
        <w:t xml:space="preserve"> </w:t>
      </w:r>
      <w:r>
        <w:t xml:space="preserve">breathe into transiently druggable conformations, and an unbiased</w:t>
      </w:r>
      <w:r>
        <w:t xml:space="preserve"> </w:t>
      </w:r>
      <w:r>
        <w:t xml:space="preserve">“</w:t>
      </w:r>
      <w:r>
        <w:t xml:space="preserve">release</w:t>
      </w:r>
      <w:r>
        <w:t xml:space="preserve">”</w:t>
      </w:r>
      <w:r>
        <w:t xml:space="preserve"> </w:t>
      </w:r>
      <w:r>
        <w:t xml:space="preserve">simulation seeded at a</w:t>
      </w:r>
      <w:r>
        <w:t xml:space="preserve"> </w:t>
      </w:r>
      <w:r>
        <w:t xml:space="preserve">low-energy druggable frame finds this geometry</w:t>
      </w:r>
      <w:r>
        <w:t xml:space="preserve"> </w:t>
      </w:r>
      <w:r>
        <w:rPr>
          <w:bCs/>
          <w:b/>
        </w:rPr>
        <w:t xml:space="preserve">metastable (3/3 replicas) and druggable in ~24 % of</w:t>
      </w:r>
      <w:r>
        <w:rPr>
          <w:bCs/>
          <w:b/>
        </w:rPr>
        <w:t xml:space="preserve"> </w:t>
      </w:r>
      <w:r>
        <w:rPr>
          <w:bCs/>
          <w:b/>
        </w:rPr>
        <w:t xml:space="preserve">unbiased frames</w:t>
      </w:r>
      <w:r>
        <w:t xml:space="preserve"> </w:t>
      </w:r>
      <w:r>
        <w:t xml:space="preserve">— a thermally-real induced-fit cavity, not a static pocket and not a bias artifact,</w:t>
      </w:r>
      <w:r>
        <w:t xml:space="preserve"> </w:t>
      </w:r>
      <w:r>
        <w:t xml:space="preserve">paralleling the experimentally demonstrated breathing pocket of Nurr1. (3) Seven of ten pocket-lining</w:t>
      </w:r>
      <w:r>
        <w:t xml:space="preserve"> </w:t>
      </w:r>
      <w:r>
        <w:t xml:space="preserve">residues diverge from NR4A1/2 as selectivity handles (five pocket-facing in the druggable ensemble; the</w:t>
      </w:r>
      <w:r>
        <w:t xml:space="preserve"> </w:t>
      </w:r>
      <w:r>
        <w:t xml:space="preserve">engageable divergent set is asymmetric — five versus NR4A1, four versus NR4A2). (4) Running the same</w:t>
      </w:r>
      <w:r>
        <w:t xml:space="preserve"> </w:t>
      </w:r>
      <w:r>
        <w:t xml:space="preserve">metadynamics on NR4A1 and NR4A2 yields</w:t>
      </w:r>
      <w:r>
        <w:t xml:space="preserve"> </w:t>
      </w:r>
      <w:r>
        <w:rPr>
          <w:bCs/>
          <w:b/>
        </w:rPr>
        <w:t xml:space="preserve">state-matched</w:t>
      </w:r>
      <w:r>
        <w:t xml:space="preserve"> </w:t>
      </w:r>
      <w:r>
        <w:t xml:space="preserve">opened-pocket ensembles for all three paralogues,</w:t>
      </w:r>
      <w:r>
        <w:t xml:space="preserve"> </w:t>
      </w:r>
      <w:r>
        <w:t xml:space="preserve">enabling a per-candidate family-wide selectivity fingerprint; repurposed NR4A actives largely fail to hold</w:t>
      </w:r>
      <w:r>
        <w:t xml:space="preserve"> </w:t>
      </w:r>
      <w:r>
        <w:t xml:space="preserve">up as NR4A3-selective under endpoint MM-GBSA. (5) A pocket-conditioned de-novo generative campaign, funnelled</w:t>
      </w:r>
      <w:r>
        <w:t xml:space="preserve"> </w:t>
      </w:r>
      <w:r>
        <w:t xml:space="preserve">through docking and endpoint MM-GBSA against a decoy null of non-NR4A drugs, yields</w:t>
      </w:r>
      <w:r>
        <w:t xml:space="preserve"> </w:t>
      </w:r>
      <w:r>
        <w:rPr>
          <w:rStyle w:val="VerbatimChar"/>
          <w:bCs/>
          <w:b/>
        </w:rPr>
        <w:t xml:space="preserve">denovo_401</w:t>
      </w:r>
      <w:r>
        <w:t xml:space="preserve">, whose</w:t>
      </w:r>
      <w:r>
        <w:t xml:space="preserve"> </w:t>
      </w:r>
      <w:r>
        <w:t xml:space="preserve">NR4A3-selectivity survives multi-snapshot ensemble de-noising and exceeds a same-tier multi-snapshot decoy null</w:t>
      </w:r>
      <w:r>
        <w:t xml:space="preserve"> </w:t>
      </w:r>
      <w:r>
        <w:rPr>
          <w:bCs/>
          <w:b/>
        </w:rPr>
        <w:t xml:space="preserve">in its unbiased design-frame receptor</w:t>
      </w:r>
      <w:r>
        <w:t xml:space="preserve"> </w:t>
      </w:r>
      <w:r>
        <w:t xml:space="preserve">(while failing that null in the biased metad-opened frame). Because</w:t>
      </w:r>
      <w:r>
        <w:t xml:space="preserve"> </w:t>
      </w:r>
      <w:r>
        <w:t xml:space="preserve">the decoy null controls the scoring step but not the generative step (the candidate, unlike the decoys, was fit</w:t>
      </w:r>
      <w:r>
        <w:t xml:space="preserve"> </w:t>
      </w:r>
      <w:r>
        <w:t xml:space="preserve">to that receptor) or the best-of-N selection — and because the generated set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enriched over the decoys —</w:t>
      </w:r>
      <w:r>
        <w:t xml:space="preserve"> </w:t>
      </w:r>
      <w:r>
        <w:t xml:space="preserve">we report it as a</w:t>
      </w:r>
      <w:r>
        <w:t xml:space="preserve"> </w:t>
      </w:r>
      <w:r>
        <w:rPr>
          <w:bCs/>
          <w:b/>
        </w:rPr>
        <w:t xml:space="preserve">receptor-frame-dependent de-noised foothold</w:t>
      </w:r>
      <w:r>
        <w:t xml:space="preserve">, not a demonstrated-specificity hit. (A second</w:t>
      </w:r>
      <w:r>
        <w:t xml:space="preserve"> </w:t>
      </w:r>
      <w:r>
        <w:t xml:space="preserve">candidate,</w:t>
      </w:r>
      <w:r>
        <w:t xml:space="preserve"> </w:t>
      </w:r>
      <w:r>
        <w:rPr>
          <w:rStyle w:val="VerbatimChar"/>
        </w:rPr>
        <w:t xml:space="preserve">denovo_111</w:t>
      </w:r>
      <w:r>
        <w:t xml:space="preserve">, de-noised well as the neutral form but was withdrawn by a pre-FEP species sweep — its</w:t>
      </w:r>
      <w:r>
        <w:t xml:space="preserve"> </w:t>
      </w:r>
      <w:r>
        <w:t xml:space="preserve">physiological cation reverses selectivity — and a pre-FEP stereoisomer sweep shows denovo_401’s selectivity is</w:t>
      </w:r>
      <w:r>
        <w:t xml:space="preserve"> </w:t>
      </w:r>
      <w:r>
        <w:t xml:space="preserve">stereochemistry-robust with the generated diastereomer near-optimal, so</w:t>
      </w:r>
      <w:r>
        <w:t xml:space="preserve"> </w:t>
      </w:r>
      <w:r>
        <w:rPr>
          <w:rStyle w:val="VerbatimChar"/>
        </w:rPr>
        <w:t xml:space="preserve">denovo_401</w:t>
      </w:r>
      <w:r>
        <w:t xml:space="preserve"> </w:t>
      </w:r>
      <w:r>
        <w:t xml:space="preserve">is the sole robust lead.) (6) We then</w:t>
      </w:r>
      <w:r>
        <w:t xml:space="preserve"> </w:t>
      </w:r>
      <w:r>
        <w:rPr>
          <w:bCs/>
          <w:b/>
        </w:rPr>
        <w:t xml:space="preserve">predict the NR4A3/NR4A1/NR4A2–CRBN–</w:t>
      </w:r>
      <w:r>
        <w:rPr>
          <w:bCs/>
          <w:b/>
        </w:rPr>
        <w:t xml:space="preserve"> </w:t>
      </w:r>
      <w:r>
        <w:rPr>
          <w:bCs/>
          <w:b/>
        </w:rPr>
        <w:t xml:space="preserve">PROTAC ternaries</w:t>
      </w:r>
      <w:r>
        <w:t xml:space="preserve"> </w:t>
      </w:r>
      <w:r>
        <w:t xml:space="preserve">(a representative denovo_401-PROTAC; pipeline validated on the CRBN + lenalidomide control,</w:t>
      </w:r>
      <w:r>
        <w:t xml:space="preserve"> </w:t>
      </w:r>
      <w:r>
        <w:t xml:space="preserve">which it correctly seats in the tri-tryptophan pocket):</w:t>
      </w:r>
      <w:r>
        <w:t xml:space="preserve"> </w:t>
      </w:r>
      <w:r>
        <w:rPr>
          <w:bCs/>
          <w:b/>
        </w:rPr>
        <w:t xml:space="preserve">all three paralogues form an equally productive</w:t>
      </w:r>
      <w:r>
        <w:rPr>
          <w:bCs/>
          <w:b/>
        </w:rPr>
        <w:t xml:space="preserve"> </w:t>
      </w:r>
      <w:r>
        <w:rPr>
          <w:bCs/>
          <w:b/>
        </w:rPr>
        <w:t xml:space="preserve">ternary</w:t>
      </w:r>
      <w:r>
        <w:t xml:space="preserve"> </w:t>
      </w:r>
      <w:r>
        <w:t xml:space="preserve">(bridged, each presenting an exposed lysine within ubiquitin reach), so the degrader mechanism is</w:t>
      </w:r>
      <w:r>
        <w:t xml:space="preserve"> </w:t>
      </w:r>
      <w:r>
        <w:t xml:space="preserve">geometrically viable but the ternary is</w:t>
      </w:r>
      <w:r>
        <w:t xml:space="preserve"> </w:t>
      </w:r>
      <w:r>
        <w:rPr>
          <w:bCs/>
          <w:b/>
        </w:rPr>
        <w:t xml:space="preserve">not a paralogue-selectivity lever for this linker</w:t>
      </w:r>
      <w:r>
        <w:t xml:space="preserve"> </w:t>
      </w:r>
      <w:r>
        <w:t xml:space="preserve">— selectivity</w:t>
      </w:r>
      <w:r>
        <w:t xml:space="preserve"> </w:t>
      </w:r>
      <w:r>
        <w:t xml:space="preserve">rests on the binder (+ pharmacokinetics). We conclude that NR4A3’s</w:t>
      </w:r>
      <w:r>
        <w:t xml:space="preserve"> </w:t>
      </w:r>
      <w:r>
        <w:t xml:space="preserve">“</w:t>
      </w:r>
      <w:r>
        <w:t xml:space="preserve">undruggable</w:t>
      </w:r>
      <w:r>
        <w:t xml:space="preserve">”</w:t>
      </w:r>
      <w:r>
        <w:t xml:space="preserve"> </w:t>
      </w:r>
      <w:r>
        <w:t xml:space="preserve">orthosteric pocket is</w:t>
      </w:r>
      <w:r>
        <w:t xml:space="preserve"> </w:t>
      </w:r>
      <w:r>
        <w:t xml:space="preserve">computationally tractable as a dynamic, induced-fit site; that selectivity is a multiplicative budget which,</w:t>
      </w:r>
      <w:r>
        <w:t xml:space="preserve"> </w:t>
      </w:r>
      <w:r>
        <w:t xml:space="preserve">on current evidence, is</w:t>
      </w:r>
      <w:r>
        <w:t xml:space="preserve"> </w:t>
      </w:r>
      <w:r>
        <w:rPr>
          <w:bCs/>
          <w:b/>
        </w:rPr>
        <w:t xml:space="preserve">carried by the binder</w:t>
      </w:r>
      <w:r>
        <w:t xml:space="preserve"> </w:t>
      </w:r>
      <w:r>
        <w:t xml:space="preserve">(the ternary being productive-but-not-selective); and that</w:t>
      </w:r>
      <w:r>
        <w:t xml:space="preserve"> </w:t>
      </w:r>
      <w:r>
        <w:t xml:space="preserve">the affinity-grade selectivity FEP — the last quantitative tier — is now complete and NR4A3-selective across three independent-seed replicates (§4). All claims are in-silico predictions requiring</w:t>
      </w:r>
      <w:r>
        <w:t xml:space="preserve"> </w:t>
      </w:r>
      <w:r>
        <w:t xml:space="preserve">experimental validation.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NR4A receptors are constitutively active orphan nuclear receptors whose canonical ligand pocket is</w:t>
      </w:r>
      <w:r>
        <w:t xml:space="preserve"> </w:t>
      </w:r>
      <w:r>
        <w:t xml:space="preserve">collapsed or occluded in crystal structures (Nurr1, PDB 1OVL), the structural basis of their</w:t>
      </w:r>
      <w:r>
        <w:t xml:space="preserve"> </w:t>
      </w:r>
      <w:r>
        <w:t xml:space="preserve">“</w:t>
      </w:r>
      <w:r>
        <w:t xml:space="preserve">undruggable</w:t>
      </w:r>
      <w:r>
        <w:t xml:space="preserve">”</w:t>
      </w:r>
      <w:r>
        <w:t xml:space="preserve"> </w:t>
      </w:r>
      <w:r>
        <w:t xml:space="preserve">reputation. That reputation, however, is a statement about</w:t>
      </w:r>
      <w:r>
        <w:t xml:space="preserve"> </w:t>
      </w:r>
      <w:r>
        <w:rPr>
          <w:iCs/>
          <w:i/>
        </w:rPr>
        <w:t xml:space="preserve">static</w:t>
      </w:r>
      <w:r>
        <w:t xml:space="preserve"> </w:t>
      </w:r>
      <w:r>
        <w:t xml:space="preserve">structures: Nurr1’s pocket is in fact</w:t>
      </w:r>
      <w:r>
        <w:t xml:space="preserve"> </w:t>
      </w:r>
      <w:r>
        <w:t xml:space="preserve">dynamic and expands from its collapsed crystal conformation to bind fatty acids [de Vera 2019], an MD study</w:t>
      </w:r>
      <w:r>
        <w:t xml:space="preserve"> </w:t>
      </w:r>
      <w:r>
        <w:t xml:space="preserve">reported a cryptic druggable pocket in Nur77/NR4A1 [Lanig 2015], and validated NR4A ligands engage</w:t>
      </w:r>
      <w:r>
        <w:t xml:space="preserve"> </w:t>
      </w:r>
      <w:r>
        <w:t xml:space="preserve">cryptic/surface sites. NR4A3 itself is experimentally ligandable — a fragment screen against NOR-1/NR4A3</w:t>
      </w:r>
      <w:r>
        <w:t xml:space="preserve"> </w:t>
      </w:r>
      <w:r>
        <w:t xml:space="preserve">(&lt;1 % hit rate) yielded a low-micromolar inverse agonist that shifts NOR-1-regulated gene expression in cells</w:t>
      </w:r>
      <w:r>
        <w:t xml:space="preserve"> </w:t>
      </w:r>
      <w:r>
        <w:t xml:space="preserve">[Zaienne 2022], and NR4A3-selective indole-3-carbinol analogues (IC₅₀ ≈ 8–47 µM) de-repress the NR4A3 target</w:t>
      </w:r>
      <w:r>
        <w:t xml:space="preserve"> </w:t>
      </w:r>
      <w:r>
        <w:t xml:space="preserve">gene MYC [Safe 2025] — but its binding site is structurally undefined: NR4A3 has no experimental structure and</w:t>
      </w:r>
      <w:r>
        <w:t xml:space="preserve"> </w:t>
      </w:r>
      <w:r>
        <w:t xml:space="preserve">no published pocket-dynamics analysis, the structural gap this work addresses.</w:t>
      </w:r>
    </w:p>
    <w:p>
      <w:pPr>
        <w:pStyle w:val="BodyText"/>
      </w:pPr>
      <w:r>
        <w:t xml:space="preserve">NR4A3 is an attractive</w:t>
      </w:r>
      <w:r>
        <w:t xml:space="preserve"> </w:t>
      </w:r>
      <w:r>
        <w:rPr>
          <w:iCs/>
          <w:i/>
        </w:rPr>
        <w:t xml:space="preserve">selective</w:t>
      </w:r>
      <w:r>
        <w:t xml:space="preserve"> </w:t>
      </w:r>
      <w:r>
        <w:t xml:space="preserve">target because two cancers are driven by its gain: EMC, via the</w:t>
      </w:r>
      <w:r>
        <w:t xml:space="preserve"> </w:t>
      </w:r>
      <w:r>
        <w:t xml:space="preserve">EWSR1/TAF15::NR4A3 fusion that retains a near-intact NR4A3 ligand-binding domain (LBD); and AciCC, the third</w:t>
      </w:r>
      <w:r>
        <w:t xml:space="preserve"> </w:t>
      </w:r>
      <w:r>
        <w:t xml:space="preserve">most common malignant salivary-gland tumour, via NR4A3 over-expression through enhancer hijacking [Haller</w:t>
      </w:r>
      <w:r>
        <w:t xml:space="preserve"> </w:t>
      </w:r>
      <w:r>
        <w:t xml:space="preserve">2019; Khan 2023]. In both, the therapeutic objective is to remove NR4A3 while sparing NR4A1 and NR4A2:</w:t>
      </w:r>
      <w:r>
        <w:t xml:space="preserve"> </w:t>
      </w:r>
      <w:r>
        <w:t xml:space="preserve">combined loss of NR4A1 and NR4A3 is leukaemogenic in mice [Mullican 2007]. Because occupancy pharmacology is</w:t>
      </w:r>
      <w:r>
        <w:t xml:space="preserve"> </w:t>
      </w:r>
      <w:r>
        <w:t xml:space="preserve">precluded by the collapsed pocket, the apt modality is targeted</w:t>
      </w:r>
      <w:r>
        <w:t xml:space="preserve"> </w:t>
      </w:r>
      <w:r>
        <w:rPr>
          <w:bCs/>
          <w:b/>
        </w:rPr>
        <w:t xml:space="preserve">degradation</w:t>
      </w:r>
      <w:r>
        <w:t xml:space="preserve"> </w:t>
      </w:r>
      <w:r>
        <w:t xml:space="preserve">— recruiting the retained,</w:t>
      </w:r>
      <w:r>
        <w:t xml:space="preserve"> </w:t>
      </w:r>
      <w:r>
        <w:t xml:space="preserve">ordered NR4A3 LBD to an E3 ligase — which is target-generic (it removes NR4A3 whether wild-type or fused).</w:t>
      </w:r>
    </w:p>
    <w:p>
      <w:pPr>
        <w:pStyle w:val="BodyText"/>
      </w:pPr>
      <w:r>
        <w:t xml:space="preserve">This program is governed by a pre-registered falsification scheme with thresholds fixed before the</w:t>
      </w:r>
      <w:r>
        <w:t xml:space="preserve"> </w:t>
      </w:r>
      <w:r>
        <w:t xml:space="preserve">production results (SI §1). We report each result at its evidentiary weight and state the</w:t>
      </w:r>
      <w:r>
        <w:t xml:space="preserve"> </w:t>
      </w:r>
      <w:r>
        <w:t xml:space="preserve">central limitation up front: this is an in-silico study with no wet-lab validation, so every candidate is a</w:t>
      </w:r>
      <w:r>
        <w:t xml:space="preserve"> </w:t>
      </w:r>
      <w:r>
        <w:rPr>
          <w:iCs/>
          <w:i/>
        </w:rPr>
        <w:t xml:space="preserve">prediction</w:t>
      </w:r>
      <w:r>
        <w:t xml:space="preserve">, not a validated molecule.</w:t>
      </w:r>
    </w:p>
    <w:bookmarkEnd w:id="21"/>
    <w:bookmarkStart w:id="29" w:name="results"/>
    <w:p>
      <w:pPr>
        <w:pStyle w:val="Heading2"/>
      </w:pPr>
      <w:r>
        <w:t xml:space="preserve">2. Results</w:t>
      </w:r>
    </w:p>
    <w:bookmarkStart w:id="22" w:name="X5a2ae4c23feef406f99013df42c086387d99ee8"/>
    <w:p>
      <w:pPr>
        <w:pStyle w:val="Heading3"/>
      </w:pPr>
      <w:r>
        <w:t xml:space="preserve">2.1 The static orthosteric pocket is borderline — calibrated, not asserted</w:t>
      </w:r>
    </w:p>
    <w:p>
      <w:pPr>
        <w:pStyle w:val="FirstParagraph"/>
      </w:pPr>
      <w:r>
        <w:t xml:space="preserve">fpocket assigns the NR4A3 orthosteric pocket (Pocket 5, residues 406–534, carrying all seven selectivity</w:t>
      </w:r>
      <w:r>
        <w:t xml:space="preserve"> </w:t>
      </w:r>
      <w:r>
        <w:t xml:space="preserve">handles below) a druggability of</w:t>
      </w:r>
      <w:r>
        <w:t xml:space="preserve"> </w:t>
      </w:r>
      <w:r>
        <w:rPr>
          <w:bCs/>
          <w:b/>
        </w:rPr>
        <w:t xml:space="preserve">0.495</w:t>
      </w:r>
      <w:r>
        <w:t xml:space="preserve">. To interpret this we ran the same pipeline on a nuclear-receptor</w:t>
      </w:r>
      <w:r>
        <w:t xml:space="preserve"> </w:t>
      </w:r>
      <w:r>
        <w:t xml:space="preserve">calibration panel. Experimentally drug-bound NR pockets score</w:t>
      </w:r>
      <w:r>
        <w:t xml:space="preserve"> </w:t>
      </w:r>
      <w:r>
        <w:rPr>
          <w:bCs/>
          <w:b/>
        </w:rPr>
        <w:t xml:space="preserve">0.53–0.68</w:t>
      </w:r>
      <w:r>
        <w:t xml:space="preserve"> </w:t>
      </w:r>
      <w:r>
        <w:t xml:space="preserve">(PPARγ/rosiglitazone 0.599,</w:t>
      </w:r>
      <w:r>
        <w:t xml:space="preserve"> </w:t>
      </w:r>
      <w:r>
        <w:t xml:space="preserve">ERα/estradiol 0.586, Nurr1-holo 0.677, Nur77-holo 0.529), defining a calibrated druggable threshold</w:t>
      </w:r>
      <w:r>
        <w:t xml:space="preserve"> </w:t>
      </w:r>
      <w:r>
        <w:rPr>
          <w:bCs/>
          <w:b/>
        </w:rPr>
        <w:t xml:space="preserve">D* = 0.53</w:t>
      </w:r>
      <w:r>
        <w:t xml:space="preserve">. The fpocket</w:t>
      </w:r>
      <w:r>
        <w:t xml:space="preserve"> </w:t>
      </w:r>
      <w:r>
        <w:rPr>
          <w:iCs/>
          <w:i/>
        </w:rPr>
        <w:t xml:space="preserve">maximum-anywhere</w:t>
      </w:r>
      <w:r>
        <w:t xml:space="preserve"> </w:t>
      </w:r>
      <w:r>
        <w:t xml:space="preserve">score is non-discriminating — even the occluded 1OVL crystal</w:t>
      </w:r>
      <w:r>
        <w:t xml:space="preserve"> </w:t>
      </w:r>
      <w:r>
        <w:t xml:space="preserve">scores 0.864 at a</w:t>
      </w:r>
      <w:r>
        <w:t xml:space="preserve"> </w:t>
      </w:r>
      <w:r>
        <w:rPr>
          <w:iCs/>
          <w:i/>
        </w:rPr>
        <w:t xml:space="preserve">non-orthosteric</w:t>
      </w:r>
      <w:r>
        <w:t xml:space="preserve"> </w:t>
      </w:r>
      <w:r>
        <w:t xml:space="preserve">cavity — so the widely-quoted</w:t>
      </w:r>
      <w:r>
        <w:t xml:space="preserve"> </w:t>
      </w:r>
      <w:r>
        <w:t xml:space="preserve">“</w:t>
      </w:r>
      <w:r>
        <w:t xml:space="preserve">Nurr1 ~0.8</w:t>
      </w:r>
      <w:r>
        <w:t xml:space="preserve">”</w:t>
      </w:r>
      <w:r>
        <w:t xml:space="preserve"> </w:t>
      </w:r>
      <w:r>
        <w:t xml:space="preserve">reflects a non-orthosteric</w:t>
      </w:r>
      <w:r>
        <w:t xml:space="preserve"> </w:t>
      </w:r>
      <w:r>
        <w:t xml:space="preserve">site, present in both model (NR4A2 model 0.801) and crystal (0.864), i.e. not an AlphaFold artifact. Because</w:t>
      </w:r>
      <w:r>
        <w:t xml:space="preserve"> </w:t>
      </w:r>
      <w:r>
        <w:t xml:space="preserve">our AF2 model does not over-call relative to the 1OVL crystal, NR4A3’s static 0.495 is a conservative upper</w:t>
      </w:r>
      <w:r>
        <w:t xml:space="preserve"> </w:t>
      </w:r>
      <w:r>
        <w:t xml:space="preserve">bound. The static orthosteric pocket therefore sits just below the validated druggable band — concordant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undruggable,</w:t>
      </w:r>
      <w:r>
        <w:t xml:space="preserve">”</w:t>
      </w:r>
      <w:r>
        <w:t xml:space="preserve"> </w:t>
      </w:r>
      <w:r>
        <w:t xml:space="preserve">and the right starting point for the cryptic-pocket question. Recent NR4A work brackets</w:t>
      </w:r>
      <w:r>
        <w:t xml:space="preserve"> </w:t>
      </w:r>
      <w:r>
        <w:t xml:space="preserve">this: a 2025 vidofludimus/Nurr1 study reaffirms the</w:t>
      </w:r>
      <w:r>
        <w:t xml:space="preserve"> </w:t>
      </w:r>
      <w:r>
        <w:rPr>
          <w:iCs/>
          <w:i/>
        </w:rPr>
        <w:t xml:space="preserve">canonical</w:t>
      </w:r>
      <w:r>
        <w:t xml:space="preserve"> </w:t>
      </w:r>
      <w:r>
        <w:t xml:space="preserve">pocket is occluded and acts via an allosteric</w:t>
      </w:r>
      <w:r>
        <w:t xml:space="preserve"> </w:t>
      </w:r>
      <w:r>
        <w:t xml:space="preserve">surface site [López-García 2025] — which is exactly why we claim not that the static pocket is druggable but</w:t>
      </w:r>
      <w:r>
        <w:t xml:space="preserve"> </w:t>
      </w:r>
      <w:r>
        <w:t xml:space="preserve">that it</w:t>
      </w:r>
      <w:r>
        <w:t xml:space="preserve"> </w:t>
      </w:r>
      <w:r>
        <w:rPr>
          <w:iCs/>
          <w:i/>
        </w:rPr>
        <w:t xml:space="preserve">breathes</w:t>
      </w:r>
      <w:r>
        <w:t xml:space="preserve"> </w:t>
      </w:r>
      <w:r>
        <w:t xml:space="preserve">open (§2.2); NMR shows the NR4A LBD is genuinely ligandable by some chemotypes (cytosporone</w:t>
      </w:r>
      <w:r>
        <w:t xml:space="preserve"> </w:t>
      </w:r>
      <w:r>
        <w:t xml:space="preserve">B) but not others (celastrol) [Munoz-Tello 2020]; and a paralog-selective NR4A1 PROTAC that spares NR4A2/NR4A3</w:t>
      </w:r>
      <w:r>
        <w:t xml:space="preserve"> </w:t>
      </w:r>
      <w:r>
        <w:t xml:space="preserve">[Wang 2024] establishes that intra-family degradation selectivity is achievable.</w:t>
      </w:r>
    </w:p>
    <w:bookmarkEnd w:id="22"/>
    <w:bookmarkStart w:id="23" w:name="X015baf8075f93f885debc9a6d8980a33231b139"/>
    <w:p>
      <w:pPr>
        <w:pStyle w:val="Heading3"/>
      </w:pPr>
      <w:r>
        <w:t xml:space="preserve">2.2 Metadynamics opens a druggable cryptic pocket; an unbiased run confirms it is metastable</w:t>
      </w:r>
    </w:p>
    <w:p>
      <w:pPr>
        <w:pStyle w:val="FirstParagraph"/>
      </w:pPr>
      <w:r>
        <w:t xml:space="preserve">Well-tempered metadynamics on the radius of gyration (Rg) of the Pocket-5 lining Cα atoms drives the pocket</w:t>
      </w:r>
      <w:r>
        <w:t xml:space="preserve"> </w:t>
      </w:r>
      <w:r>
        <w:t xml:space="preserve">open (Rg ~0.5 → ~1.05 nm). Per-frame fpocket on the orthosteric Pocket-5 cavity — the same metric as the</w:t>
      </w:r>
      <w:r>
        <w:t xml:space="preserve"> </w:t>
      </w:r>
      <w:r>
        <w:t xml:space="preserve">static 0.495 — reaches a peak druggability of</w:t>
      </w:r>
      <w:r>
        <w:t xml:space="preserve"> </w:t>
      </w:r>
      <w:r>
        <w:rPr>
          <w:bCs/>
          <w:b/>
        </w:rPr>
        <w:t xml:space="preserve">0.931</w:t>
      </w:r>
      <w:r>
        <w:t xml:space="preserve">; reported as a distribution, a non-negligible</w:t>
      </w:r>
      <w:r>
        <w:t xml:space="preserve"> </w:t>
      </w:r>
      <w:r>
        <w:t xml:space="preserve">fraction of opened frames clear D* (meeting the pre-registered ≥5 %-of-frames criterion), with SASA of the</w:t>
      </w:r>
      <w:r>
        <w:t xml:space="preserve"> </w:t>
      </w:r>
      <w:r>
        <w:t xml:space="preserve">lining residues rising. Because fpocket druggability rewards hydrophobic</w:t>
      </w:r>
      <w:r>
        <w:t xml:space="preserve"> </w:t>
      </w:r>
      <w:r>
        <w:rPr>
          <w:iCs/>
          <w:i/>
        </w:rPr>
        <w:t xml:space="preserve">enclosure</w:t>
      </w:r>
      <w:r>
        <w:t xml:space="preserve">, a merely</w:t>
      </w:r>
      <w:r>
        <w:t xml:space="preserve"> </w:t>
      </w:r>
      <w:r>
        <w:t xml:space="preserve">solvent-exposed splaying would score lower, so the rise reflects a genuine enclosed cavity. This is the</w:t>
      </w:r>
      <w:r>
        <w:t xml:space="preserve"> </w:t>
      </w:r>
      <w:r>
        <w:t xml:space="preserve">first pocket-dynamics evidence for NR4A3, paralleling the breathing Nurr1 pocket [de Vera 2019].</w:t>
      </w:r>
    </w:p>
    <w:p>
      <w:pPr>
        <w:pStyle w:val="BodyText"/>
      </w:pPr>
      <w:r>
        <w:t xml:space="preserve">Two honest qualifications frame the energetics. First, the free-energy profile F(Rg) is</w:t>
      </w:r>
      <w:r>
        <w:t xml:space="preserve"> </w:t>
      </w:r>
      <w:r>
        <w:rPr>
          <w:bCs/>
          <w:b/>
        </w:rPr>
        <w:t xml:space="preserve">monotonic</w:t>
      </w:r>
      <w:r>
        <w:t xml:space="preserve"> </w:t>
      </w:r>
      <w:r>
        <w:t xml:space="preserve">— a</w:t>
      </w:r>
      <w:r>
        <w:t xml:space="preserve"> </w:t>
      </w:r>
      <w:r>
        <w:t xml:space="preserve">single closed basin with a rising wall, no separate opened minimum — so the druggable conformations arise by</w:t>
      </w:r>
      <w:r>
        <w:t xml:space="preserve"> </w:t>
      </w:r>
      <w:r>
        <w:rPr>
          <w:bCs/>
          <w:b/>
        </w:rPr>
        <w:t xml:space="preserve">basin-internal breathing</w:t>
      </w:r>
      <w:r>
        <w:t xml:space="preserve">, not a two-state cryptic switch (the pre-registered</w:t>
      </w:r>
      <w:r>
        <w:t xml:space="preserve"> </w:t>
      </w:r>
      <w:r>
        <w:t xml:space="preserve">“</w:t>
      </w:r>
      <w:r>
        <w:t xml:space="preserve">distinct opened basin</w:t>
      </w:r>
      <w:r>
        <w:t xml:space="preserve">”</w:t>
      </w:r>
      <w:r>
        <w:t xml:space="preserve"> </w:t>
      </w:r>
      <w:r>
        <w:t xml:space="preserve">condition is met only in this weaker sense; SI §1). Second, the decisive test of</w:t>
      </w:r>
      <w:r>
        <w:t xml:space="preserve"> </w:t>
      </w:r>
      <w:r>
        <w:t xml:space="preserve">whether the breathing-open geometry is physically populated or bias-induced strain is an</w:t>
      </w:r>
      <w:r>
        <w:t xml:space="preserve"> </w:t>
      </w:r>
      <w:r>
        <w:rPr>
          <w:bCs/>
          <w:b/>
        </w:rPr>
        <w:t xml:space="preserve">unbiased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release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seeded at the low-energy druggable frame (Rg ≈ 0.717). This run is positive: the geometry is</w:t>
      </w:r>
      <w:r>
        <w:t xml:space="preserve"> </w:t>
      </w:r>
      <w:r>
        <w:rPr>
          <w:bCs/>
          <w:b/>
        </w:rPr>
        <w:t xml:space="preserve">metastable — 3/3 unbiased replicas held 5 ns</w:t>
      </w:r>
      <w:r>
        <w:t xml:space="preserve"> </w:t>
      </w:r>
      <w:r>
        <w:t xml:space="preserve">with mean drift 0.025 nm and no collapse — and, on the</w:t>
      </w:r>
      <w:r>
        <w:t xml:space="preserve"> </w:t>
      </w:r>
      <w:r>
        <w:t xml:space="preserve">unbiased trajectory, the orthosteric pocket is</w:t>
      </w:r>
      <w:r>
        <w:t xml:space="preserve"> </w:t>
      </w:r>
      <w:r>
        <w:rPr>
          <w:bCs/>
          <w:b/>
        </w:rPr>
        <w:t xml:space="preserve">druggable in ~24 % of frames</w:t>
      </w:r>
      <w:r>
        <w:t xml:space="preserve"> </w:t>
      </w:r>
      <w:r>
        <w:t xml:space="preserve">(max 0.842, mean 0.262,</w:t>
      </w:r>
      <w:r>
        <w:t xml:space="preserve"> </w:t>
      </w:r>
      <w:r>
        <w:t xml:space="preserve">fraction ≥ D* = 0.20) at Rg ≈ 0.737. This is a thermally-real, spontaneously sampled cavity — not a static</w:t>
      </w:r>
      <w:r>
        <w:t xml:space="preserve"> </w:t>
      </w:r>
      <w:r>
        <w:t xml:space="preserve">always-open pocket (unbiased mean 0.262 &lt; 0.5) and not a bias artifact — i.e. an</w:t>
      </w:r>
      <w:r>
        <w:t xml:space="preserve"> </w:t>
      </w:r>
      <w:r>
        <w:rPr>
          <w:bCs/>
          <w:b/>
        </w:rPr>
        <w:t xml:space="preserve">induced-fit /</w:t>
      </w:r>
      <w:r>
        <w:rPr>
          <w:bCs/>
          <w:b/>
        </w:rPr>
        <w:t xml:space="preserve"> </w:t>
      </w:r>
      <w:r>
        <w:rPr>
          <w:bCs/>
          <w:b/>
        </w:rPr>
        <w:t xml:space="preserve">conformational-selection</w:t>
      </w:r>
      <w:r>
        <w:t xml:space="preserve"> </w:t>
      </w:r>
      <w:r>
        <w:t xml:space="preserve">site, the expected behaviour for a nuclear-receptor cryptic pocket. All downstream</w:t>
      </w:r>
      <w:r>
        <w:t xml:space="preserve"> </w:t>
      </w:r>
      <w:r>
        <w:t xml:space="preserve">design is anchored to a druggable unbiased-release frame (confirmed fpocket 0.667, within the drug-bound</w:t>
      </w:r>
      <w:r>
        <w:t xml:space="preserve"> </w:t>
      </w:r>
      <w:r>
        <w:t xml:space="preserve">band), not the biased-metad frame.</w:t>
      </w:r>
      <w:r>
        <w:t xml:space="preserve"> </w:t>
      </w:r>
      <w:r>
        <w:rPr>
          <w:iCs/>
          <w:i/>
        </w:rPr>
        <w:t xml:space="preserve">(Scope: the 3/3 metastability is an Rg-persistence result across the</w:t>
      </w:r>
      <w:r>
        <w:rPr>
          <w:iCs/>
          <w:i/>
        </w:rPr>
        <w:t xml:space="preserve"> </w:t>
      </w:r>
      <w:r>
        <w:rPr>
          <w:iCs/>
          <w:i/>
        </w:rPr>
        <w:t xml:space="preserve">triplicate; the ~24 % druggability fraction is measured on one release replica; 5 ns rules out prompt</w:t>
      </w:r>
      <w:r>
        <w:rPr>
          <w:iCs/>
          <w:i/>
        </w:rPr>
        <w:t xml:space="preserve"> </w:t>
      </w:r>
      <w:r>
        <w:rPr>
          <w:iCs/>
          <w:i/>
        </w:rPr>
        <w:t xml:space="preserve">collapse, not tens-to-hundreds-of-ns relaxation.)</w:t>
      </w:r>
    </w:p>
    <w:p>
      <w:pPr>
        <w:pStyle w:val="BodyText"/>
      </w:pPr>
      <w:r>
        <w:t xml:space="preserve">A registered check confirms the selectivity handles remain engageable in the druggable frames: a mean of</w:t>
      </w:r>
      <w:r>
        <w:t xml:space="preserve"> </w:t>
      </w:r>
      <w:r>
        <w:rPr>
          <w:bCs/>
          <w:b/>
        </w:rPr>
        <w:t xml:space="preserve">5.0/7</w:t>
      </w:r>
      <w:r>
        <w:t xml:space="preserve"> </w:t>
      </w:r>
      <w:r>
        <w:t xml:space="preserve">handles point into the cavity, with</w:t>
      </w:r>
      <w:r>
        <w:t xml:space="preserve"> </w:t>
      </w:r>
      <w:r>
        <w:rPr>
          <w:bCs/>
          <w:b/>
        </w:rPr>
        <w:t xml:space="preserve">L406, T410, I484, I531, L534</w:t>
      </w:r>
      <w:r>
        <w:t xml:space="preserve"> </w:t>
      </w:r>
      <w:r>
        <w:t xml:space="preserve">reliably pocket-facing and</w:t>
      </w:r>
      <w:r>
        <w:t xml:space="preserve"> </w:t>
      </w:r>
      <w:r>
        <w:t xml:space="preserve">T407/R412 splaying outward. The realistic selectivity-handle set is therefore five, not seven.</w:t>
      </w:r>
    </w:p>
    <w:bookmarkEnd w:id="23"/>
    <w:bookmarkStart w:id="24" w:name="Xd6194c3ee566b2d5289abd10f3b03d1c470943e"/>
    <w:p>
      <w:pPr>
        <w:pStyle w:val="Heading3"/>
      </w:pPr>
      <w:r>
        <w:t xml:space="preserve">2.3 Selectivity handles for an NR4A1/2-sparing warhead</w:t>
      </w:r>
    </w:p>
    <w:p>
      <w:pPr>
        <w:pStyle w:val="FirstParagraph"/>
      </w:pPr>
      <w:r>
        <w:t xml:space="preserve">Aligning the NR4A3 pocket to NR4A1/NR4A2 identifies, among the ten Pocket-5 lining residues,</w:t>
      </w:r>
      <w:r>
        <w:t xml:space="preserve"> </w:t>
      </w:r>
      <w:r>
        <w:rPr>
          <w:bCs/>
          <w:b/>
        </w:rPr>
        <w:t xml:space="preserve">seven</w:t>
      </w:r>
      <w:r>
        <w:rPr>
          <w:bCs/>
          <w:b/>
        </w:rPr>
        <w:t xml:space="preserve"> </w:t>
      </w:r>
      <w:r>
        <w:rPr>
          <w:bCs/>
          <w:b/>
        </w:rPr>
        <w:t xml:space="preserve">divergent</w:t>
      </w:r>
      <w:r>
        <w:t xml:space="preserve"> </w:t>
      </w:r>
      <w:r>
        <w:t xml:space="preserve">ones (L406, T407, T410, R412, I484, I531, L534). Of the five that stay pocket-facing in the</w:t>
      </w:r>
      <w:r>
        <w:t xml:space="preserve"> </w:t>
      </w:r>
      <w:r>
        <w:t xml:space="preserve">druggable ensemble, the engageable set is</w:t>
      </w:r>
      <w:r>
        <w:t xml:space="preserve"> </w:t>
      </w:r>
      <w:r>
        <w:rPr>
          <w:bCs/>
          <w:b/>
        </w:rPr>
        <w:t xml:space="preserve">asymmetric across paralogues</w:t>
      </w:r>
      <w:r>
        <w:t xml:space="preserve">: all five distinguish NR4A3 from</w:t>
      </w:r>
      <w:r>
        <w:t xml:space="preserve"> </w:t>
      </w:r>
      <w:r>
        <w:t xml:space="preserve">NR4A1, but only four distinguish it from NR4A2, because</w:t>
      </w:r>
      <w:r>
        <w:t xml:space="preserve"> </w:t>
      </w:r>
      <w:r>
        <w:rPr>
          <w:bCs/>
          <w:b/>
        </w:rPr>
        <w:t xml:space="preserve">I531 is identical (Ile) in NR4A3 and NR4A2</w:t>
      </w:r>
      <w:r>
        <w:t xml:space="preserve">. NR4A2</w:t>
      </w:r>
      <w:r>
        <w:t xml:space="preserve"> </w:t>
      </w:r>
      <w:r>
        <w:t xml:space="preserve">selectivity therefore rests on a narrower engageable handle set than NR4A1 selectivity — relevant because</w:t>
      </w:r>
      <w:r>
        <w:t xml:space="preserve"> </w:t>
      </w:r>
      <w:r>
        <w:t xml:space="preserve">NR4A2/Nurr1 carries the dopaminergic-loss liability one most wants to spare. This is a design specification</w:t>
      </w:r>
      <w:r>
        <w:t xml:space="preserve"> </w:t>
      </w:r>
      <w:r>
        <w:t xml:space="preserve">with a quantified, paralogue-resolved window, not a demonstrated binding margin.</w:t>
      </w:r>
    </w:p>
    <w:bookmarkEnd w:id="24"/>
    <w:bookmarkStart w:id="25" w:name="Xbd50c5f68576a71529ae69cb6e2fc0795a21b23"/>
    <w:p>
      <w:pPr>
        <w:pStyle w:val="Heading3"/>
      </w:pPr>
      <w:r>
        <w:t xml:space="preserve">2.4 A family-wide, state-matched selectivity matrix</w:t>
      </w:r>
    </w:p>
    <w:p>
      <w:pPr>
        <w:pStyle w:val="FirstParagraph"/>
      </w:pPr>
      <w:r>
        <w:t xml:space="preserve">Docking an opened NR4A3 pocket against</w:t>
      </w:r>
      <w:r>
        <w:t xml:space="preserve"> </w:t>
      </w:r>
      <w:r>
        <w:rPr>
          <w:iCs/>
          <w:i/>
        </w:rPr>
        <w:t xml:space="preserve">static</w:t>
      </w:r>
      <w:r>
        <w:t xml:space="preserve"> </w:t>
      </w:r>
      <w:r>
        <w:t xml:space="preserve">paralogue models would bias toward apparent selectivity,</w:t>
      </w:r>
      <w:r>
        <w:t xml:space="preserve"> </w:t>
      </w:r>
      <w:r>
        <w:t xml:space="preserve">since — by the same argument [de Vera 2019; Lanig 2015] — the paralogue pockets are likely cryptic too. We</w:t>
      </w:r>
      <w:r>
        <w:t xml:space="preserve"> </w:t>
      </w:r>
      <w:r>
        <w:t xml:space="preserve">therefore ran the</w:t>
      </w:r>
      <w:r>
        <w:t xml:space="preserve"> </w:t>
      </w:r>
      <w:r>
        <w:rPr>
          <w:bCs/>
          <w:b/>
        </w:rPr>
        <w:t xml:space="preserve">same metadynamics on NR4A1 and NR4A2</w:t>
      </w:r>
      <w:r>
        <w:t xml:space="preserve"> </w:t>
      </w:r>
      <w:r>
        <w:t xml:space="preserve">to obtain state-matched opened-pocket ensembles</w:t>
      </w:r>
      <w:r>
        <w:t xml:space="preserve"> </w:t>
      </w:r>
      <w:r>
        <w:t xml:space="preserve">for all three paralogues, and docked one library into each at matched opened conformers. Each candidate</w:t>
      </w:r>
      <w:r>
        <w:t xml:space="preserve"> </w:t>
      </w:r>
      <w:r>
        <w:t xml:space="preserve">carries a selectivity fingerprint across the family, partitioning the library into NR4A3-selective, pan-NR4A,</w:t>
      </w:r>
      <w:r>
        <w:t xml:space="preserve"> </w:t>
      </w:r>
      <w:r>
        <w:t xml:space="preserve">and the AML-associated NR4A1+NR4A3 anti-target cells. The</w:t>
      </w:r>
      <w:r>
        <w:t xml:space="preserve"> </w:t>
      </w:r>
      <w:r>
        <w:rPr>
          <w:bCs/>
          <w:b/>
        </w:rPr>
        <w:t xml:space="preserve">anti-target cell is empty</w:t>
      </w:r>
      <w:r>
        <w:t xml:space="preserve"> </w:t>
      </w:r>
      <w:r>
        <w:t xml:space="preserve">(no candidate engages</w:t>
      </w:r>
      <w:r>
        <w:t xml:space="preserve"> </w:t>
      </w:r>
      <w:r>
        <w:t xml:space="preserve">NR4A1+NR4A3 while sparing NR4A2), and the NR4A3-leaning leads are repurposed NR4A actives — but the docking</w:t>
      </w:r>
      <w:r>
        <w:t xml:space="preserve"> </w:t>
      </w:r>
      <w:r>
        <w:t xml:space="preserve">free energies fall within noise, so they nominate chemotypes, not a lead.</w:t>
      </w:r>
    </w:p>
    <w:p>
      <w:pPr>
        <w:pStyle w:val="BodyText"/>
      </w:pPr>
      <w:r>
        <w:t xml:space="preserve">Re-scoring the matrix’s own docked poses with single-snapshot endpoint</w:t>
      </w:r>
      <w:r>
        <w:t xml:space="preserve"> </w:t>
      </w:r>
      <w:r>
        <w:rPr>
          <w:bCs/>
          <w:b/>
        </w:rPr>
        <w:t xml:space="preserve">MM-GBSA</w:t>
      </w:r>
      <w:r>
        <w:t xml:space="preserve"> </w:t>
      </w:r>
      <w:r>
        <w:t xml:space="preserve">disqualifies the</w:t>
      </w:r>
      <w:r>
        <w:t xml:space="preserve"> </w:t>
      </w:r>
      <w:r>
        <w:t xml:space="preserve">repurposed actives: the docking-level NR4A3-selectivity mostly does not survive, and the apparent docking</w:t>
      </w:r>
      <w:r>
        <w:t xml:space="preserve"> </w:t>
      </w:r>
      <w:r>
        <w:t xml:space="preserve">lead cytosporone B</w:t>
      </w:r>
      <w:r>
        <w:t xml:space="preserve"> </w:t>
      </w:r>
      <w:r>
        <w:rPr>
          <w:iCs/>
          <w:i/>
        </w:rPr>
        <w:t xml:space="preserve">reverses</w:t>
      </w:r>
      <w:r>
        <w:t xml:space="preserve"> </w:t>
      </w:r>
      <w:r>
        <w:t xml:space="preserve">(consistent with its known NR4A1 agonism). MM-GBSA magnitudes here are inflated</w:t>
      </w:r>
      <w:r>
        <w:t xml:space="preserve"> </w:t>
      </w:r>
      <w:r>
        <w:t xml:space="preserve">by the single-snapshot/no-entropy approximation, so we read verdict/direction, not kcal/mol — but the</w:t>
      </w:r>
      <w:r>
        <w:t xml:space="preserve"> </w:t>
      </w:r>
      <w:r>
        <w:t xml:space="preserve">direction is clear: repurposed NR4A chemical matter is method-validation, not a selective lead, motivating</w:t>
      </w:r>
      <w:r>
        <w:t xml:space="preserve"> </w:t>
      </w:r>
      <w:r>
        <w:t xml:space="preserve">de-novo design. A degrader’s</w:t>
      </w:r>
      <w:r>
        <w:t xml:space="preserve"> </w:t>
      </w:r>
      <w:r>
        <w:rPr>
          <w:iCs/>
          <w:i/>
        </w:rPr>
        <w:t xml:space="preserve">degradation</w:t>
      </w:r>
      <w:r>
        <w:t xml:space="preserve">-selectivity is ultimately set by the ternary complex, so the</w:t>
      </w:r>
      <w:r>
        <w:t xml:space="preserve"> </w:t>
      </w:r>
      <w:r>
        <w:t xml:space="preserve">binding matrix is a necessary-but-not-sufficient filter (§2.7).</w:t>
      </w:r>
    </w:p>
    <w:bookmarkEnd w:id="25"/>
    <w:bookmarkStart w:id="26" w:name="X51eb206b0cf5fbfa4fc4e2a34d1fb827934a698"/>
    <w:p>
      <w:pPr>
        <w:pStyle w:val="Heading3"/>
      </w:pPr>
      <w:r>
        <w:t xml:space="preserve">2.5 De-novo design, and a decoy control that disciplines it</w:t>
      </w:r>
    </w:p>
    <w:p>
      <w:pPr>
        <w:pStyle w:val="FirstParagraph"/>
      </w:pPr>
      <w:r>
        <w:t xml:space="preserve">Because the repurposed library produced no MM-GBSA-selective candidate, we ran a</w:t>
      </w:r>
      <w:r>
        <w:t xml:space="preserve"> </w:t>
      </w:r>
      <w:r>
        <w:rPr>
          <w:bCs/>
          <w:b/>
        </w:rPr>
        <w:t xml:space="preserve">pocket-conditioned de-novo</w:t>
      </w:r>
      <w:r>
        <w:rPr>
          <w:bCs/>
          <w:b/>
        </w:rPr>
        <w:t xml:space="preserve"> </w:t>
      </w:r>
      <w:r>
        <w:rPr>
          <w:bCs/>
          <w:b/>
        </w:rPr>
        <w:t xml:space="preserve">generative campaign</w:t>
      </w:r>
      <w:r>
        <w:t xml:space="preserve"> </w:t>
      </w:r>
      <w:r>
        <w:t xml:space="preserve">(DiffSBDD, pretrained CrossDocked weights) against the druggable unbiased-release</w:t>
      </w:r>
      <w:r>
        <w:t xml:space="preserve"> </w:t>
      </w:r>
      <w:r>
        <w:t xml:space="preserve">conformation, conditioned on the engageable divergent handles, with a lead-size constraint. Generation was</w:t>
      </w:r>
      <w:r>
        <w:t xml:space="preserve"> </w:t>
      </w:r>
      <w:r>
        <w:t xml:space="preserve">clean (191/195 valid and unique; 96 % PAINS-free; 92 % contacting ≥4 of the five engageable handles). The</w:t>
      </w:r>
      <w:r>
        <w:t xml:space="preserve"> </w:t>
      </w:r>
      <w:r>
        <w:t xml:space="preserve">top-ranked generations were funnelled through the same dock + MM-GBSA selectivity pipeline.</w:t>
      </w:r>
    </w:p>
    <w:p>
      <w:pPr>
        <w:pStyle w:val="BodyText"/>
      </w:pPr>
      <w:r>
        <w:t xml:space="preserve">A specificity control is essential and, run honestly, is sobering. Passing</w:t>
      </w:r>
      <w:r>
        <w:t xml:space="preserve"> </w:t>
      </w:r>
      <w:r>
        <w:rPr>
          <w:bCs/>
          <w:b/>
        </w:rPr>
        <w:t xml:space="preserve">38 diverse non-NR4A marketed</w:t>
      </w:r>
      <w:r>
        <w:rPr>
          <w:bCs/>
          <w:b/>
        </w:rPr>
        <w:t xml:space="preserve"> </w:t>
      </w:r>
      <w:r>
        <w:rPr>
          <w:bCs/>
          <w:b/>
        </w:rPr>
        <w:t xml:space="preserve">drugs</w:t>
      </w:r>
      <w:r>
        <w:t xml:space="preserve"> </w:t>
      </w:r>
      <w:r>
        <w:t xml:space="preserve">through the identical dock → single-snapshot-MM-GBSA funnel, the single-snapshot</w:t>
      </w:r>
      <w:r>
        <w:t xml:space="preserve"> </w:t>
      </w:r>
      <w:r>
        <w:t xml:space="preserve">“</w:t>
      </w:r>
      <w:r>
        <w:t xml:space="preserve">NR4A3-selective</w:t>
      </w:r>
      <w:r>
        <w:t xml:space="preserve">”</w:t>
      </w:r>
      <w:r>
        <w:t xml:space="preserve"> </w:t>
      </w:r>
      <w:r>
        <w:t xml:space="preserve">verdict proves</w:t>
      </w:r>
      <w:r>
        <w:t xml:space="preserve"> </w:t>
      </w:r>
      <w:r>
        <w:rPr>
          <w:bCs/>
          <w:b/>
        </w:rPr>
        <w:t xml:space="preserve">non-specific</w:t>
      </w:r>
      <w:r>
        <w:t xml:space="preserve">: it labels</w:t>
      </w:r>
      <w:r>
        <w:t xml:space="preserve"> </w:t>
      </w:r>
      <w:r>
        <w:rPr>
          <w:bCs/>
          <w:b/>
        </w:rPr>
        <w:t xml:space="preserve">39 % (15/38)</w:t>
      </w:r>
      <w:r>
        <w:t xml:space="preserve"> </w:t>
      </w:r>
      <w:r>
        <w:t xml:space="preserve">of decoys — including caffeine, ibuprofen,</w:t>
      </w:r>
      <w:r>
        <w:t xml:space="preserve"> </w:t>
      </w:r>
      <w:r>
        <w:t xml:space="preserve">lidocaine, phenytoin —</w:t>
      </w:r>
      <w:r>
        <w:t xml:space="preserve"> </w:t>
      </w:r>
      <w:r>
        <w:t xml:space="preserve">“</w:t>
      </w:r>
      <w:r>
        <w:t xml:space="preserve">confirmed_selective,</w:t>
      </w:r>
      <w:r>
        <w:t xml:space="preserve">”</w:t>
      </w:r>
      <w:r>
        <w:t xml:space="preserve"> </w:t>
      </w:r>
      <w:r>
        <w:t xml:space="preserve">and the developability-gated de-novo set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enriched over</w:t>
      </w:r>
      <w:r>
        <w:t xml:space="preserve"> </w:t>
      </w:r>
      <w:r>
        <w:t xml:space="preserve">that null. The single-snapshot MM-GBSA selectivity verdict therefore cannot, on its own, support a</w:t>
      </w:r>
      <w:r>
        <w:t xml:space="preserve"> </w:t>
      </w:r>
      <w:r>
        <w:t xml:space="preserve">selectivity claim; a raw margin is not evidence. We accordingly treat the decoy run as a</w:t>
      </w:r>
      <w:r>
        <w:t xml:space="preserve"> </w:t>
      </w:r>
      <w:r>
        <w:rPr>
          <w:bCs/>
          <w:b/>
        </w:rPr>
        <w:t xml:space="preserve">calibrated null</w:t>
      </w:r>
      <w:r>
        <w:t xml:space="preserve"> </w:t>
      </w:r>
      <w:r>
        <w:t xml:space="preserve">and require candidates to beat it. (An early single-snapshot</w:t>
      </w:r>
      <w:r>
        <w:t xml:space="preserve"> </w:t>
      </w:r>
      <w:r>
        <w:t xml:space="preserve">“</w:t>
      </w:r>
      <w:r>
        <w:t xml:space="preserve">lead,</w:t>
      </w:r>
      <w:r>
        <w:t xml:space="preserve">”</w:t>
      </w:r>
      <w:r>
        <w:t xml:space="preserve"> </w:t>
      </w:r>
      <w:r>
        <w:rPr>
          <w:rStyle w:val="VerbatimChar"/>
        </w:rPr>
        <w:t xml:space="preserve">denovo_15</w:t>
      </w:r>
      <w:r>
        <w:t xml:space="preserve">, is retracted on this basis:</w:t>
      </w:r>
      <w:r>
        <w:t xml:space="preserve"> </w:t>
      </w:r>
      <w:r>
        <w:t xml:space="preserve">beyond the non-specific score, medicinal-chemistry triage flags generative-model liabilities — a carbamic</w:t>
      </w:r>
      <w:r>
        <w:t xml:space="preserve"> </w:t>
      </w:r>
      <w:r>
        <w:t xml:space="preserve">acid, a 1,3-cyclopentadiene, an imine — and a synthesizability score above the campaign cut.)</w:t>
      </w:r>
    </w:p>
    <w:bookmarkEnd w:id="26"/>
    <w:bookmarkStart w:id="27" w:name="X3d4f9432b1e3618520ac7bf6629a4c3f86f247c"/>
    <w:p>
      <w:pPr>
        <w:pStyle w:val="Heading3"/>
      </w:pPr>
      <w:r>
        <w:t xml:space="preserve">2.6 One robust lead survives multi-snapshot de-noising (denovo_401), after species resolution</w:t>
      </w:r>
    </w:p>
    <w:p>
      <w:pPr>
        <w:pStyle w:val="FirstParagraph"/>
      </w:pPr>
      <w:r>
        <w:t xml:space="preserve">Single-snapshot MM-GBSA margins carried standard deviations (4–6 kcal/mol) larger than the margins</w:t>
      </w:r>
      <w:r>
        <w:t xml:space="preserve"> </w:t>
      </w:r>
      <w:r>
        <w:t xml:space="preserve">themselves, so we built a</w:t>
      </w:r>
      <w:r>
        <w:t xml:space="preserve"> </w:t>
      </w:r>
      <w:r>
        <w:rPr>
          <w:bCs/>
          <w:b/>
        </w:rPr>
        <w:t xml:space="preserve">multi-snapshot endpoint MM-GBSA</w:t>
      </w:r>
      <w:r>
        <w:t xml:space="preserve"> </w:t>
      </w:r>
      <w:r>
        <w:t xml:space="preserve">tier (short GB Langevin MD; ΔG averaged over</w:t>
      </w:r>
      <w:r>
        <w:t xml:space="preserve"> </w:t>
      </w:r>
      <w:r>
        <w:t xml:space="preserve">frames, with error bars) and applied it to the harvest. It is discriminating rather than merely destructive:</w:t>
      </w:r>
      <w:r>
        <w:t xml:space="preserve"> </w:t>
      </w:r>
      <w:r>
        <w:t xml:space="preserve">a negative control stayed non-selective and the single-snapshot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collapsed (+18.34 → −2.95 ± 3.65),</w:t>
      </w:r>
      <w:r>
        <w:t xml:space="preserve"> </w:t>
      </w:r>
      <w:r>
        <w:t xml:space="preserve">while two candidates initially held —</w:t>
      </w:r>
      <w:r>
        <w:t xml:space="preserve"> </w:t>
      </w:r>
      <w:r>
        <w:rPr>
          <w:rStyle w:val="VerbatimChar"/>
          <w:bCs/>
          <w:b/>
        </w:rPr>
        <w:t xml:space="preserve">denovo_401</w:t>
      </w:r>
      <w:r>
        <w:t xml:space="preserve"> </w:t>
      </w:r>
      <w:r>
        <w:t xml:space="preserve">(multi-snapshot margin</w:t>
      </w:r>
      <w:r>
        <w:t xml:space="preserve"> </w:t>
      </w:r>
      <w:r>
        <w:rPr>
          <w:bCs/>
          <w:b/>
        </w:rPr>
        <w:t xml:space="preserve">+12.83 ± 2.98</w:t>
      </w:r>
      <w:r>
        <w:t xml:space="preserve">, margin − SD</w:t>
      </w:r>
      <w:r>
        <w:t xml:space="preserve"> </w:t>
      </w:r>
      <w:r>
        <w:rPr>
          <w:bCs/>
          <w:b/>
        </w:rPr>
        <w:t xml:space="preserve">+9.85</w:t>
      </w:r>
      <w:r>
        <w:t xml:space="preserve">; NR4A3 ΔG −38.18, both paralogues 13–15 kcal/mol weaker; reproduced under an independent-seed</w:t>
      </w:r>
      <w:r>
        <w:t xml:space="preserve"> </w:t>
      </w:r>
      <w:r>
        <w:t xml:space="preserve">replicate at</w:t>
      </w:r>
      <w:r>
        <w:t xml:space="preserve"> </w:t>
      </w:r>
      <w:r>
        <w:rPr>
          <w:bCs/>
          <w:b/>
        </w:rPr>
        <w:t xml:space="preserve">+14.75 ± 4.82</w:t>
      </w:r>
      <w:r>
        <w:t xml:space="preserve">, so not a single-draw artifact) and the neutral form of</w:t>
      </w:r>
      <w:r>
        <w:t xml:space="preserve"> </w:t>
      </w:r>
      <w:r>
        <w:rPr>
          <w:rStyle w:val="VerbatimChar"/>
        </w:rPr>
        <w:t xml:space="preserve">denovo_111</w:t>
      </w:r>
      <w:r>
        <w:t xml:space="preserve"> </w:t>
      </w:r>
      <w:r>
        <w:t xml:space="preserve">(+14.60 ± 4.10) — out of ~11 multi-snapshot-tested (a low but non-zero hit-rate). A</w:t>
      </w:r>
      <w:r>
        <w:t xml:space="preserve"> </w:t>
      </w:r>
      <w:r>
        <w:rPr>
          <w:bCs/>
          <w:b/>
        </w:rPr>
        <w:t xml:space="preserve">pre-FEP species-resolution</w:t>
      </w:r>
      <w:r>
        <w:rPr>
          <w:bCs/>
          <w:b/>
        </w:rPr>
        <w:t xml:space="preserve"> </w:t>
      </w:r>
      <w:r>
        <w:rPr>
          <w:bCs/>
          <w:b/>
        </w:rPr>
        <w:t xml:space="preserve">sweep</w:t>
      </w:r>
      <w:r>
        <w:t xml:space="preserve"> </w:t>
      </w:r>
      <w:r>
        <w:t xml:space="preserve">(dock + MM-GBSA of denovo_401’s 16 stereoisomers and denovo_111’s protonation forms) then sharpened</w:t>
      </w:r>
      <w:r>
        <w:t xml:space="preserve"> </w:t>
      </w:r>
      <w:r>
        <w:t xml:space="preserve">this to a single robust lead:</w:t>
      </w:r>
      <w:r>
        <w:t xml:space="preserve"> </w:t>
      </w:r>
      <w:r>
        <w:rPr>
          <w:bCs/>
          <w:b/>
        </w:rPr>
        <w:t xml:space="preserve">denovo_111 is withdrawn</w:t>
      </w:r>
      <w:r>
        <w:t xml:space="preserve"> </w:t>
      </w:r>
      <w:r>
        <w:t xml:space="preserve">— it carries a basic pyrrolidine, and its</w:t>
      </w:r>
      <w:r>
        <w:t xml:space="preserve"> </w:t>
      </w:r>
      <w:r>
        <w:t xml:space="preserve">physiological</w:t>
      </w:r>
      <w:r>
        <w:t xml:space="preserve"> </w:t>
      </w:r>
      <w:r>
        <w:rPr>
          <w:bCs/>
          <w:b/>
        </w:rPr>
        <w:t xml:space="preserve">cation reverses</w:t>
      </w:r>
      <w:r>
        <w:t xml:space="preserve"> </w:t>
      </w:r>
      <w:r>
        <w:t xml:space="preserve">selectivity (multi-snapshot</w:t>
      </w:r>
      <w:r>
        <w:t xml:space="preserve"> </w:t>
      </w:r>
      <w:r>
        <w:rPr>
          <w:bCs/>
          <w:b/>
        </w:rPr>
        <w:t xml:space="preserve">−15.01 ± 5.14</w:t>
      </w:r>
      <w:r>
        <w:t xml:space="preserve">, binding NR4A1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tightly</w:t>
      </w:r>
      <w:r>
        <w:t xml:space="preserve"> </w:t>
      </w:r>
      <w:r>
        <w:t xml:space="preserve">than NR4A3), so its neutral-form margin was an artifact; while</w:t>
      </w:r>
      <w:r>
        <w:t xml:space="preserve"> </w:t>
      </w:r>
      <w:r>
        <w:rPr>
          <w:bCs/>
          <w:b/>
        </w:rPr>
        <w:t xml:space="preserve">denovo_401’s selectivity is</w:t>
      </w:r>
      <w:r>
        <w:rPr>
          <w:bCs/>
          <w:b/>
        </w:rPr>
        <w:t xml:space="preserve"> </w:t>
      </w:r>
      <w:r>
        <w:rPr>
          <w:bCs/>
          <w:b/>
        </w:rPr>
        <w:t xml:space="preserve">stereochemistry-robust</w:t>
      </w:r>
      <w:r>
        <w:t xml:space="preserve"> </w:t>
      </w:r>
      <w:r>
        <w:t xml:space="preserve">— nearly all 16 diastereomers scored selective, and the DiffSBDD-generated isomer is</w:t>
      </w:r>
      <w:r>
        <w:t xml:space="preserve"> </w:t>
      </w:r>
      <w:r>
        <w:t xml:space="preserve">near-optimal (de-noised +9.54 ± 4.26), co-best with its C13-epimer iso08 (+11.36 ± 5.25, within SD), so the FEP</w:t>
      </w:r>
      <w:r>
        <w:t xml:space="preserve"> </w:t>
      </w:r>
      <w:r>
        <w:t xml:space="preserve">subject is that resolved epimer pair.</w:t>
      </w:r>
      <w:r>
        <w:t xml:space="preserve"> </w:t>
      </w:r>
      <w:r>
        <w:rPr>
          <w:rStyle w:val="VerbatimChar"/>
          <w:bCs/>
          <w:b/>
        </w:rPr>
        <w:t xml:space="preserve">denovo_401</w:t>
      </w:r>
      <w:r>
        <w:rPr>
          <w:bCs/>
          <w:b/>
        </w:rPr>
        <w:t xml:space="preserve"> </w:t>
      </w:r>
      <w:r>
        <w:rPr>
          <w:bCs/>
          <w:b/>
        </w:rPr>
        <w:t xml:space="preserve">is thus the sole robust lead</w:t>
      </w:r>
      <w:r>
        <w:t xml:space="preserve"> </w:t>
      </w:r>
      <w:r>
        <w:t xml:space="preserve">(chemically clean:</w:t>
      </w:r>
      <w:r>
        <w:t xml:space="preserve"> </w:t>
      </w:r>
      <w:r>
        <w:rPr>
          <w:rStyle w:val="VerbatimChar"/>
        </w:rPr>
        <w:t xml:space="preserve">COC[C@H](c1ccccc1)[C@@H]1CC[C@H](CC(C)(C)[C@@H](C)O)C1</w:t>
      </w:r>
      <w:r>
        <w:t xml:space="preserve">, MW 304, QED 0.80, SA 3.87, no PAINS/BRENK alerts,</w:t>
      </w:r>
      <w:r>
        <w:t xml:space="preserve"> </w:t>
      </w:r>
      <w:r>
        <w:t xml:space="preserve">0 Lipinski violations, Veber-compliant; one watch-item — cLogP 4.63, lipophilic-leaning),</w:t>
      </w:r>
      <w:r>
        <w:t xml:space="preserve"> </w:t>
      </w:r>
      <w:r>
        <w:t xml:space="preserve">characterized across receptor frames (below). Assembled into a CRBN degrader the molecule is projected into</w:t>
      </w:r>
      <w:r>
        <w:t xml:space="preserve"> </w:t>
      </w:r>
      <w:r>
        <w:t xml:space="preserve">normal beyond-Rule-of-5 space (projected MW ~657), as expected for the modality.</w:t>
      </w:r>
    </w:p>
    <w:p>
      <w:pPr>
        <w:pStyle w:val="BodyText"/>
      </w:pPr>
      <w:r>
        <w:t xml:space="preserve">Judged against a</w:t>
      </w:r>
      <w:r>
        <w:t xml:space="preserve"> </w:t>
      </w:r>
      <w:r>
        <w:rPr>
          <w:bCs/>
          <w:b/>
        </w:rPr>
        <w:t xml:space="preserve">same-tier multi-snapshot decoy null</w:t>
      </w:r>
      <w:r>
        <w:t xml:space="preserve">, the result is</w:t>
      </w:r>
      <w:r>
        <w:t xml:space="preserve"> </w:t>
      </w:r>
      <w:r>
        <w:rPr>
          <w:bCs/>
          <w:b/>
        </w:rPr>
        <w:t xml:space="preserve">receptor-frame-dependent</w:t>
      </w:r>
      <w:r>
        <w:t xml:space="preserve"> </w:t>
      </w:r>
      <w:r>
        <w:t xml:space="preserve">(and, as</w:t>
      </w:r>
      <w:r>
        <w:t xml:space="preserve"> </w:t>
      </w:r>
      <w:r>
        <w:t xml:space="preserve">we note below, confounded by the null not controlling the generative step); we report both directions honestly: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receptor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multi-snapshot decoy null (95th pct / max)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denovo_401</w:t>
            </w:r>
            <w:r>
              <w:t xml:space="preserve"> </w:t>
            </w: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the null?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unbiased</w:t>
            </w:r>
            <w:r>
              <w:t xml:space="preserve"> </w:t>
            </w:r>
            <w:r>
              <w:rPr>
                <w:bCs/>
                <w:b/>
              </w:rPr>
              <w:t xml:space="preserve">release</w:t>
            </w:r>
            <w:r>
              <w:t xml:space="preserve"> </w:t>
            </w:r>
            <w:r>
              <w:t xml:space="preserve">(design frame)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+6.69 / +7.10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+12.83 ± 2.98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above the whole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  <w:r>
              <w:t xml:space="preserve"> </w:t>
            </w:r>
            <w:r>
              <w:rPr>
                <w:bCs/>
                <w:b/>
              </w:rPr>
              <w:t xml:space="preserve">metad-opened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+17.70 / +24.74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+7.44 ± 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~84th percentile</w:t>
            </w:r>
          </w:p>
        </w:tc>
      </w:tr>
    </w:tbl>
    <w:p>
      <w:pPr>
        <w:pStyle w:val="BodyText"/>
      </w:pPr>
      <w:r>
        <w:t xml:space="preserve">In the biased metad-opened frame the decoy null</w:t>
      </w:r>
      <w:r>
        <w:t xml:space="preserve"> </w:t>
      </w:r>
      <w:r>
        <w:rPr>
          <w:iCs/>
          <w:i/>
        </w:rPr>
        <w:t xml:space="preserve">balloons</w:t>
      </w:r>
      <w:r>
        <w:t xml:space="preserve"> </w:t>
      </w:r>
      <w:r>
        <w:t xml:space="preserve">— random drugs such as diphenhydramine (+24.74)</w:t>
      </w:r>
      <w:r>
        <w:t xml:space="preserve"> </w:t>
      </w:r>
      <w:r>
        <w:t xml:space="preserve">and lidocaine (+22.08) score as strongly</w:t>
      </w:r>
      <w:r>
        <w:t xml:space="preserve"> </w:t>
      </w:r>
      <w:r>
        <w:t xml:space="preserve">“</w:t>
      </w:r>
      <w:r>
        <w:t xml:space="preserve">NR4A3-selective</w:t>
      </w:r>
      <w:r>
        <w:t xml:space="preserve">”</w:t>
      </w:r>
      <w:r>
        <w:t xml:space="preserve"> </w:t>
      </w:r>
      <w:r>
        <w:t xml:space="preserve">— so that frame is a poor, promiscuous</w:t>
      </w:r>
      <w:r>
        <w:t xml:space="preserve"> </w:t>
      </w:r>
      <w:r>
        <w:t xml:space="preserve">discriminator, and</w:t>
      </w:r>
      <w:r>
        <w:t xml:space="preserve"> </w:t>
      </w:r>
      <w:r>
        <w:rPr>
          <w:rStyle w:val="VerbatimChar"/>
        </w:rPr>
        <w:t xml:space="preserve">denovo_401</w:t>
      </w:r>
      <w:r>
        <w:t xml:space="preserve">’s margin does not stand out in it. One caveat sharpens this: the decoy null</w:t>
      </w:r>
      <w:r>
        <w:t xml:space="preserve"> </w:t>
      </w:r>
      <w:r>
        <w:t xml:space="preserve">controls the</w:t>
      </w:r>
      <w:r>
        <w:t xml:space="preserve"> </w:t>
      </w:r>
      <w:r>
        <w:rPr>
          <w:bCs/>
          <w:b/>
        </w:rPr>
        <w:t xml:space="preserve">docking/MM-GBSA scoring</w:t>
      </w:r>
      <w:r>
        <w:t xml:space="preserve"> </w:t>
      </w:r>
      <w:r>
        <w:t xml:space="preserve">step (the decoys are marketed drugs pushed through the identical</w:t>
      </w:r>
      <w:r>
        <w:t xml:space="preserve"> </w:t>
      </w:r>
      <w:r>
        <w:t xml:space="preserve">funnel)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generative</w:t>
      </w:r>
      <w:r>
        <w:t xml:space="preserve"> </w:t>
      </w:r>
      <w:r>
        <w:t xml:space="preserve">step —</w:t>
      </w:r>
      <w:r>
        <w:t xml:space="preserve"> </w:t>
      </w:r>
      <w:r>
        <w:rPr>
          <w:rStyle w:val="VerbatimChar"/>
        </w:rPr>
        <w:t xml:space="preserve">denovo_401</w:t>
      </w:r>
      <w:r>
        <w:t xml:space="preserve"> </w:t>
      </w:r>
      <w:r>
        <w:t xml:space="preserve">was DiffSBDD-fit to the release pocket, whereas the</w:t>
      </w:r>
      <w:r>
        <w:t xml:space="preserve"> </w:t>
      </w:r>
      <w:r>
        <w:t xml:space="preserve">decoys were fit to no pocket, so in the release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frame</w:t>
      </w:r>
      <w:r>
        <w:t xml:space="preserve"> </w:t>
      </w:r>
      <w:r>
        <w:rPr>
          <w:rStyle w:val="VerbatimChar"/>
        </w:rPr>
        <w:t xml:space="preserve">denovo_401</w:t>
      </w:r>
      <w:r>
        <w:t xml:space="preserve"> </w:t>
      </w:r>
      <w:r>
        <w:t xml:space="preserve">carries a receptor-match advantage</w:t>
      </w:r>
      <w:r>
        <w:t xml:space="preserve"> </w:t>
      </w:r>
      <w:r>
        <w:t xml:space="preserve">the decoys lack, and it is additionally the best of ~200 generations / ~10 de-noised candidates. Tellingly,</w:t>
      </w:r>
      <w:r>
        <w:t xml:space="preserve"> </w:t>
      </w:r>
      <w:r>
        <w:t xml:space="preserve">the frame it clears the null in is the one it was designed for; the metad frame it</w:t>
      </w:r>
      <w:r>
        <w:t xml:space="preserve"> </w:t>
      </w:r>
      <w:r>
        <w:rPr>
          <w:iCs/>
          <w:i/>
        </w:rPr>
        <w:t xml:space="preserve">fails</w:t>
      </w:r>
      <w:r>
        <w:t xml:space="preserve"> </w:t>
      </w:r>
      <w:r>
        <w:t xml:space="preserve">is the one it was</w:t>
      </w:r>
      <w:r>
        <w:t xml:space="preserve"> </w:t>
      </w:r>
      <w:r>
        <w:t xml:space="preserve">not (and the less design-confounded of the two). The defensible claim is therefore narrow:</w:t>
      </w:r>
      <w:r>
        <w:t xml:space="preserve"> </w:t>
      </w:r>
      <w:r>
        <w:rPr>
          <w:rStyle w:val="VerbatimChar"/>
          <w:iCs/>
          <w:i/>
        </w:rPr>
        <w:t xml:space="preserve">denovo_401</w:t>
      </w:r>
      <w:r>
        <w:rPr>
          <w:iCs/>
          <w:i/>
        </w:rPr>
        <w:t xml:space="preserve"> </w:t>
      </w:r>
      <w:r>
        <w:rPr>
          <w:iCs/>
          <w:i/>
        </w:rPr>
        <w:t xml:space="preserve">is the</w:t>
      </w:r>
      <w:r>
        <w:rPr>
          <w:iCs/>
          <w:i/>
        </w:rPr>
        <w:t xml:space="preserve"> </w:t>
      </w:r>
      <w:r>
        <w:rPr>
          <w:iCs/>
          <w:i/>
        </w:rPr>
        <w:t xml:space="preserve">one candidate of the harvest whose NR4A3-selectivity survives ensemble de-noising and exceeds a same-tier decoy</w:t>
      </w:r>
      <w:r>
        <w:rPr>
          <w:iCs/>
          <w:i/>
        </w:rPr>
        <w:t xml:space="preserve"> </w:t>
      </w:r>
      <w:r>
        <w:rPr>
          <w:iCs/>
          <w:i/>
        </w:rPr>
        <w:t xml:space="preserve">null in its unbiased design frame — a de-noised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foothold</w:t>
      </w:r>
      <w:r>
        <w:rPr>
          <w:iCs/>
          <w:i/>
        </w:rPr>
        <w:t xml:space="preserve">, not a demonstrated specificity result, since the</w:t>
      </w:r>
      <w:r>
        <w:rPr>
          <w:iCs/>
          <w:i/>
        </w:rPr>
        <w:t xml:space="preserve"> </w:t>
      </w:r>
      <w:r>
        <w:rPr>
          <w:iCs/>
          <w:i/>
        </w:rPr>
        <w:t xml:space="preserve">null does not control the generative step or the best-of-N selection</w:t>
      </w:r>
      <w:r>
        <w:t xml:space="preserve">, consistent with the finding (§2.7) that</w:t>
      </w:r>
      <w:r>
        <w:t xml:space="preserve"> </w:t>
      </w:r>
      <w:r>
        <w:t xml:space="preserve">this cryptic pocket is a fragile place to source a robust margin. The natural resolutions — a generation-matched</w:t>
      </w:r>
      <w:r>
        <w:t xml:space="preserve"> </w:t>
      </w:r>
      <w:r>
        <w:t xml:space="preserve">decoy null, ensemble scoring over the druggable release sub-ensemble, and, as the affinity-grade tier, relative</w:t>
      </w:r>
      <w:r>
        <w:t xml:space="preserve"> </w:t>
      </w:r>
      <w:r>
        <w:t xml:space="preserve">selectivity free-energy perturbation — are none of them run here.</w:t>
      </w:r>
    </w:p>
    <w:bookmarkEnd w:id="27"/>
    <w:bookmarkStart w:id="28" w:name="Xba0d30c4fe9372f3ec5dcbc7d771bb90b94be8a"/>
    <w:p>
      <w:pPr>
        <w:pStyle w:val="Heading3"/>
      </w:pPr>
      <w:r>
        <w:t xml:space="preserve">2.7 Selectivity architecture: a binder × ternary budget</w:t>
      </w:r>
    </w:p>
    <w:p>
      <w:pPr>
        <w:pStyle w:val="FirstParagraph"/>
      </w:pPr>
      <w:r>
        <w:t xml:space="preserve">Comparing NR4A1/2/3 divergence in the orthosteric cryptic pocket (the warhead’s contact residues) against</w:t>
      </w:r>
      <w:r>
        <w:t xml:space="preserve"> </w:t>
      </w:r>
      <w:r>
        <w:t xml:space="preserve">the LBD-wide pocket-residue census, the warhead pocket is the</w:t>
      </w:r>
      <w:r>
        <w:t xml:space="preserve"> </w:t>
      </w:r>
      <w:r>
        <w:rPr>
          <w:bCs/>
          <w:b/>
        </w:rPr>
        <w:t xml:space="preserve">most paralogue-divergent zone of the LBD</w:t>
      </w:r>
      <w:r>
        <w:t xml:space="preserve"> </w:t>
      </w:r>
      <w:r>
        <w:t xml:space="preserve">(70 % of contacts divergent versus 43 % across the rest of the LBD; SI §3). The</w:t>
      </w:r>
      <w:r>
        <w:t xml:space="preserve"> </w:t>
      </w:r>
      <w:r>
        <w:t xml:space="preserve">binder’s selectivity problem was therefore never handle scarcity — it is pocket druggability and</w:t>
      </w:r>
      <w:r>
        <w:t xml:space="preserve"> </w:t>
      </w:r>
      <w:r>
        <w:t xml:space="preserve">affinity-margin robustness in a cryptic, least-druggable-of-three pocket. Three design conclusions follow.</w:t>
      </w:r>
      <w:r>
        <w:t xml:space="preserve"> </w:t>
      </w:r>
      <w:r>
        <w:t xml:space="preserve">First, selectivity is a</w:t>
      </w:r>
      <w:r>
        <w:t xml:space="preserve"> </w:t>
      </w:r>
      <w:r>
        <w:rPr>
          <w:bCs/>
          <w:b/>
        </w:rPr>
        <w:t xml:space="preserve">multiplicative</w:t>
      </w:r>
      <w:r>
        <w:t xml:space="preserve"> </w:t>
      </w:r>
      <w:r>
        <w:t xml:space="preserve">budget across binding × ternary × kinetics whose factors compound:</w:t>
      </w:r>
      <w:r>
        <w:t xml:space="preserve"> </w:t>
      </w:r>
      <w:r>
        <w:t xml:space="preserve">a selective binder is strictly valuable and remains the primary goal (</w:t>
      </w:r>
      <w:r>
        <w:rPr>
          <w:rStyle w:val="VerbatimChar"/>
        </w:rPr>
        <w:t xml:space="preserve">denovo_401</w:t>
      </w:r>
      <w:r>
        <w:t xml:space="preserve"> </w:t>
      </w:r>
      <w:r>
        <w:t xml:space="preserve">provides a</w:t>
      </w:r>
      <w:r>
        <w:t xml:space="preserve"> </w:t>
      </w:r>
      <w:r>
        <w:t xml:space="preserve">decoy-null-screened, if fragile, foothold — not a fully controlled specificity result, since the null does not</w:t>
      </w:r>
      <w:r>
        <w:t xml:space="preserve"> </w:t>
      </w:r>
      <w:r>
        <w:t xml:space="preserve">control the generative step; species resolution withdrew the second candidate denovo_111 as protonation-fragile). We had hoped the</w:t>
      </w:r>
      <w:r>
        <w:t xml:space="preserve"> </w:t>
      </w:r>
      <w:r>
        <w:rPr>
          <w:bCs/>
          <w:b/>
        </w:rPr>
        <w:t xml:space="preserve">ternary</w:t>
      </w:r>
      <w:r>
        <w:t xml:space="preserve"> </w:t>
      </w:r>
      <w:r>
        <w:t xml:space="preserve">could</w:t>
      </w:r>
      <w:r>
        <w:t xml:space="preserve"> </w:t>
      </w:r>
      <w:r>
        <w:rPr>
          <w:iCs/>
          <w:i/>
        </w:rPr>
        <w:t xml:space="preserve">multiply</w:t>
      </w:r>
      <w:r>
        <w:t xml:space="preserve"> </w:t>
      </w:r>
      <w:r>
        <w:t xml:space="preserve">that margin;</w:t>
      </w:r>
      <w:r>
        <w:t xml:space="preserve"> </w:t>
      </w:r>
      <w:r>
        <w:rPr>
          <w:bCs/>
          <w:b/>
        </w:rPr>
        <w:t xml:space="preserve">we tested it and it</w:t>
      </w:r>
      <w:r>
        <w:rPr>
          <w:bCs/>
          <w:b/>
        </w:rP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(for a representative PROTAC). We validated the ternary pipeline (Boltz-2) on the CRBN + lenalidomide</w:t>
      </w:r>
      <w:r>
        <w:t xml:space="preserve"> </w:t>
      </w:r>
      <w:r>
        <w:t xml:space="preserve">control (glutarimide seated in the tri-Trp pocket, 2.85 Å to W380, ligand-iPTM 0.99 — a necessary sanity check</w:t>
      </w:r>
      <w:r>
        <w:t xml:space="preserve"> </w:t>
      </w:r>
      <w:r>
        <w:t xml:space="preserve">on an in-distribution complex, not a generalization proof), then ran the actual</w:t>
      </w:r>
      <w:r>
        <w:t xml:space="preserve"> </w:t>
      </w:r>
      <w:r>
        <w:rPr>
          <w:bCs/>
          <w:b/>
        </w:rPr>
        <w:t xml:space="preserve">NR4A3/NR4A1/NR4A2-LBD + CRBN</w:t>
      </w:r>
      <w:r>
        <w:rPr>
          <w:bCs/>
          <w:b/>
        </w:rPr>
        <w:t xml:space="preserve"> </w:t>
      </w:r>
      <w:r>
        <w:rPr>
          <w:bCs/>
          <w:b/>
        </w:rPr>
        <w:t xml:space="preserve">+ denovo_401-PROTAC</w:t>
      </w:r>
      <w:r>
        <w:t xml:space="preserve"> </w:t>
      </w:r>
      <w:r>
        <w:t xml:space="preserve">ternaries.</w:t>
      </w:r>
      <w:r>
        <w:t xml:space="preserve"> </w:t>
      </w:r>
      <w:r>
        <w:rPr>
          <w:bCs/>
          <w:b/>
        </w:rPr>
        <w:t xml:space="preserve">All three form an equally productive-geometry complex</w:t>
      </w:r>
      <w:r>
        <w:t xml:space="preserve"> </w:t>
      </w:r>
      <w:r>
        <w:t xml:space="preserve">— the PROTAC bridges</w:t>
      </w:r>
      <w:r>
        <w:t xml:space="preserve"> </w:t>
      </w:r>
      <w:r>
        <w:t xml:space="preserve">LBD and CRBN and each LBD presents an exposed lysine within ubiquitin reach of CRBN (NR4A3 K195 3.1 Å, NR4A1 K53</w:t>
      </w:r>
      <w:r>
        <w:t xml:space="preserve"> </w:t>
      </w:r>
      <w:r>
        <w:t xml:space="preserve">2.3 Å, NR4A2 K175 4.0 Å), with comparable within-noise confidence (iptm 0.72/0.83/0.82). So the ternary is</w:t>
      </w:r>
      <w:r>
        <w:t xml:space="preserve"> </w:t>
      </w:r>
      <w:r>
        <w:rPr>
          <w:bCs/>
          <w:b/>
        </w:rPr>
        <w:t xml:space="preserve">productive (the degrader mechanism is viable) but not paralogue-selective</w:t>
      </w:r>
      <w:r>
        <w:t xml:space="preserve"> </w:t>
      </w:r>
      <w:r>
        <w:t xml:space="preserve">for this linker: it does not add</w:t>
      </w:r>
      <w:r>
        <w:t xml:space="preserve"> </w:t>
      </w:r>
      <w:r>
        <w:t xml:space="preserve">NR4A3 selectivity on top of the binder. This is mechanistically unsurprising — the PROTAC engages the conserved</w:t>
      </w:r>
      <w:r>
        <w:t xml:space="preserve"> </w:t>
      </w:r>
      <w:r>
        <w:t xml:space="preserve">LBD fold — and it</w:t>
      </w:r>
      <w:r>
        <w:t xml:space="preserve"> </w:t>
      </w:r>
      <w:r>
        <w:rPr>
          <w:iCs/>
          <w:i/>
        </w:rPr>
        <w:t xml:space="preserve">narrows</w:t>
      </w:r>
      <w:r>
        <w:t xml:space="preserve"> </w:t>
      </w:r>
      <w:r>
        <w:t xml:space="preserve">the selectivity budget onto the</w:t>
      </w:r>
      <w:r>
        <w:t xml:space="preserve"> </w:t>
      </w:r>
      <w:r>
        <w:rPr>
          <w:bCs/>
          <w:b/>
        </w:rPr>
        <w:t xml:space="preserve">binder</w:t>
      </w:r>
      <w:r>
        <w:t xml:space="preserve"> </w:t>
      </w:r>
      <w:r>
        <w:t xml:space="preserve">(+ pharmacokinetics/CNS-exclusion for</w:t>
      </w:r>
      <w:r>
        <w:t xml:space="preserve"> </w:t>
      </w:r>
      <w:r>
        <w:t xml:space="preserve">NR4A2, whose tox is CNS-localized and EMC is a peripheral sarcoma).</w:t>
      </w:r>
      <w:r>
        <w:t xml:space="preserve"> </w:t>
      </w:r>
      <w:r>
        <w:rPr>
          <w:bCs/>
          <w:b/>
        </w:rPr>
        <w:t xml:space="preserve">But the ternary is not a spent lever:</w:t>
      </w:r>
      <w:r>
        <w:t xml:space="preserve"> </w:t>
      </w:r>
      <w:r>
        <w:t xml:space="preserve">mapping paralogue divergence at the predicted NR4A3–CRBN interface shows</w:t>
      </w:r>
      <w:r>
        <w:t xml:space="preserve"> </w:t>
      </w:r>
      <w:r>
        <w:rPr>
          <w:bCs/>
          <w:b/>
        </w:rPr>
        <w:t xml:space="preserve">8 of 33 interface residues differ</w:t>
      </w:r>
      <w:r>
        <w:rPr>
          <w:bCs/>
          <w:b/>
        </w:rPr>
        <w:t xml:space="preserve"> </w:t>
      </w:r>
      <w:r>
        <w:rPr>
          <w:bCs/>
          <w:b/>
        </w:rPr>
        <w:t xml:space="preserve">from each paralogue (6 from both: E545/T563/Q570/S571/L576/E580/V588…), on a surface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distinct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pocket</w:t>
      </w:r>
      <w:r>
        <w:rPr>
          <w:bCs/>
          <w:b/>
        </w:rPr>
        <w:t xml:space="preserve"> </w:t>
      </w:r>
      <w:r>
        <w:rPr>
          <w:bCs/>
          <w:b/>
        </w:rPr>
        <w:t xml:space="preserve">handles</w:t>
      </w:r>
      <w:r>
        <w:t xml:space="preserve"> </w:t>
      </w:r>
      <w:r>
        <w:t xml:space="preserve">— so ternary selectivity is</w:t>
      </w:r>
      <w:r>
        <w:t xml:space="preserve"> </w:t>
      </w:r>
      <w:r>
        <w:rPr>
          <w:bCs/>
          <w:b/>
        </w:rPr>
        <w:t xml:space="preserve">structurally available</w:t>
      </w:r>
      <w:r>
        <w:t xml:space="preserve"> </w:t>
      </w:r>
      <w:r>
        <w:t xml:space="preserve">(a divergent patch a linker could be designed</w:t>
      </w:r>
      <w:r>
        <w:t xml:space="preserve"> </w:t>
      </w:r>
      <w:r>
        <w:t xml:space="preserve">toward), just not realized by this representative linker, and the binder and ternary would then draw on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residue sets (a genuine multiplicative gain). Caveats: one representative linker/exit vector (the</w:t>
      </w:r>
      <w:r>
        <w:t xml:space="preserve"> </w:t>
      </w:r>
      <w:r>
        <w:t xml:space="preserve">interface — and its divergent-patch set — will shift with the linker); Boltz gives a single ternary pose, not</w:t>
      </w:r>
      <w:r>
        <w:t xml:space="preserve"> </w:t>
      </w:r>
      <w:r>
        <w:t xml:space="preserve">the cooperativity (α)/productive-ensemble that sets real degradation selectivity, so single-pose docking can</w:t>
      </w:r>
      <w:r>
        <w:t xml:space="preserve"> </w:t>
      </w:r>
      <w:r>
        <w:rPr>
          <w:iCs/>
          <w:i/>
        </w:rPr>
        <w:t xml:space="preserve">flag availability</w:t>
      </w:r>
      <w:r>
        <w:t xml:space="preserve"> </w:t>
      </w:r>
      <w:r>
        <w:t xml:space="preserve">but cannot</w:t>
      </w:r>
      <w:r>
        <w:t xml:space="preserve"> </w:t>
      </w:r>
      <w:r>
        <w:rPr>
          <w:iCs/>
          <w:i/>
        </w:rPr>
        <w:t xml:space="preserve">optimize or validate</w:t>
      </w:r>
      <w:r>
        <w:t xml:space="preserve"> </w:t>
      </w:r>
      <w:r>
        <w:t xml:space="preserve">ternary selectivity (a ternary-ensemble method is the</w:t>
      </w:r>
      <w:r>
        <w:t xml:space="preserve"> </w:t>
      </w:r>
      <w:r>
        <w:t xml:space="preserve">right tool — a method-watch item); the Lys-proximity is a CRBN-only proxy (no full CRL4^CRBN + E2~Ub). Third,</w:t>
      </w:r>
      <w:r>
        <w:t xml:space="preserve"> </w:t>
      </w:r>
      <w:r>
        <w:rPr>
          <w:bCs/>
          <w:b/>
        </w:rPr>
        <w:t xml:space="preserve">fusion-versus-wild-type selectivity is</w:t>
      </w:r>
      <w:r>
        <w:rPr>
          <w:bCs/>
          <w:b/>
        </w:rPr>
        <w:t xml:space="preserve"> </w:t>
      </w:r>
      <w:r>
        <w:rPr>
          <w:bCs/>
          <w:b/>
        </w:rPr>
        <w:t xml:space="preserve">unobtainable from the degrader</w:t>
      </w:r>
      <w:r>
        <w:t xml:space="preserve"> </w:t>
      </w:r>
      <w:r>
        <w:t xml:space="preserve">at any stage — the warhead binds an LBD identical in fusion and wild-type —</w:t>
      </w:r>
      <w:r>
        <w:t xml:space="preserve"> </w:t>
      </w:r>
      <w:r>
        <w:t xml:space="preserve">so tumour-exclusivity is the complementary antisense route’s job, and the degrader’s honest scope is</w:t>
      </w:r>
      <w:r>
        <w:t xml:space="preserve"> </w:t>
      </w:r>
      <w:r>
        <w:t xml:space="preserve">paralogue selectivity plus accepted wild-type-NR4A3 loss.</w:t>
      </w:r>
    </w:p>
    <w:bookmarkEnd w:id="28"/>
    <w:bookmarkEnd w:id="29"/>
    <w:bookmarkStart w:id="30" w:name="indication-landscape"/>
    <w:p>
      <w:pPr>
        <w:pStyle w:val="Heading2"/>
      </w:pPr>
      <w:r>
        <w:t xml:space="preserve">3. Indication landscape</w:t>
      </w:r>
    </w:p>
    <w:p>
      <w:pPr>
        <w:pStyle w:val="FirstParagraph"/>
      </w:pPr>
      <w:r>
        <w:t xml:space="preserve">The family-wide ensembles make the degrader a</w:t>
      </w:r>
      <w:r>
        <w:t xml:space="preserve"> </w:t>
      </w:r>
      <w:r>
        <w:rPr>
          <w:iCs/>
          <w:i/>
        </w:rPr>
        <w:t xml:space="preserve">programmable</w:t>
      </w:r>
      <w:r>
        <w:t xml:space="preserve"> </w:t>
      </w:r>
      <w:r>
        <w:t xml:space="preserve">design axis. The primary</w:t>
      </w:r>
      <w:r>
        <w:t xml:space="preserve"> </w:t>
      </w:r>
      <w:r>
        <w:rPr>
          <w:bCs/>
          <w:b/>
        </w:rPr>
        <w:t xml:space="preserve">NR4A3-selective</w:t>
      </w:r>
      <w:r>
        <w:t xml:space="preserve"> </w:t>
      </w:r>
      <w:r>
        <w:t xml:space="preserve">path addresses EMC (clean single-driver proof-of-concept), AciCC (the more common, NR4A3-over-expression</w:t>
      </w:r>
      <w:r>
        <w:t xml:space="preserve"> </w:t>
      </w:r>
      <w:r>
        <w:t xml:space="preserve">indication), and other NR4A3-rearranged sarcomas. A deliberately</w:t>
      </w:r>
      <w:r>
        <w:t xml:space="preserve"> </w:t>
      </w:r>
      <w:r>
        <w:rPr>
          <w:bCs/>
          <w:b/>
        </w:rPr>
        <w:t xml:space="preserve">pan-NR4A</w:t>
      </w:r>
      <w:r>
        <w:t xml:space="preserve"> </w:t>
      </w:r>
      <w:r>
        <w:t xml:space="preserve">profile (engaging the conserved</w:t>
      </w:r>
      <w:r>
        <w:t xml:space="preserve"> </w:t>
      </w:r>
      <w:r>
        <w:t xml:space="preserve">pocket residues) is a distinct second design mode for</w:t>
      </w:r>
      <w:r>
        <w:t xml:space="preserve"> </w:t>
      </w:r>
      <w:r>
        <w:rPr>
          <w:iCs/>
          <w:i/>
        </w:rPr>
        <w:t xml:space="preserve">ex-vivo</w:t>
      </w:r>
      <w:r>
        <w:t xml:space="preserve"> </w:t>
      </w:r>
      <w:r>
        <w:t xml:space="preserve">immuno-oncology, where reversing CD8⁺ T-cell</w:t>
      </w:r>
      <w:r>
        <w:t xml:space="preserve"> </w:t>
      </w:r>
      <w:r>
        <w:t xml:space="preserve">exhaustion requires degrading all three NR4As [Chen 2019]; it is scoped to transient ex-vivo use, not</w:t>
      </w:r>
      <w:r>
        <w:t xml:space="preserve"> </w:t>
      </w:r>
      <w:r>
        <w:t xml:space="preserve">systemic therapy. The</w:t>
      </w:r>
      <w:r>
        <w:t xml:space="preserve"> </w:t>
      </w:r>
      <w:r>
        <w:rPr>
          <w:bCs/>
          <w:b/>
        </w:rPr>
        <w:t xml:space="preserve">NR4A1+NR4A3</w:t>
      </w:r>
      <w:r>
        <w:t xml:space="preserve"> </w:t>
      </w:r>
      <w:r>
        <w:t xml:space="preserve">combination is an explicit anti-target (combined loss causes AML</w:t>
      </w:r>
      <w:r>
        <w:t xml:space="preserve"> </w:t>
      </w:r>
      <w:r>
        <w:t xml:space="preserve">[Mullican 2007]); showing the method can design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NR4A3-only and</w:t>
      </w:r>
      <w:r>
        <w:t xml:space="preserve"> </w:t>
      </w:r>
      <w:r>
        <w:rPr>
          <w:iCs/>
          <w:i/>
        </w:rPr>
        <w:t xml:space="preserve">away from</w:t>
      </w:r>
      <w:r>
        <w:t xml:space="preserve"> </w:t>
      </w:r>
      <w:r>
        <w:t xml:space="preserve">NR4A1+NR4A3 is itself a</w:t>
      </w:r>
      <w:r>
        <w:t xml:space="preserve"> </w:t>
      </w:r>
      <w:r>
        <w:t xml:space="preserve">safety-design result. EMC is the entry point, not the endpoint.</w:t>
      </w:r>
    </w:p>
    <w:bookmarkEnd w:id="30"/>
    <w:bookmarkStart w:id="31" w:name="methods-summary"/>
    <w:p>
      <w:pPr>
        <w:pStyle w:val="Heading2"/>
      </w:pPr>
      <w:r>
        <w:t xml:space="preserve">4. Methods (summary)</w:t>
      </w:r>
    </w:p>
    <w:p>
      <w:pPr>
        <w:pStyle w:val="FirstParagraph"/>
      </w:pPr>
      <w:r>
        <w:t xml:space="preserve">Structure: AlphaFold2 (AFDB) + fpocket. Cryptic pocket: OpenMM + PLUMED well-tempered metadynamics on the</w:t>
      </w:r>
      <w:r>
        <w:t xml:space="preserve"> </w:t>
      </w:r>
      <w:r>
        <w:t xml:space="preserve">Pocket-5 Rg coordinate, with an unbiased release simulation (OpenMM, no bias) seeded at the low-energy</w:t>
      </w:r>
      <w:r>
        <w:t xml:space="preserve"> </w:t>
      </w:r>
      <w:r>
        <w:t xml:space="preserve">druggable frame for the metastability/druggability test. Calibration: a nuclear-receptor LBD panel.</w:t>
      </w:r>
      <w:r>
        <w:t xml:space="preserve"> </w:t>
      </w:r>
      <w:r>
        <w:t xml:space="preserve">Selectivity: BLOSUM62 alignment versus NR4A1 (P22736) and NR4A2 (P43354); the same metadynamics pipeline run</w:t>
      </w:r>
      <w:r>
        <w:t xml:space="preserve"> </w:t>
      </w:r>
      <w:r>
        <w:t xml:space="preserve">on all three paralogues for state-matched ensembles. Docking: smina of a ChEMBL NR4A library into each</w:t>
      </w:r>
      <w:r>
        <w:t xml:space="preserve"> </w:t>
      </w:r>
      <w:r>
        <w:t xml:space="preserve">paralogue’s opened conformer. Endpoint free energy: single-snapshot and multi-snapshot one-trajectory MM-GBSA</w:t>
      </w:r>
      <w:r>
        <w:t xml:space="preserve"> </w:t>
      </w:r>
      <w:r>
        <w:t xml:space="preserve">(OpenFF/GAFF-2.11, GBn2 implicit solvent, AM1-BCC charges), read as verdict/direction. De-novo design:</w:t>
      </w:r>
      <w:r>
        <w:t xml:space="preserve"> </w:t>
      </w:r>
      <w:r>
        <w:t xml:space="preserve">DiffSBDD pocket-conditioned diffusion on the druggable release frame, with RDKit cheminformatics,</w:t>
      </w:r>
      <w:r>
        <w:t xml:space="preserve"> </w:t>
      </w:r>
      <w:r>
        <w:t xml:space="preserve">structural-alert, and pose-handle-contact triage. Specificity control: 38 non-NR4A marketed drugs through the</w:t>
      </w:r>
      <w:r>
        <w:t xml:space="preserve"> </w:t>
      </w:r>
      <w:r>
        <w:t xml:space="preserve">identical funnel, used as a calibrated null (single- and multi-snapshot). Full parameters and the pre-</w:t>
      </w:r>
      <w:r>
        <w:t xml:space="preserve"> </w:t>
      </w:r>
      <w:r>
        <w:t xml:space="preserve">registered gates are in SI §1–§2. Jobs were run as managed cloud GPU/CPU tasks; all analysis code is public</w:t>
      </w:r>
      <w:r>
        <w:t xml:space="preserve"> </w:t>
      </w:r>
      <w:r>
        <w:t xml:space="preserve">(Data &amp; Code Availability).</w:t>
      </w:r>
    </w:p>
    <w:bookmarkEnd w:id="31"/>
    <w:bookmarkStart w:id="32" w:name="limitations"/>
    <w:p>
      <w:pPr>
        <w:pStyle w:val="Heading2"/>
      </w:pPr>
      <w:r>
        <w:t xml:space="preserve">5. Limitations</w:t>
      </w:r>
    </w:p>
    <w:p>
      <w:pPr>
        <w:pStyle w:val="FirstParagraph"/>
      </w:pPr>
      <w:r>
        <w:t xml:space="preserve">This work is in-silico throughout; no molecule was synthesized and there is no wet-lab validation, so all</w:t>
      </w:r>
      <w:r>
        <w:t xml:space="preserve"> </w:t>
      </w:r>
      <w:r>
        <w:t xml:space="preserve">candidates are predictions. The receptor is an AF2 model (NR4A3 is uncrystallized); the metadynamics</w:t>
      </w:r>
      <w:r>
        <w:t xml:space="preserve"> </w:t>
      </w:r>
      <w:r>
        <w:t xml:space="preserve">addresses the single-snapshot limitation but the opening free-energy frontier is not fully converged, and</w:t>
      </w:r>
      <w:r>
        <w:t xml:space="preserve"> </w:t>
      </w:r>
      <w:r>
        <w:t xml:space="preserve">the druggability case is a</w:t>
      </w:r>
      <w:r>
        <w:t xml:space="preserve"> </w:t>
      </w:r>
      <w:r>
        <w:rPr>
          <w:bCs/>
          <w:b/>
        </w:rPr>
        <w:t xml:space="preserve">feasibility</w:t>
      </w:r>
      <w:r>
        <w:t xml:space="preserve"> </w:t>
      </w:r>
      <w:r>
        <w:t xml:space="preserve">result — an induced-fit cavity druggable ~a quarter of the time,</w:t>
      </w:r>
      <w:r>
        <w:t xml:space="preserve"> </w:t>
      </w:r>
      <w:r>
        <w:t xml:space="preserve">not an always-open pocket. The lead</w:t>
      </w:r>
      <w:r>
        <w:t xml:space="preserve"> </w:t>
      </w:r>
      <w:r>
        <w:rPr>
          <w:rStyle w:val="VerbatimChar"/>
        </w:rPr>
        <w:t xml:space="preserve">denovo_401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receptor-frame-dependent</w:t>
      </w:r>
      <w:r>
        <w:t xml:space="preserve"> </w:t>
      </w:r>
      <w:r>
        <w:t xml:space="preserve">predicted-selective</w:t>
      </w:r>
      <w:r>
        <w:t xml:space="preserve"> </w:t>
      </w:r>
      <w:r>
        <w:t xml:space="preserve">chemotype: it exceeds a same-tier decoy null in its design frame but not in the biased metad-opened frame, and</w:t>
      </w:r>
      <w:r>
        <w:t xml:space="preserve"> </w:t>
      </w:r>
      <w:r>
        <w:t xml:space="preserve">that null controls the scoring step only — not the generative step (the candidate, unlike the decoys, was fit</w:t>
      </w:r>
      <w:r>
        <w:t xml:space="preserve"> </w:t>
      </w:r>
      <w:r>
        <w:t xml:space="preserve">to the receptor) or the best-of-N selection — so it is a</w:t>
      </w:r>
      <w:r>
        <w:t xml:space="preserve"> </w:t>
      </w:r>
      <w:r>
        <w:rPr>
          <w:bCs/>
          <w:b/>
        </w:rPr>
        <w:t xml:space="preserve">de-noised foothold, not a controlled specificity</w:t>
      </w:r>
      <w:r>
        <w:rPr>
          <w:bCs/>
          <w:b/>
        </w:rPr>
        <w:t xml:space="preserve"> </w:t>
      </w:r>
      <w:r>
        <w:rPr>
          <w:bCs/>
          <w:b/>
        </w:rPr>
        <w:t xml:space="preserve">result</w:t>
      </w:r>
      <w:r>
        <w:t xml:space="preserve"> </w:t>
      </w:r>
      <w:r>
        <w:t xml:space="preserve">(the generated set is not enriched over the decoys, bounding the confound). A pre-FEP species sweep</w:t>
      </w:r>
      <w:r>
        <w:t xml:space="preserve"> </w:t>
      </w:r>
      <w:r>
        <w:t xml:space="preserve">resolved denovo_401’s stereochemistry (selectivity is stereochemistry-robust; the generated diastereomer is</w:t>
      </w:r>
      <w:r>
        <w:t xml:space="preserve"> </w:t>
      </w:r>
      <w:r>
        <w:t xml:space="preserve">near-optimal) and</w:t>
      </w:r>
      <w:r>
        <w:t xml:space="preserve"> </w:t>
      </w:r>
      <w:r>
        <w:rPr>
          <w:bCs/>
          <w:b/>
        </w:rPr>
        <w:t xml:space="preserve">withdrew the second candidate denovo_111</w:t>
      </w:r>
      <w:r>
        <w:t xml:space="preserve"> </w:t>
      </w:r>
      <w:r>
        <w:t xml:space="preserve">(its physiological cation reverses selectivity).</w:t>
      </w:r>
      <w:r>
        <w:t xml:space="preserve"> </w:t>
      </w:r>
      <w:r>
        <w:t xml:space="preserve">denovo_401’s endpoint MM-GBSA is single-trajectory and not affinity-grade, and selectivity free-energy</w:t>
      </w:r>
      <w:r>
        <w:t xml:space="preserve"> </w:t>
      </w:r>
      <w:r>
        <w:t xml:space="preserve">perturbation remains un-run (the one remaining affinity tier). The degradation-selectivity (ternary) pipeline</w:t>
      </w:r>
      <w:r>
        <w:t xml:space="preserve"> </w:t>
      </w:r>
      <w:r>
        <w:t xml:space="preserve">is validated on the CRBN/IMiD control (in-distribution, a sanity check not a generalization test); the actual</w:t>
      </w:r>
      <w:r>
        <w:t xml:space="preserve"> </w:t>
      </w:r>
      <w:r>
        <w:t xml:space="preserve">NR4A3/NR4A1/NR4A2 ternaries were then predicted for a</w:t>
      </w:r>
      <w:r>
        <w:t xml:space="preserve"> </w:t>
      </w:r>
      <w:r>
        <w:rPr>
          <w:bCs/>
          <w:b/>
        </w:rPr>
        <w:t xml:space="preserve">representative</w:t>
      </w:r>
      <w:r>
        <w:t xml:space="preserve"> </w:t>
      </w:r>
      <w:r>
        <w:t xml:space="preserve">denovo_401-PROTAC and all three form an</w:t>
      </w:r>
      <w:r>
        <w:t xml:space="preserve"> </w:t>
      </w:r>
      <w:r>
        <w:t xml:space="preserve">equally productive complex — so the ternary is a single-pose, single-linker prediction that shows the mechanism</w:t>
      </w:r>
      <w:r>
        <w:t xml:space="preserve"> </w:t>
      </w:r>
      <w:r>
        <w:t xml:space="preserve">is geometrically viable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paralogue-selectivity lever (Boltz gives one pose, not the cooperativity/</w:t>
      </w:r>
      <w:r>
        <w:t xml:space="preserve"> </w:t>
      </w:r>
      <w:r>
        <w:t xml:space="preserve">productive-ensemble that sets real degradation selectivity; a different linker could differ). Binding</w:t>
      </w:r>
      <w:r>
        <w:t xml:space="preserve"> </w:t>
      </w:r>
      <w:r>
        <w:t xml:space="preserve">selectivity is necessary but not sufficient for</w:t>
      </w:r>
      <w:r>
        <w:t xml:space="preserve"> </w:t>
      </w:r>
      <w:r>
        <w:rPr>
          <w:iCs/>
          <w:i/>
        </w:rPr>
        <w:t xml:space="preserve">degradation</w:t>
      </w:r>
      <w:r>
        <w:t xml:space="preserve"> </w:t>
      </w:r>
      <w:r>
        <w:t xml:space="preserve">selectivity. The therapeutic rationale assumes EMC remains dependent on NR4A3 for</w:t>
      </w:r>
      <w:r>
        <w:t xml:space="preserve"> </w:t>
      </w:r>
      <w:r>
        <w:t xml:space="preserve">survival — supported by a transfer prior from reliably fusion-addicted EWSR1/FET-fusion sarcomas and by</w:t>
      </w:r>
      <w:r>
        <w:t xml:space="preserve"> </w:t>
      </w:r>
      <w:r>
        <w:t xml:space="preserve">EMC-native evidence that the fusion is a functional transcriptional driver [Filion 2009], but</w:t>
      </w:r>
      <w:r>
        <w:t xml:space="preserve"> </w:t>
      </w:r>
      <w:r>
        <w:rPr>
          <w:bCs/>
          <w:b/>
        </w:rPr>
        <w:t xml:space="preserve">not yet</w:t>
      </w:r>
      <w:r>
        <w:rPr>
          <w:bCs/>
          <w:b/>
        </w:rPr>
        <w:t xml:space="preserve"> </w:t>
      </w:r>
      <w:r>
        <w:rPr>
          <w:bCs/>
          <w:b/>
        </w:rPr>
        <w:t xml:space="preserve">demonstrated in EMC</w:t>
      </w:r>
      <w:r>
        <w:t xml:space="preserve">; the decisive acute-degradation (dTAG) experiment is delegated to wet-lab collaborators.</w:t>
      </w:r>
      <w:r>
        <w:t xml:space="preserve"> </w:t>
      </w:r>
      <w:r>
        <w:t xml:space="preserve">The strongest honest claim is that NR4A3’s orthosteric pocket is</w:t>
      </w:r>
      <w:r>
        <w:t xml:space="preserve"> </w:t>
      </w:r>
      <w:r>
        <w:rPr>
          <w:iCs/>
          <w:i/>
        </w:rPr>
        <w:t xml:space="preserve">computationally tractable as a dynamic,</w:t>
      </w:r>
      <w:r>
        <w:rPr>
          <w:iCs/>
          <w:i/>
        </w:rPr>
        <w:t xml:space="preserve"> </w:t>
      </w:r>
      <w:r>
        <w:rPr>
          <w:iCs/>
          <w:i/>
        </w:rPr>
        <w:t xml:space="preserve">induced-fit site</w:t>
      </w:r>
      <w:r>
        <w:t xml:space="preserve">, and that a selective warhead can be</w:t>
      </w:r>
      <w:r>
        <w:t xml:space="preserve"> </w:t>
      </w:r>
      <w:r>
        <w:rPr>
          <w:iCs/>
          <w:i/>
        </w:rPr>
        <w:t xml:space="preserve">designed for, and predicted to have</w:t>
      </w:r>
      <w:r>
        <w:t xml:space="preserve">, the intended</w:t>
      </w:r>
      <w:r>
        <w:t xml:space="preserve"> </w:t>
      </w:r>
      <w:r>
        <w:t xml:space="preserve">profile — not that a selective degrader has been achieved.</w:t>
      </w:r>
    </w:p>
    <w:bookmarkEnd w:id="32"/>
    <w:bookmarkStart w:id="33" w:name="data-code-availability"/>
    <w:p>
      <w:pPr>
        <w:pStyle w:val="Heading2"/>
      </w:pPr>
      <w:r>
        <w:t xml:space="preserve">Data &amp; Code Availability</w:t>
      </w:r>
    </w:p>
    <w:p>
      <w:pPr>
        <w:pStyle w:val="FirstParagraph"/>
      </w:pPr>
      <w:r>
        <w:t xml:space="preserve">All analysis code, input models, and result summaries are in the public project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github.com/trimcrae/Rare-cancers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); large simulation trajectories and endpoint-energy outputs</w:t>
      </w:r>
      <w:r>
        <w:t xml:space="preserve"> </w:t>
      </w:r>
      <w:r>
        <w:t xml:space="preserve">are available on request. The pre-registration and deviation log (SI §1), pre-registered gate outcomes (SI §2), full</w:t>
      </w:r>
      <w:r>
        <w:t xml:space="preserve"> </w:t>
      </w:r>
      <w:r>
        <w:t xml:space="preserve">selectivity-architecture analysis (SI §3), and adversarial self-review (SI §4) are provided as</w:t>
      </w:r>
      <w:r>
        <w:t xml:space="preserve"> </w:t>
      </w:r>
      <w:r>
        <w:t xml:space="preserve">Supplementary Information.</w:t>
      </w:r>
    </w:p>
    <w:bookmarkEnd w:id="33"/>
    <w:bookmarkStart w:id="34" w:name="competing-interests-funding"/>
    <w:p>
      <w:pPr>
        <w:pStyle w:val="Heading2"/>
      </w:pPr>
      <w:r>
        <w:t xml:space="preserve">Competing interests / Funding</w:t>
      </w:r>
    </w:p>
    <w:p>
      <w:pPr>
        <w:pStyle w:val="FirstParagraph"/>
      </w:pPr>
      <w:r>
        <w:t xml:space="preserve">No funding was received for this work. The author declares no competing interests.</w:t>
      </w:r>
    </w:p>
    <w:bookmarkEnd w:id="34"/>
    <w:bookmarkStart w:id="35" w:name="ai-assistance-statement"/>
    <w:p>
      <w:pPr>
        <w:pStyle w:val="Heading2"/>
      </w:pPr>
      <w:r>
        <w:t xml:space="preserve">AI-assistance statement</w:t>
      </w:r>
    </w:p>
    <w:p>
      <w:pPr>
        <w:pStyle w:val="FirstParagraph"/>
      </w:pPr>
      <w:r>
        <w:t xml:space="preserve">Computational pipelines, analysis, and manuscript drafting were carried out with substantial assistance from</w:t>
      </w:r>
      <w:r>
        <w:t xml:space="preserve"> </w:t>
      </w:r>
      <w:r>
        <w:t xml:space="preserve">an AI coding assistant (Anthropic Claude), under human direction; all results derive from the described,</w:t>
      </w:r>
      <w:r>
        <w:t xml:space="preserve"> </w:t>
      </w:r>
      <w:r>
        <w:t xml:space="preserve">reproducible computational methods.</w:t>
      </w: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(Collate to journal format before submission; DOIs/PMIDs verified against Crossref + Europe PMC.)</w:t>
      </w:r>
      <w:r>
        <w:t xml:space="preserve"> </w:t>
      </w:r>
      <w:r>
        <w:t xml:space="preserve">- Wang Z, et al. </w:t>
      </w:r>
      <w:r>
        <w:rPr>
          <w:iCs/>
          <w:i/>
        </w:rPr>
        <w:t xml:space="preserve">Nature</w:t>
      </w:r>
      <w:r>
        <w:t xml:space="preserve"> </w:t>
      </w:r>
      <w:r>
        <w:t xml:space="preserve">423:555–560 (2003). PMID 12774125. (Nurr1; PDB 1OVL.)</w:t>
      </w:r>
      <w:r>
        <w:t xml:space="preserve"> </w:t>
      </w:r>
      <w:r>
        <w:t xml:space="preserve">- de Vera IMS, et al. </w:t>
      </w:r>
      <w:r>
        <w:rPr>
          <w:iCs/>
          <w:i/>
        </w:rPr>
        <w:t xml:space="preserve">Structure</w:t>
      </w:r>
      <w:r>
        <w:t xml:space="preserve"> </w:t>
      </w:r>
      <w:r>
        <w:t xml:space="preserve">27(1):66–77.e5 (2019). doi 10.1016/j.str.2018.10.002. (Nurr1 breathing pocket.)</w:t>
      </w:r>
      <w:r>
        <w:t xml:space="preserve"> </w:t>
      </w:r>
      <w:r>
        <w:t xml:space="preserve">- Lanig H, et al. </w:t>
      </w:r>
      <w:r>
        <w:rPr>
          <w:iCs/>
          <w:i/>
        </w:rPr>
        <w:t xml:space="preserve">PLoS ONE</w:t>
      </w:r>
      <w:r>
        <w:t xml:space="preserve"> </w:t>
      </w:r>
      <w:r>
        <w:t xml:space="preserve">10:e0135246 (2015). doi 10.1371/journal.pone.0135246. (MD cryptic pocket in Nur77/NR4A1.)</w:t>
      </w:r>
      <w:r>
        <w:t xml:space="preserve"> </w:t>
      </w:r>
      <w:r>
        <w:t xml:space="preserve">- Zaienne D, et al. </w:t>
      </w:r>
      <w:r>
        <w:rPr>
          <w:iCs/>
          <w:i/>
        </w:rPr>
        <w:t xml:space="preserve">ChemMedChem</w:t>
      </w:r>
      <w:r>
        <w:t xml:space="preserve"> </w:t>
      </w:r>
      <w:r>
        <w:t xml:space="preserve">17(16):e202200259 (2022). doi 10.1002/cmdc.202200259. (Merk group; experimental druggability of NOR-1/NR4A3 — fragment-derived low-µM inverse agonist.)</w:t>
      </w:r>
      <w:r>
        <w:t xml:space="preserve"> </w:t>
      </w:r>
      <w:r>
        <w:t xml:space="preserve">- Safe S, Oany AR, Tsui WN, et al. </w:t>
      </w:r>
      <w:r>
        <w:rPr>
          <w:iCs/>
          <w:i/>
        </w:rPr>
        <w:t xml:space="preserve">Transcription</w:t>
      </w:r>
      <w:r>
        <w:t xml:space="preserve"> </w:t>
      </w:r>
      <w:r>
        <w:t xml:space="preserve">16:224–260 (2025). doi 10.1080/21541264.2025.2521766. (Review; NR4A3-selective indole-3-carbinol analogues de-repress MYC.)</w:t>
      </w:r>
      <w:r>
        <w:t xml:space="preserve"> </w:t>
      </w:r>
      <w:r>
        <w:t xml:space="preserve">- Willems S, Morozov V, Marschner JA, Merk D.</w:t>
      </w:r>
      <w:r>
        <w:t xml:space="preserve"> </w:t>
      </w:r>
      <w:r>
        <w:rPr>
          <w:iCs/>
          <w:i/>
        </w:rPr>
        <w:t xml:space="preserve">J Med Chem</w:t>
      </w:r>
      <w:r>
        <w:t xml:space="preserve"> </w:t>
      </w:r>
      <w:r>
        <w:t xml:space="preserve">68:19955–19970 (2025). doi 10.1021/acs.jmedchem.5c00459. (NR4A1/2/3 chemical-probe audit; vetted tool set; many putative NR4A ligands don’t bind.)</w:t>
      </w:r>
      <w:r>
        <w:t xml:space="preserve"> </w:t>
      </w:r>
      <w:r>
        <w:t xml:space="preserve">- Munoz-Tello P, Kojetin DJ, et al. </w:t>
      </w:r>
      <w:r>
        <w:rPr>
          <w:iCs/>
          <w:i/>
        </w:rPr>
        <w:t xml:space="preserve">J Med Chem</w:t>
      </w:r>
      <w:r>
        <w:t xml:space="preserve"> </w:t>
      </w:r>
      <w:r>
        <w:t xml:space="preserve">(2020). PMID 33289551; doi 10.1021/acs.jmedchem.0c00894. (NMR: amodiaquine/cytosporone B bind NR4A2 LBD; celastrol/C-DIM12 don’t — disciplines the repurposed matrix.)</w:t>
      </w:r>
      <w:r>
        <w:t xml:space="preserve"> </w:t>
      </w:r>
      <w:r>
        <w:t xml:space="preserve">- Stiller T, Merk D.</w:t>
      </w:r>
      <w:r>
        <w:t xml:space="preserve"> </w:t>
      </w:r>
      <w:r>
        <w:rPr>
          <w:iCs/>
          <w:i/>
        </w:rPr>
        <w:t xml:space="preserve">J Med Chem</w:t>
      </w:r>
      <w:r>
        <w:t xml:space="preserve"> </w:t>
      </w:r>
      <w:r>
        <w:t xml:space="preserve">66(22):15362–15369 (2023). doi 10.1021/acs.jmedchem.3c01467. (Fatty-acid-mimetic NR4A ligands, sub-µM, NOR-1/NR4A3 tested.)</w:t>
      </w:r>
      <w:r>
        <w:t xml:space="preserve"> </w:t>
      </w:r>
      <w:r>
        <w:t xml:space="preserve">- Rajan S, et al. </w:t>
      </w:r>
      <w:r>
        <w:rPr>
          <w:iCs/>
          <w:i/>
        </w:rPr>
        <w:t xml:space="preserve">NeuroMolecular Med</w:t>
      </w:r>
      <w:r>
        <w:t xml:space="preserve"> </w:t>
      </w:r>
      <w:r>
        <w:t xml:space="preserve">(2022). PMID 35482177; PDB 5YD6. (PGA2 covalent Cys566 adduct in Nurr1 LBD — covalent-warhead precedent.)</w:t>
      </w:r>
      <w:r>
        <w:t xml:space="preserve"> </w:t>
      </w:r>
      <w:r>
        <w:t xml:space="preserve">- López-García Ú, Vietor J, Marschner JA, Heering J, Morozov V, Wein T, Merk D.</w:t>
      </w:r>
      <w:r>
        <w:t xml:space="preserve"> </w:t>
      </w:r>
      <w:r>
        <w:rPr>
          <w:iCs/>
          <w:i/>
        </w:rPr>
        <w:t xml:space="preserve">Commun Chem</w:t>
      </w:r>
      <w:r>
        <w:t xml:space="preserve"> </w:t>
      </w:r>
      <w:r>
        <w:t xml:space="preserve">8:159 (2025). doi 10.1038/s42004-025-01553-8. (Vidofludimus/Nurr1; allosteric surface pocket; canonical pocket occluded — the challenge §2.1 engages.)</w:t>
      </w:r>
      <w:r>
        <w:t xml:space="preserve"> </w:t>
      </w:r>
      <w:r>
        <w:t xml:space="preserve">- Wang L, Xiao Y, et al. </w:t>
      </w:r>
      <w:r>
        <w:rPr>
          <w:iCs/>
          <w:i/>
        </w:rPr>
        <w:t xml:space="preserve">J Exp Med</w:t>
      </w:r>
      <w:r>
        <w:t xml:space="preserve"> </w:t>
      </w:r>
      <w:r>
        <w:t xml:space="preserve">221(3):e20231519 (2024). PMID 38334978; doi 10.1084/jem.20231519. (NR-V04: NR4A1 PROTAC sparing NR4A2/NR4A3 — paralog-selective degradation precedent.)</w:t>
      </w:r>
      <w:r>
        <w:t xml:space="preserve"> </w:t>
      </w:r>
      <w:r>
        <w:t xml:space="preserve">- Haller F, et al. </w:t>
      </w:r>
      <w:r>
        <w:rPr>
          <w:iCs/>
          <w:i/>
        </w:rPr>
        <w:t xml:space="preserve">Nat Commun</w:t>
      </w:r>
      <w:r>
        <w:t xml:space="preserve"> </w:t>
      </w:r>
      <w:r>
        <w:t xml:space="preserve">10:368 (2019). doi 10.1038/s41467-018-08069-x. (AciCC = NR4A3 over-expression.)</w:t>
      </w:r>
      <w:r>
        <w:t xml:space="preserve"> </w:t>
      </w:r>
      <w:r>
        <w:t xml:space="preserve">- Khan J, et al. </w:t>
      </w:r>
      <w:r>
        <w:rPr>
          <w:iCs/>
          <w:i/>
        </w:rPr>
        <w:t xml:space="preserve">Cancers</w:t>
      </w:r>
      <w:r>
        <w:t xml:space="preserve"> </w:t>
      </w:r>
      <w:r>
        <w:t xml:space="preserve">15(13):3373 (2023). doi 10.3390/cancers15133373. (AciCC epidemiology.)</w:t>
      </w:r>
      <w:r>
        <w:t xml:space="preserve"> </w:t>
      </w:r>
      <w:r>
        <w:t xml:space="preserve">- Chen J, et al. </w:t>
      </w:r>
      <w:r>
        <w:rPr>
          <w:iCs/>
          <w:i/>
        </w:rPr>
        <w:t xml:space="preserve">Nature</w:t>
      </w:r>
      <w:r>
        <w:t xml:space="preserve"> </w:t>
      </w:r>
      <w:r>
        <w:t xml:space="preserve">567:530–534 (2019). doi 10.1038/s41586-019-0985-x. (NR4A T-cell exhaustion.)</w:t>
      </w:r>
      <w:r>
        <w:t xml:space="preserve"> </w:t>
      </w:r>
      <w:r>
        <w:t xml:space="preserve">- Mullican SE, et al. </w:t>
      </w:r>
      <w:r>
        <w:rPr>
          <w:iCs/>
          <w:i/>
        </w:rPr>
        <w:t xml:space="preserve">Nat Med</w:t>
      </w:r>
      <w:r>
        <w:t xml:space="preserve"> </w:t>
      </w:r>
      <w:r>
        <w:t xml:space="preserve">13:730–735 (2007). doi 10.1038/nm1579. (Nr4a1/Nr4a3 co-loss → AML.)</w:t>
      </w:r>
      <w:r>
        <w:t xml:space="preserve"> </w:t>
      </w:r>
      <w:r>
        <w:t xml:space="preserve">- Safe S, Karki K.</w:t>
      </w:r>
      <w:r>
        <w:t xml:space="preserve"> </w:t>
      </w:r>
      <w:r>
        <w:rPr>
          <w:iCs/>
          <w:i/>
        </w:rPr>
        <w:t xml:space="preserve">Mol Cancer Res</w:t>
      </w:r>
      <w:r>
        <w:t xml:space="preserve"> </w:t>
      </w:r>
      <w:r>
        <w:t xml:space="preserve">19(2):180–191 (2021). doi 10.1158/1541-7786.mcr-20-0707. (NR4A paradoxical roles.)</w:t>
      </w:r>
      <w:r>
        <w:t xml:space="preserve"> </w:t>
      </w:r>
      <w:r>
        <w:t xml:space="preserve">- Filion C, et al. </w:t>
      </w:r>
      <w:r>
        <w:rPr>
          <w:iCs/>
          <w:i/>
        </w:rPr>
        <w:t xml:space="preserve">J Pathol</w:t>
      </w:r>
      <w:r>
        <w:t xml:space="preserve"> </w:t>
      </w:r>
      <w:r>
        <w:t xml:space="preserve">217(1):83–93 (2009). PMC4429309. (EWSR1/NR4A3 transactivates PPARG in EMC.)</w:t>
      </w:r>
      <w:r>
        <w:t xml:space="preserve"> </w:t>
      </w:r>
      <w:r>
        <w:t xml:space="preserve">- Brenca M, et al. </w:t>
      </w:r>
      <w:r>
        <w:rPr>
          <w:iCs/>
          <w:i/>
        </w:rPr>
        <w:t xml:space="preserve">J Pathol</w:t>
      </w:r>
      <w:r>
        <w:t xml:space="preserve"> </w:t>
      </w:r>
      <w:r>
        <w:t xml:space="preserve">248:239–251 (2019). PMID 31020999; doi 10.1002/path.5284. (Ectopic fusion expression recapitulates EMC phenotype; 5′ partner shapes the transcriptome.)</w:t>
      </w:r>
      <w:r>
        <w:t xml:space="preserve"> </w:t>
      </w:r>
      <w:r>
        <w:t xml:space="preserve">- EMC variant-fusion series (NR4A3 = shared &gt;90 % driver, ≥6 partners): Agaram</w:t>
      </w:r>
      <w:r>
        <w:t xml:space="preserve"> </w:t>
      </w:r>
      <w:r>
        <w:rPr>
          <w:iCs/>
          <w:i/>
        </w:rPr>
        <w:t xml:space="preserve">Hum Pathol</w:t>
      </w:r>
      <w:r>
        <w:t xml:space="preserve"> </w:t>
      </w:r>
      <w:r>
        <w:t xml:space="preserve">45:1084 (2014); Wei</w:t>
      </w:r>
      <w:r>
        <w:t xml:space="preserve"> </w:t>
      </w:r>
      <w:r>
        <w:rPr>
          <w:iCs/>
          <w:i/>
        </w:rPr>
        <w:t xml:space="preserve">Genes Chromosomes Cancer</w:t>
      </w:r>
      <w:r>
        <w:t xml:space="preserve"> </w:t>
      </w:r>
      <w:r>
        <w:t xml:space="preserve">(2021, PMID 34124809, SMARCA2); Warmke</w:t>
      </w:r>
      <w:r>
        <w:t xml:space="preserve"> </w:t>
      </w:r>
      <w:r>
        <w:rPr>
          <w:iCs/>
          <w:i/>
        </w:rPr>
        <w:t xml:space="preserve">GCC</w:t>
      </w:r>
      <w:r>
        <w:t xml:space="preserve"> </w:t>
      </w:r>
      <w:r>
        <w:t xml:space="preserve">(2023, doi 10.1002/gcc.23144, TAF15 methylation); Wilbur HC</w:t>
      </w:r>
      <w:r>
        <w:t xml:space="preserve"> </w:t>
      </w:r>
      <w:r>
        <w:rPr>
          <w:iCs/>
          <w:i/>
        </w:rPr>
        <w:t xml:space="preserve">JCO PO</w:t>
      </w:r>
      <w:r>
        <w:t xml:space="preserve"> </w:t>
      </w:r>
      <w:r>
        <w:t xml:space="preserve">(2022, PMID 36103645, doi 10.1200/PO.22.00039, PGR).</w:t>
      </w:r>
      <w:r>
        <w:t xml:space="preserve"> </w:t>
      </w:r>
      <w:r>
        <w:t xml:space="preserve">- Stacchiotti S, et al. </w:t>
      </w:r>
      <w:r>
        <w:rPr>
          <w:iCs/>
          <w:i/>
        </w:rPr>
        <w:t xml:space="preserve">Cancers</w:t>
      </w:r>
      <w:r>
        <w:t xml:space="preserve"> </w:t>
      </w:r>
      <w:r>
        <w:t xml:space="preserve">12(9):2703 (2020). doi 10.3390/cancers12092703. (EMC state of the art.)</w:t>
      </w:r>
      <w:r>
        <w:t xml:space="preserve"> </w:t>
      </w:r>
      <w:r>
        <w:t xml:space="preserve">- Methods: AlphaFold2 (Jumper 2021); fpocket (Le Guilloux 2009); OpenMM; PLUMED (Tribello 2014); DiffSBDD;</w:t>
      </w:r>
      <w:r>
        <w:t xml:space="preserve"> </w:t>
      </w:r>
      <w:r>
        <w:t xml:space="preserve">smina; OpenFF/GAFF-2.11. Controls: PPARγ 2PRG, ERα 1ERE; NR4A holo 4JGV/6KZ5/5Y41.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2026-07-08T16:34:03Z</dcterms:created>
  <dcterms:modified xsi:type="dcterms:W3CDTF">2026-07-08T16:34:03Z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