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distinguishes the preserved original analysis, the expanded same-source comparison and the new public-source characterization. The original protocols and computations remain available in the Research Square version 1 archive. New calculations and metadata corrections are supplied with this revision; the old archive is not presented as containing them.</w:t>
      </w:r>
    </w:p>
    <w:p>
      <w:pPr>
        <w:pStyle w:val="Heading1"/>
      </w:pPr>
      <w:r>
        <w:t>Scope and chronology</w:t>
      </w:r>
    </w:p>
    <w:p>
      <w:r>
        <w:rPr>
          <w:b w:val="0"/>
        </w:rPr>
        <w:t>The original fixed panel and comparator rule preceded inspection of target values in the Hofvander cohort. The primary types were MLPS, LGFMS and synovial sarcoma, with separate MFS, DFSP, SFT and desmoid contexts. The September 19 extension broadened the descriptive atlas and malignant-category reference after those results were known. A dated amendment made the unstratified defined-reference rank test the leading analysis after an earlier year-conditioned run. It is exploratory, not preregistered. Bonferroni correction applies to the 11 retained genes and does not remove all consequences of retrospective analysis choices.</w:t>
      </w:r>
    </w:p>
    <w:p>
      <w:r>
        <w:rPr>
          <w:b w:val="0"/>
        </w:rPr>
        <w:t>External source plans were recorded before new expression analysis. Treehouse metadata review found 11 cross-project NCI donor aliases after the first gene slices were obtained but before expression summaries. The same expression-blind ranking rule was applied to the corrected identities. Boudin diagnosis mapping was frozen before reading its CSPG4 column. Modern GEO selection preceded extraction. GSE234092 required a header-based mapping amendment because its matrix column names differ from GEO titles. OpenPedCan specimen selection preceded remote extraction. One parental-tumor provenance exclusion was communicated from metadata review before the root read its expression values and recorded afterward. No specimen was selected or excluded because of a favorable CSPG4 value.</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The previously reported IDs 104-92, 168-97 and 536-00 map to historical MDB9736 cases 3, 4 and 7. The fourth excluded EMC specimen, 5081-14, is a local recurrence. No patient date is inferred from an identifier suffix. Original diagnoses, publication flags and specimen exceptions are retained in the supplied eligibility manifest.</w:t>
      </w: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The exact null distribution uses doubled midranks so ties retain their integer multiplicity.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September21 amendment added an approximate 95% percentile bootstrap interval of 0.7090755–0.9575912 for this pooled A. The broader source Malignant-or-Intermediate reference contains 489 specimens in 37 labels, with median 13.20 TPM, specimen-weighted A=0.8243581 (interval 0.6778005–0.9427403) and equal-category A=0.8479346. Both references retain the exclusions of melanoma and unclassified spindle-cell tumors. No new P value was calculated for the broader reference. The nine observed CSPG4 values in increasing order are 10.14, 12.77, 41.41, 48.92, 54.18, 58.20, 63.98, 90.14 and 207.08 TPM.</w:t>
      </w:r>
    </w:p>
    <w:p>
      <w:r>
        <w:rPr>
          <w:b w:val="0"/>
        </w:rPr>
        <w:t>The two-sample specimen bootstrap used 50,000 replicates, seed 20260921 and NumPy PCG64, restarting the generator for each reference. Independent multinomial multiplicities for nine EMC and n reference specimens were applied to the pairwise comparison matrix in 50 blocks of 1,000 draws. Each bootstrap A equals w-transpose C v divided by 9n. This exactly represents ordinary specimen resampling with replacement; dependent pairs are not independently resampled. Limits are NumPy linear-interpolation 2.5th and 97.5th percentiles. The nominal pointwise intervals are approximate and conditional on the observed specimen/reference design, not corrected for retrospective selection, unknown overlap, assay confounding or population sampling. The two overlapping-reference intervals do not test the difference between reference definitions. The dated plan, code and exact outputs accompany the archive.</w:t>
      </w:r>
    </w:p>
    <w:p>
      <w:pPr>
        <w:pStyle w:val="Heading1"/>
      </w:pPr>
      <w:r>
        <w:t>Table S6 Source-reported molecular support for retained EMC</w:t>
      </w:r>
    </w:p>
    <w:p>
      <w:r>
        <w:rPr>
          <w:b w:val="0"/>
        </w:rPr>
        <w:t>EMC membership follows the unchanged original source diagnosis. Table S1 marks all nine retained specimens Fusion=Yes; its footnote permits evidence from current RNA sequencing or previous methods. Grade and ASCAT ploidy/purity are NA for all nine. Table S3 supplies filtered RNA-sequencing fusion records, summarized below with source qualifiers. Source Excel row numbers include the header.</w:t>
      </w:r>
    </w:p>
    <w:tbl>
      <w:tblPr>
        <w:tblW w:type="auto" w:w="0"/>
        <w:jc w:val="center"/>
        <w:tblLayout w:type="fixed"/>
        <w:tblLook w:firstColumn="1" w:firstRow="1" w:lastColumn="0" w:lastRow="0" w:noHBand="0" w:noVBand="1" w:val="04A0"/>
      </w:tblPr>
      <w:tblGrid>
        <w:gridCol w:w="1296"/>
        <w:gridCol w:w="2088"/>
        <w:gridCol w:w="792"/>
        <w:gridCol w:w="4896"/>
      </w:tblGrid>
      <w:tr>
        <w:trPr>
          <w:cantSplit/>
          <w:tblHeader/>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fusion</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row</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 qualification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11881-19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TCF12::NR4A3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3371-22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filtered record</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S1 Fusion=Yes; exact fusion not crosswalked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HSPA8::NR4A3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71</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prior MDB15434 report</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4716-22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TAF15::NR4A3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72</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Medium confidence; source frame label stop-codon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4840-13</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73</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5149-18</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FUS::NR4A2</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75</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RT-PCR verified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5241-06</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76</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7931-19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78</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8102-22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bl>
    <w:p>
      <w:pPr>
        <w:spacing w:after="0"/>
      </w:pPr>
    </w:p>
    <w:p>
      <w:r>
        <w:rPr>
          <w:b w:val="0"/>
        </w:rPr>
        <w:t>Source Table S4 row58 reports all 13 original EMC as fusion-positive, including one FUS::NR4A2 and an additional RT-PCR-confirmed TAF15::NR4A3 missed by both callers. That comment has no specimen-level crosswalk and is not assigned here to 3371-22. Seven retained cases have explicit NR4A3 fusions in filtered S3. The FUS::NR4A2 case is preserved under its source EMC diagnosis, not reclassified from a gene name alone. The source describes morphological/IHC rereview of selected cases, not documented rereview of every retained EMC. Molecular-support differences do not change the frozen specimen policy. The source workbooks, hashes and a machine-readable extraction accompany this revision.</w:t>
      </w:r>
    </w:p>
    <w:p>
      <w:pPr>
        <w:pStyle w:val="Heading1"/>
      </w:pPr>
      <w:r>
        <w:t>Original panel rule and retained adverse checks</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The separate CHRNA6 control had A=1.000 in the original marginal and matched three-histology composites and against LGFMS in both assays. CHRNA6 was discovered using GSE24369, so its reanalysis there is not independent discovery validation.</w:t>
      </w:r>
    </w:p>
    <w:p>
      <w:r>
        <w:rPr>
          <w:b w:val="0"/>
        </w:rPr>
        <w:t>HPA records distinguish normal RNA, IHC and ICC/IF, with reliability warnings and missing records preserved. HPA normalized TPM is not directly divided into tumor TPM to estimate safety. GSE28866 contains four EMC library/STT records whose patient independence is not established; its selected 3SEQ peaks are a different quantity. A normal-colon value exceeds the lowest EMC library value. The PRAME workbook SHA256 is 20b4bd1243be22e4eee2da7470da986091f91cc4959fa416708748ba99187ca7. Sheet 1 rows 128–132 contain five EMC cases, all negative in both reader columns with antibody QR005. Four have recorded molecular support; the fifth lacks a recorded ancillary method. Blank percentage fields were not turned into measurements.</w:t>
      </w:r>
    </w:p>
    <w:p>
      <w:pPr>
        <w:pStyle w:val="Heading1"/>
      </w:pPr>
      <w:r>
        <w:t>Source processing and supporting literature</w:t>
      </w:r>
    </w:p>
    <w:p>
      <w:r>
        <w:rPr>
          <w:b w:val="0"/>
        </w:rPr>
        <w:t>The Hofvander release contains 704 source patients and reports STAR 2.7.10b alignment to GRCh38 and RSEM 1.3.3 quantification with Ensembl 104. The supplied panel contains CD276, SSTR2, PRAME, FAP, CD248, CSPG4, MSLN, L1CAM, GPC3, ALPP and CDH17; CHRNA6 is separate. The muscle measurements in GSE24369 are pooled RNAs, not individual healthy controls.</w:t>
      </w:r>
    </w:p>
    <w:p>
      <w:r>
        <w:rPr>
          <w:b w:val="0"/>
        </w:rPr>
        <w:t>Treehouse selection used the human tumor PolyA and ribosomal-depletion collections, excluding cell-line and xenograft compendia, gliosarcoma and uterine carcinosarcoma. Its initial 1,446 candidate profiles reduced to 1,335 identity groups before exclusion of the unresolved NCI0165 diagnosis. GSE213065 supplied 87 profiles before selection of 54 T1a specimens; 32 selected specimens lack a T1 location classification in inspected Supplement S14. Values are Salmon/Gencode 27 protein-coding TPM. GSE234092 CPM denominators sum all 64,253 supplied featureCounts rows. Its 69 repository records exceed the linked article's 34 retroperitoneal RNA cases; two desmoids and one paraganglioma remain context. OpenPedCan selection excluded TCGA, TARGET, xenografts and hematologic entities. Neither primary-list membership nor an Initial CNS Tumor descriptor establishes untreated primary systemic sarcoma.</w:t>
      </w:r>
    </w:p>
    <w:p>
      <w:r>
        <w:rPr>
          <w:b w:val="0"/>
        </w:rPr>
        <w:t>The Renner diagnosis correction is supported by its primary article.[S1] Human Protein Atlas records distinguish normal-tissue RNA, immunohistochemistry and cell-localization assays.[S2,S3] Historical GSE28866 3SEQ measurements and the PRAME immunohistochemistry study provide separate contextual evidence.[S4,S5] They are not paired RNA–protein measurements for the retained EMC specimens.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We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we do not relabel it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We followed its original diagnosis metadata rather than an inconsistent secondary description. GSE71118 reuses 303 of 312 records from GSE21050 and was not counted as 312 additional independent tumors. The large ORIEN sarcoma collection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Original panel effects and all deletion results remain in the historical-analysis subfolder and the original public archive.</w:t>
      </w:r>
    </w:p>
    <w:p>
      <w:r>
        <w:rPr>
          <w:b w:val="0"/>
        </w:rPr>
        <w:t>The original reproducibility archive has SHA256 56e089a6b39b9d5d5140a4185987778803359ab1154d26beb882d6e6197f3ea6. Its original-source checks and offline replay are historical accepted evidence for those exact inputs; they were not repeated to validate the new data. 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S2 External within-source CSPG4 ordering against LMS</w:t>
      </w:r>
    </w:p>
    <w:p>
      <w:r>
        <w:rPr>
          <w:b w:val="0"/>
        </w:rPr>
        <w:t>The former external heatmap is retained as Figure S2. Each cell is A=P(row diagnosis&gt;LMS)+0.5P(tie), within the labeled source, and requires at least five profiles of each type. Blank cells lack that support and are not negative results. Each source retains its measurement scale; historical Boudin cohorts retain the two-color or mixed-platform qualifications. There is no external EMC estimate or pooled expression scale. The 304 summaries and 1,480 pairwise comparisons remain in the accepted final tables.</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its Intermediate groups overlap the broader reference now shown there. This retained panel still gives all 242 specimens outside the primary comparison.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pStyle w:val="Heading1"/>
      </w:pPr>
      <w:r>
        <w:t>Supplementary references</w:t>
      </w:r>
    </w:p>
    <w:p>
      <w:pPr>
        <w:spacing w:line="252" w:lineRule="auto" w:after="140"/>
      </w:pPr>
      <w:r>
        <w:rPr>
          <w:b w:val="0"/>
          <w:sz w:val="21"/>
        </w:rPr>
        <w:t>[S1] Renner M, et al. Integrative DNA methylation and gene expression analysis in high-grade soft tissue sarcomas. Genome Biol. 2013;14:R137. https://doi.org/10.1186/gb-2013-14-12-r137.</w:t>
      </w:r>
    </w:p>
    <w:p>
      <w:pPr>
        <w:spacing w:line="252" w:lineRule="auto" w:after="140"/>
      </w:pPr>
      <w:r>
        <w:rPr>
          <w:b w:val="0"/>
          <w:sz w:val="21"/>
        </w:rPr>
        <w:t>[S2] Uhlén M, Fagerberg L, Hallström BM, Lindskog C, Oksvold P, Mardinoglu A, et al. Tissue-based map of the human proteome. Science. 2015;347:1260419. https://doi.org/10.1126/science.1260419.</w:t>
      </w:r>
    </w:p>
    <w:p>
      <w:pPr>
        <w:spacing w:line="252" w:lineRule="auto" w:after="140"/>
      </w:pPr>
      <w:r>
        <w:rPr>
          <w:b w:val="0"/>
          <w:sz w:val="21"/>
        </w:rPr>
        <w:t>[S3] Thul PJ, Åkesson L, Wiking M, Mahdessian D, Geladaki A, Ait Blal H, et al. A subcellular map of the human proteome. Science. 2017;356:eaal3321. https://doi.org/10.1126/science.aal3321.</w:t>
      </w:r>
    </w:p>
    <w:p>
      <w:pPr>
        <w:spacing w:line="252" w:lineRule="auto" w:after="140"/>
      </w:pPr>
      <w:r>
        <w:rPr>
          <w:b w:val="0"/>
          <w:sz w:val="21"/>
        </w:rPr>
        <w:t>[S4]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[S5]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figure-S2.png"/>
                    <pic:cNvPicPr/>
                  </pic:nvPicPr>
                  <pic:blipFill>
                    <a:blip r:embed="rId11"/>
                    <a:stretch>
                      <a:fillRect/>
                    </a:stretch>
                  </pic:blipFill>
                  <pic:spPr>
                    <a:xfrm>
                      <a:off x="0" y="0"/>
                      <a:ext cx="8686800" cy="5676493"/>
                    </a:xfrm>
                    <a:prstGeom prst="rect"/>
                  </pic:spPr>
                </pic:pic>
              </a:graphicData>
            </a:graphic>
          </wp:inline>
        </w:drawing>
      </w:r>
    </w:p>
    <w:p>
      <w:pPr>
        <w:spacing w:line="250" w:lineRule="auto" w:after="0"/>
      </w:pPr>
      <w:r>
        <w:rPr>
          <w:b w:val="0"/>
          <w:sz w:val="18"/>
        </w:rPr>
      </w:r>
      <w:r>
        <w:rPr>
          <w:b/>
          <w:sz w:val="18"/>
        </w:rPr>
        <w:t>Figure S2. External within-source CSPG4 ordering against LMS.</w:t>
      </w:r>
      <w:r>
        <w:rPr>
          <w:b w:val="0"/>
          <w:sz w:val="18"/>
        </w:rPr>
        <w:t xml:space="preserve"> Each cell compares the row diagnosis with LMS within its source and requires at least five profiles per group; blanks lack that support. B denotes published Boudin cohorts; TH denotes Treehouse original accessions. Each retains its measurement scale and historical mixed-platform qualifications.</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