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Figure legend</w:t>
      </w:r>
    </w:p>
    <w:p>
      <w:r>
        <w:rPr>
          <w:b/>
          <w:i w:val="0"/>
        </w:rPr>
        <w:t>Figure 1.</w:t>
      </w:r>
      <w:r>
        <w:rPr>
          <w:b w:val="0"/>
          <w:i w:val="0"/>
        </w:rPr>
        <w:t xml:space="preserve"> Reported EMC junctions on the retained-RG axis, and the type-2 seam. Three panels, drawn by </w:t>
      </w:r>
      <w:hyperlink r:id="rId10">
        <w:r>
          <w:t>emc_fusion_frame_figure.py</w:t>
        </w:r>
      </w:hyperlink>
      <w:r>
        <w:rPr>
          <w:b w:val="0"/>
          <w:i w:val="0"/>
        </w:rPr>
        <w:t xml:space="preserve"> and committed as </w:t>
      </w:r>
      <w:hyperlink r:id="rId11">
        <w:r>
          <w:t>emc-fusion-frame-fig1.png</w:t>
        </w:r>
      </w:hyperlink>
      <w:r>
        <w:rPr>
          <w:b w:val="0"/>
          <w:i w:val="0"/>
        </w:rPr>
        <w:t xml:space="preserve"> and </w:t>
      </w:r>
      <w:hyperlink r:id="rId12">
        <w:r>
          <w:t>emc-fusion-frame-fig1.pdf</w:t>
        </w:r>
      </w:hyperlink>
      <w:r>
        <w:rPr>
          <w:b w:val="0"/>
          <w:i w:val="0"/>
        </w:rPr>
        <w:t>.</w:t>
      </w:r>
    </w:p>
    <w:p>
      <w:r>
        <w:rPr>
          <w:b/>
          <w:i w:val="0"/>
        </w:rPr>
        <w:t>Panel A.</w:t>
      </w:r>
      <w:r>
        <w:rPr>
          <w:b w:val="0"/>
          <w:i w:val="0"/>
        </w:rPr>
        <w:t xml:space="preserve"> Bars are drawn to residue scale on the shared axis. Each thin vertical tick marks one RG dipeptide, at the 1-based position of its arginine (</w:t>
      </w:r>
      <w:r>
        <w:rPr>
          <w:rFonts w:ascii="Consolas" w:hAnsi="Consolas"/>
          <w:b w:val="0"/>
          <w:i w:val="0"/>
          <w:sz w:val="18"/>
        </w:rPr>
        <w:t>emc-</w:t>
      </w:r>
      <w:r>
        <w:rPr>
          <w:rFonts w:ascii="Consolas" w:hAnsi="Consolas"/>
          <w:b w:val="0"/>
          <w:i w:val="0"/>
          <w:sz w:val="18"/>
        </w:rPr>
        <w:t>fet-</w:t>
      </w:r>
      <w:r>
        <w:rPr>
          <w:rFonts w:ascii="Consolas" w:hAnsi="Consolas"/>
          <w:b w:val="0"/>
          <w:i w:val="0"/>
          <w:sz w:val="18"/>
        </w:rPr>
        <w:t>frame-</w:t>
      </w:r>
      <w:r>
        <w:rPr>
          <w:rFonts w:ascii="Consolas" w:hAnsi="Consolas"/>
          <w:b w:val="0"/>
          <w:i w:val="0"/>
          <w:sz w:val="18"/>
        </w:rPr>
        <w:t>and-</w:t>
      </w:r>
      <w:r>
        <w:rPr>
          <w:rFonts w:ascii="Consolas" w:hAnsi="Consolas"/>
          <w:b w:val="0"/>
          <w:i w:val="0"/>
          <w:sz w:val="18"/>
        </w:rPr>
        <w:t>composition.</w:t>
      </w:r>
      <w:r>
        <w:rPr>
          <w:rFonts w:ascii="Consolas" w:hAnsi="Consolas"/>
          <w:b w:val="0"/>
          <w:i w:val="0"/>
          <w:sz w:val="18"/>
        </w:rPr>
        <w:t>json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composition.</w:t>
      </w:r>
      <w:r>
        <w:rPr>
          <w:rFonts w:ascii="Consolas" w:hAnsi="Consolas"/>
          <w:b w:val="0"/>
          <w:i w:val="0"/>
          <w:sz w:val="18"/>
        </w:rPr>
        <w:t>rg_</w:t>
      </w:r>
      <w:r>
        <w:rPr>
          <w:rFonts w:ascii="Consolas" w:hAnsi="Consolas"/>
          <w:b w:val="0"/>
          <w:i w:val="0"/>
          <w:sz w:val="18"/>
        </w:rPr>
        <w:t>content.</w:t>
      </w:r>
      <w:r>
        <w:rPr>
          <w:rFonts w:ascii="Consolas" w:hAnsi="Consolas"/>
          <w:b w:val="0"/>
          <w:i w:val="0"/>
          <w:sz w:val="18"/>
        </w:rPr>
        <w:t>&lt;protein&gt;.</w:t>
      </w:r>
      <w:r>
        <w:rPr>
          <w:rFonts w:ascii="Consolas" w:hAnsi="Consolas"/>
          <w:b w:val="0"/>
          <w:i w:val="0"/>
          <w:sz w:val="18"/>
        </w:rPr>
        <w:t>rg_</w:t>
      </w:r>
      <w:r>
        <w:rPr>
          <w:rFonts w:ascii="Consolas" w:hAnsi="Consolas"/>
          <w:b w:val="0"/>
          <w:i w:val="0"/>
          <w:sz w:val="18"/>
        </w:rPr>
        <w:t>positions</w:t>
      </w:r>
      <w:r>
        <w:rPr>
          <w:b w:val="0"/>
          <w:i w:val="0"/>
        </w:rPr>
        <w:t>); the count printed at the right of each wild-type bar is that protein's total. Dashed rectangles mark operationally defined RGG boxes — maximal merged runs of 60-residue windows each containing at least six RG dipeptides, trimmed to start at the first RG the box contains and to end two residues past its last RG-start (</w:t>
      </w:r>
      <w:r>
        <w:rPr>
          <w:rFonts w:ascii="Consolas" w:hAnsi="Consolas"/>
          <w:b w:val="0"/>
          <w:i w:val="0"/>
          <w:sz w:val="18"/>
        </w:rPr>
        <w:t>emc_</w:t>
      </w:r>
      <w:r>
        <w:rPr>
          <w:rFonts w:ascii="Consolas" w:hAnsi="Consolas"/>
          <w:b w:val="0"/>
          <w:i w:val="0"/>
          <w:sz w:val="18"/>
        </w:rPr>
        <w:t>fet_</w:t>
      </w:r>
      <w:r>
        <w:rPr>
          <w:rFonts w:ascii="Consolas" w:hAnsi="Consolas"/>
          <w:b w:val="0"/>
          <w:i w:val="0"/>
          <w:sz w:val="18"/>
        </w:rPr>
        <w:t>idr_</w:t>
      </w:r>
      <w:r>
        <w:rPr>
          <w:rFonts w:ascii="Consolas" w:hAnsi="Consolas"/>
          <w:b w:val="0"/>
          <w:i w:val="0"/>
          <w:sz w:val="18"/>
        </w:rPr>
        <w:t>census.</w:t>
      </w:r>
      <w:r>
        <w:rPr>
          <w:rFonts w:ascii="Consolas" w:hAnsi="Consolas"/>
          <w:b w:val="0"/>
          <w:i w:val="0"/>
          <w:sz w:val="18"/>
        </w:rPr>
        <w:t>py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RGG_</w:t>
      </w:r>
      <w:r>
        <w:rPr>
          <w:rFonts w:ascii="Consolas" w:hAnsi="Consolas"/>
          <w:b w:val="0"/>
          <w:i w:val="0"/>
          <w:sz w:val="18"/>
        </w:rPr>
        <w:t>WINDOW = 60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RGG_</w:t>
      </w:r>
      <w:r>
        <w:rPr>
          <w:rFonts w:ascii="Consolas" w:hAnsi="Consolas"/>
          <w:b w:val="0"/>
          <w:i w:val="0"/>
          <w:sz w:val="18"/>
        </w:rPr>
        <w:t>MIN_</w:t>
      </w:r>
      <w:r>
        <w:rPr>
          <w:rFonts w:ascii="Consolas" w:hAnsi="Consolas"/>
          <w:b w:val="0"/>
          <w:i w:val="0"/>
          <w:sz w:val="18"/>
        </w:rPr>
        <w:t>RG_</w:t>
      </w:r>
      <w:r>
        <w:rPr>
          <w:rFonts w:ascii="Consolas" w:hAnsi="Consolas"/>
          <w:b w:val="0"/>
          <w:i w:val="0"/>
          <w:sz w:val="18"/>
        </w:rPr>
        <w:t>IN_</w:t>
      </w:r>
      <w:r>
        <w:rPr>
          <w:rFonts w:ascii="Consolas" w:hAnsi="Consolas"/>
          <w:b w:val="0"/>
          <w:i w:val="0"/>
          <w:sz w:val="18"/>
        </w:rPr>
        <w:t>WINDOW = 6</w:t>
      </w:r>
      <w:r>
        <w:rPr>
          <w:b w:val="0"/>
          <w:i w:val="0"/>
        </w:rPr>
        <w:t xml:space="preserve">); the spans drawn are </w:t>
      </w:r>
      <w:r>
        <w:rPr>
          <w:rFonts w:ascii="Consolas" w:hAnsi="Consolas"/>
          <w:b w:val="0"/>
          <w:i w:val="0"/>
          <w:sz w:val="18"/>
        </w:rPr>
        <w:t>rgg_</w:t>
      </w:r>
      <w:r>
        <w:rPr>
          <w:rFonts w:ascii="Consolas" w:hAnsi="Consolas"/>
          <w:b w:val="0"/>
          <w:i w:val="0"/>
          <w:sz w:val="18"/>
        </w:rPr>
        <w:t>boxes_</w:t>
      </w:r>
      <w:r>
        <w:rPr>
          <w:rFonts w:ascii="Consolas" w:hAnsi="Consolas"/>
          <w:b w:val="0"/>
          <w:i w:val="0"/>
          <w:sz w:val="18"/>
        </w:rPr>
        <w:t>operational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8"/>
        </w:rPr>
        <w:t>emc-</w:t>
      </w:r>
      <w:r>
        <w:rPr>
          <w:rFonts w:ascii="Consolas" w:hAnsi="Consolas"/>
          <w:b w:val="0"/>
          <w:i w:val="0"/>
          <w:sz w:val="18"/>
        </w:rPr>
        <w:t>fet-</w:t>
      </w:r>
      <w:r>
        <w:rPr>
          <w:rFonts w:ascii="Consolas" w:hAnsi="Consolas"/>
          <w:b w:val="0"/>
          <w:i w:val="0"/>
          <w:sz w:val="18"/>
        </w:rPr>
        <w:t>construct-</w:t>
      </w:r>
      <w:r>
        <w:rPr>
          <w:rFonts w:ascii="Consolas" w:hAnsi="Consolas"/>
          <w:b w:val="0"/>
          <w:i w:val="0"/>
          <w:sz w:val="18"/>
        </w:rPr>
        <w:t>designs.</w:t>
      </w:r>
      <w:r>
        <w:rPr>
          <w:rFonts w:ascii="Consolas" w:hAnsi="Consolas"/>
          <w:b w:val="0"/>
          <w:i w:val="0"/>
          <w:sz w:val="18"/>
        </w:rPr>
        <w:t>json</w:t>
      </w:r>
      <w:r>
        <w:rPr>
          <w:b w:val="0"/>
          <w:i w:val="0"/>
        </w:rPr>
        <w:t xml:space="preserve">. This finder returns two boxes on EWSR1 and one on TAF15; the source paper names three RGG-rich domains in EWSR1, and the box definition was not tuned to reproduce that count. NR4A3 has no box because the finder returns none for it. </w:t>
      </w:r>
      <w:r>
        <w:rPr>
          <w:rFonts w:ascii="Consolas" w:hAnsi="Consolas"/>
          <w:b w:val="0"/>
          <w:i w:val="0"/>
          <w:sz w:val="18"/>
        </w:rPr>
        <w:t>C166</w:t>
      </w:r>
      <w:r>
        <w:rPr>
          <w:b w:val="0"/>
          <w:i w:val="0"/>
        </w:rPr>
        <w:t xml:space="preserve"> is a printed text label placed above the NR4A3 bar with a single vertical marker drawn on that bar at residue 166; it identifies that residue position and nothing more, and no functional property is asserted for it here. Below the dotted rule, each fusion row shows the retained 5' segment ending at a heavy end-cap at its breakpoint, carrying only the RG ticks at or before that breakpoint; the right-hand text gives the retained residue range and the retained-of-total RG count. Panel A carries four weights of vertical black line — RG tick, dashed box outline, breakpoint end-cap and the </w:t>
      </w:r>
      <w:r>
        <w:rPr>
          <w:rFonts w:ascii="Consolas" w:hAnsi="Consolas"/>
          <w:b w:val="0"/>
          <w:i w:val="0"/>
          <w:sz w:val="18"/>
        </w:rPr>
        <w:t>C166</w:t>
      </w:r>
      <w:r>
        <w:rPr>
          <w:b w:val="0"/>
          <w:i w:val="0"/>
        </w:rPr>
        <w:t xml:space="preserve"> marker — and the figure prints no key of its own, so the reader is directed to this caption for all four.</w:t>
      </w:r>
    </w:p>
    <w:p>
      <w:r>
        <w:rPr>
          <w:b/>
          <w:i w:val="0"/>
        </w:rPr>
        <w:t>Panel B.</w:t>
      </w:r>
      <w:r>
        <w:rPr>
          <w:b w:val="0"/>
          <w:i w:val="0"/>
        </w:rPr>
        <w:t xml:space="preserve"> The retained-RG fraction axis, carrying the fusion positions of Table 3, the hatched band labelled "position on this axis not determinable" for the construct whose reintroduced RGG-rich domain the source does not identify, and the 0.000 to 0.267 interval spanned by the three reported EWSR1::ATF1 breakpoints. That interval describes reported breakpoints; it is not a measured recruitment range.</w:t>
      </w:r>
    </w:p>
    <w:p>
      <w:r>
        <w:rPr>
          <w:b/>
          <w:i w:val="0"/>
        </w:rPr>
        <w:t>Panel C.</w:t>
      </w:r>
      <w:r>
        <w:rPr>
          <w:b w:val="0"/>
          <w:i w:val="0"/>
        </w:rPr>
        <w:t xml:space="preserve"> The type-2 seam, drawn as one nucleotide donated by EWSR1 followed by 176 nt of NR4A3 untranslated sequence: 174 nt of NR4A3 exon 2, the block labelled untranslated in NR4A3, and the first 2 nt of NR4A3 exon 3, annotated separately in the panel. Those 177 nt are the extension of 59 codons carrying no internal stop codon. The earlier caption counted only the exon 2 block and the donated nucleotide, which does not reach 177. The panel does not print the words "type 2": it draws the EWSR1 exon 7 to NR4A3 exon 2 junction, which is the only reported EMC junction using the exon 2 acceptor, and it should be read as that junction and not as a general statement about the acceptor.</w:t>
      </w:r>
    </w:p>
    <w:p>
      <w:r>
        <w:rPr>
          <w:b w:val="0"/>
          <w:i/>
        </w:rPr>
        <w:t>What the figure shows, and what it does not.</w:t>
      </w:r>
      <w:r>
        <w:rPr>
          <w:b w:val="0"/>
          <w:i w:val="0"/>
        </w:rPr>
        <w:t xml:space="preserve"> The three panels carry the reported junctions, the RG content each retains, the retained-RG fraction axis and the type-2 seam. The frame rule as a rule over all donor and acceptor pairs, the complete phase-1 donor set, the symmetric prefix sweep and its 0.039 margin, and the TAF15 zero-RG margin are results of sections 3.2, 3.4 and 3.5 and appear in no panel.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trimcrae/Rare-cancers/blob/6393cad35d45a2f3965ca911edc902770c9a9bda/research/manuscripts/figures/emc_fusion_frame_figure.py" TargetMode="External"/><Relationship Id="rId11" Type="http://schemas.openxmlformats.org/officeDocument/2006/relationships/hyperlink" Target="https://github.com/trimcrae/Rare-cancers/blob/6393cad35d45a2f3965ca911edc902770c9a9bda/research/manuscripts/figures/emc-fusion-frame-fig1.png" TargetMode="External"/><Relationship Id="rId12" Type="http://schemas.openxmlformats.org/officeDocument/2006/relationships/hyperlink" Target="https://github.com/trimcrae/Rare-cancers/blob/6393cad35d45a2f3965ca911edc902770c9a9bda/research/manuscripts/figures/emc-fusion-frame-fig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 legend</dc:title>
  <dc:subject/>
  <dc:creator>Tristan D. McRae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