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ee265fb8566a3fd6315e1b1e51fd8d0919fe668"/>
    <w:p>
      <w:pPr>
        <w:pStyle w:val="Heading1"/>
      </w:pPr>
      <w:r>
        <w:t xml:space="preserve">In-silico surface-antigen prioritisation for extraskeletal myxoid chondrosarcoma: one cell line, a translocation-sarcoma surrogate, a hard normal-tissue filter — and a validation request</w:t>
      </w:r>
    </w:p>
    <w:p>
      <w:pPr>
        <w:pStyle w:val="BlockText"/>
      </w:pPr>
      <w:r>
        <w:rPr>
          <w:bCs/>
          <w:b/>
        </w:rPr>
        <w:t xml:space="preserve">Preprint status (2026-07-03).</w:t>
      </w:r>
      <w:r>
        <w:t xml:space="preserve"> </w:t>
      </w:r>
      <w:r>
        <w:t xml:space="preserve">Computational,</w:t>
      </w:r>
      <w:r>
        <w:t xml:space="preserve"> </w:t>
      </w:r>
      <w:r>
        <w:rPr>
          <w:bCs/>
          <w:b/>
        </w:rPr>
        <w:t xml:space="preserve">hypothesis-generating</w:t>
      </w:r>
      <w:r>
        <w:t xml:space="preserve"> </w:t>
      </w:r>
      <w:r>
        <w:t xml:space="preserve">manuscript, extensively</w:t>
      </w:r>
      <w:r>
        <w:t xml:space="preserve"> </w:t>
      </w:r>
      <w:r>
        <w:t xml:space="preserve">self-red-teamed (see</w:t>
      </w:r>
      <w:r>
        <w:t xml:space="preserve"> </w:t>
      </w:r>
      <w:hyperlink r:id="rId20">
        <w:r>
          <w:rPr>
            <w:rStyle w:val="VerbatimChar"/>
          </w:rPr>
          <w:t xml:space="preserve">emc-surface-target-redteam.md</w:t>
        </w:r>
      </w:hyperlink>
      <w:r>
        <w:t xml:space="preserve">). It reports what an</w:t>
      </w:r>
      <w:r>
        <w:t xml:space="preserve"> </w:t>
      </w:r>
      <w:r>
        <w:t xml:space="preserve">honest in-silico surface-antigen analysis for EMC can and cannot establish from public data. The central,</w:t>
      </w:r>
      <w:r>
        <w:t xml:space="preserve"> </w:t>
      </w:r>
      <w:r>
        <w:t xml:space="preserve">deliberately un-triumphant finding is that</w:t>
      </w:r>
      <w:r>
        <w:t xml:space="preserve"> </w:t>
      </w:r>
      <w:r>
        <w:rPr>
          <w:bCs/>
          <w:b/>
        </w:rPr>
        <w:t xml:space="preserve">a rigorous selectivity test plus a hard normal-tissue-window</w:t>
      </w:r>
      <w:r>
        <w:rPr>
          <w:bCs/>
          <w:b/>
        </w:rPr>
        <w:t xml:space="preserve"> </w:t>
      </w:r>
      <w:r>
        <w:rPr>
          <w:bCs/>
          <w:b/>
        </w:rPr>
        <w:t xml:space="preserve">filter leaves essentially no classic protein surface antigen that is both tumour-selective and</w:t>
      </w:r>
      <w:r>
        <w:rPr>
          <w:bCs/>
          <w:b/>
        </w:rPr>
        <w:t xml:space="preserve"> </w:t>
      </w:r>
      <w:r>
        <w:rPr>
          <w:bCs/>
          <w:b/>
        </w:rPr>
        <w:t xml:space="preserve">normal-tissue-restricted</w:t>
      </w:r>
      <w:r>
        <w:t xml:space="preserve"> </w:t>
      </w:r>
      <w:r>
        <w:t xml:space="preserve">— the analysis mainly</w:t>
      </w:r>
      <w:r>
        <w:t xml:space="preserve"> </w:t>
      </w:r>
      <w:r>
        <w:rPr>
          <w:iCs/>
          <w:i/>
        </w:rPr>
        <w:t xml:space="preserve">refines priorities and flags liabilities</w:t>
      </w:r>
      <w:r>
        <w:t xml:space="preserve"> </w:t>
      </w:r>
      <w:r>
        <w:t xml:space="preserve">(notably that</w:t>
      </w:r>
      <w:r>
        <w:t xml:space="preserve"> </w:t>
      </w:r>
      <w:r>
        <w:t xml:space="preserve">the field-default B7-H3 is not selective in the data), surfaces one real EMC cell line’s own profile, and</w:t>
      </w:r>
      <w:r>
        <w:t xml:space="preserve"> </w:t>
      </w:r>
      <w:r>
        <w:t xml:space="preserve">nominates a neuroendocrine-differentiation hypothesis (SSTR2 / GD2) the field has not pursued for EMC. No</w:t>
      </w:r>
      <w:r>
        <w:t xml:space="preserve"> </w:t>
      </w:r>
      <w:r>
        <w:t xml:space="preserve">antigen is asserted as an EMC-validated target. The manuscript’s second purpose is a specific, respectful</w:t>
      </w:r>
      <w:r>
        <w:t xml:space="preserve"> </w:t>
      </w:r>
      <w:r>
        <w:t xml:space="preserve">request to the groups holding patient-derived EMC models for the data that would actually resolve it (§7).</w:t>
      </w:r>
    </w:p>
    <w:p>
      <w:pPr>
        <w:pStyle w:val="FirstParagraph"/>
      </w:pPr>
      <w:r>
        <w:rPr>
          <w:bCs/>
          <w:b/>
        </w:rPr>
        <w:t xml:space="preserve">Keywords:</w:t>
      </w:r>
      <w:r>
        <w:t xml:space="preserve"> </w:t>
      </w:r>
      <w:r>
        <w:t xml:space="preserve">extraskeletal myxoid chondrosarcoma; EWSR1::NR4A3; surfaceome; therapeutic window; antibody–drug</w:t>
      </w:r>
      <w:r>
        <w:t xml:space="preserve"> </w:t>
      </w:r>
      <w:r>
        <w:t xml:space="preserve">conjugate; CAR-T; radioligand therapy; SSTR2; neuroendocrine differentiation.</w:t>
      </w:r>
    </w:p>
    <w:p>
      <w:r>
        <w:pict>
          <v:rect style="width:0;height:1.5pt" o:hralign="center" o:hrstd="t" o:hr="t"/>
        </w:pict>
      </w:r>
    </w:p>
    <w:bookmarkStart w:id="21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rPr>
          <w:bCs/>
          <w:b/>
        </w:rPr>
        <w:t xml:space="preserve">Background.</w:t>
      </w:r>
      <w:r>
        <w:t xml:space="preserve"> </w:t>
      </w:r>
      <w:r>
        <w:t xml:space="preserve">Extraskeletal myxoid chondrosarcoma (EMC) is a rare translocation sarcoma driven by the</w:t>
      </w:r>
      <w:r>
        <w:t xml:space="preserve"> </w:t>
      </w:r>
      <w:r>
        <w:rPr>
          <w:iCs/>
          <w:i/>
        </w:rPr>
        <w:t xml:space="preserve">EWSR1::NR4A3</w:t>
      </w:r>
      <w:r>
        <w:t xml:space="preserve"> </w:t>
      </w:r>
      <w:r>
        <w:t xml:space="preserve">fusion, a nuclear transcription factor. Driver-directed routes (an NR4A3 degrader; a</w:t>
      </w:r>
      <w:r>
        <w:t xml:space="preserve"> </w:t>
      </w:r>
      <w:r>
        <w:t xml:space="preserve">fusion-junction antisense oligonucleotide) confront an intracellular-delivery or druggability gate.</w:t>
      </w:r>
      <w:r>
        <w:t xml:space="preserve"> </w:t>
      </w:r>
      <w:r>
        <w:t xml:space="preserve">Cell-surface antigens offer an orthogonal axis (ADC, CAR/NK, T-cell engager, radioligand therapy) whose</w:t>
      </w:r>
      <w:r>
        <w:t xml:space="preserve"> </w:t>
      </w:r>
      <w:r>
        <w:t xml:space="preserve">gating differs — but at the cost of the fusion-level selectivity the oligonucleotide uniquely offers.</w:t>
      </w:r>
    </w:p>
    <w:p>
      <w:pPr>
        <w:pStyle w:val="BodyText"/>
      </w:pPr>
      <w:r>
        <w:rPr>
          <w:bCs/>
          <w:b/>
        </w:rPr>
        <w:t xml:space="preserve">Methods.</w:t>
      </w:r>
      <w:r>
        <w:t xml:space="preserve"> </w:t>
      </w:r>
      <w:r>
        <w:t xml:space="preserve">We built a public-data pipeline: a largely-unbiased human surfaceome (UniProt plasma-membrane +</w:t>
      </w:r>
      <w:r>
        <w:t xml:space="preserve"> </w:t>
      </w:r>
      <w:r>
        <w:t xml:space="preserve">transmembrane/GPI, unioned with a small actionable-antigen seed) ranked by expression and by a rank-based</w:t>
      </w:r>
      <w:r>
        <w:t xml:space="preserve"> </w:t>
      </w:r>
      <w:r>
        <w:t xml:space="preserve">selectivity test</w:t>
      </w:r>
      <w:r>
        <w:t xml:space="preserve"> </w:t>
      </w:r>
      <w:r>
        <w:t xml:space="preserve">(Mann–Whitney, Benjamini–Hochberg) across a translocation-sarcoma DepMap class (n = 76), which — contrary to</w:t>
      </w:r>
      <w:r>
        <w:t xml:space="preserve"> </w:t>
      </w:r>
      <w:r>
        <w:t xml:space="preserve">the common assumption —</w:t>
      </w:r>
      <w:r>
        <w:t xml:space="preserve"> </w:t>
      </w:r>
      <w:r>
        <w:rPr>
          <w:bCs/>
          <w:b/>
        </w:rPr>
        <w:t xml:space="preserve">also contains one genuine EMC line (H-EMC-SS / ACH-001519)</w:t>
      </w:r>
      <w:r>
        <w:t xml:space="preserve"> </w:t>
      </w:r>
      <w:r>
        <w:t xml:space="preserve">whose surface</w:t>
      </w:r>
      <w:r>
        <w:t xml:space="preserve"> </w:t>
      </w:r>
      <w:r>
        <w:t xml:space="preserve">transcriptome we report directly (n = 1, descriptive). We then applied a hard</w:t>
      </w:r>
      <w:r>
        <w:t xml:space="preserve"> </w:t>
      </w:r>
      <w:r>
        <w:rPr>
          <w:bCs/>
          <w:b/>
        </w:rPr>
        <w:t xml:space="preserve">normal-tissue therapeutic-window</w:t>
      </w:r>
      <w:r>
        <w:rPr>
          <w:bCs/>
          <w:b/>
        </w:rPr>
        <w:t xml:space="preserve"> </w:t>
      </w:r>
      <w:r>
        <w:rPr>
          <w:bCs/>
          <w:b/>
        </w:rPr>
        <w:t xml:space="preserve">filter</w:t>
      </w:r>
      <w:r>
        <w:t xml:space="preserve"> </w:t>
      </w:r>
      <w:r>
        <w:t xml:space="preserve">(Human Protein Atlas tissue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blood-cell specificity, with vital-tissue/immune overrides;</w:t>
      </w:r>
      <w:r>
        <w:t xml:space="preserve"> </w:t>
      </w:r>
      <w:r>
        <w:t xml:space="preserve">controls validated). Positive/negative/hard controls check each classifier branch.</w:t>
      </w:r>
    </w:p>
    <w:p>
      <w:pPr>
        <w:pStyle w:val="BodyText"/>
      </w:pPr>
      <w:r>
        <w:rPr>
          <w:bCs/>
          <w:b/>
        </w:rPr>
        <w:t xml:space="preserve">Results.</w:t>
      </w:r>
      <w:r>
        <w:t xml:space="preserve"> </w:t>
      </w:r>
      <w:r>
        <w:t xml:space="preserve">Selectivity (versus other cancer lineages) is significant for CDH11, KIT, FGFR1, NCAM1, GPC2,</w:t>
      </w:r>
      <w:r>
        <w:t xml:space="preserve"> </w:t>
      </w:r>
      <w:r>
        <w:t xml:space="preserve">PTK7, MCAM and EPHB4, and — importantly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for B7-H3/CD276 (BH q = 1.0), EGFR or FAP. The normal-tissue</w:t>
      </w:r>
      <w:r>
        <w:t xml:space="preserve"> </w:t>
      </w:r>
      <w:r>
        <w:t xml:space="preserve">filter is decisive and sobering: of the classic candidates,</w:t>
      </w:r>
      <w:r>
        <w:t xml:space="preserve"> </w:t>
      </w:r>
      <w:r>
        <w:rPr>
          <w:bCs/>
          <w:b/>
        </w:rPr>
        <w:t xml:space="preserve">none is both selective and normal-tissue-</w:t>
      </w:r>
      <w:r>
        <w:rPr>
          <w:bCs/>
          <w:b/>
        </w:rPr>
        <w:t xml:space="preserve"> </w:t>
      </w:r>
      <w:r>
        <w:rPr>
          <w:bCs/>
          <w:b/>
        </w:rPr>
        <w:t xml:space="preserve">restricted.</w:t>
      </w:r>
      <w:r>
        <w:t xml:space="preserve"> </w:t>
      </w:r>
      <w:r>
        <w:t xml:space="preserve">They partition into selective-but-broadly-expressed (CDH11, GPC2, FGFR1, MCAM, EPHB4),</w:t>
      </w:r>
      <w:r>
        <w:t xml:space="preserve"> </w:t>
      </w:r>
      <w:r>
        <w:t xml:space="preserve">selective-but-immune/vital-liability (NCAM1/CD56 — on NK cells; PTK7; KIT), and non-selective (B7-H3, EGFR,</w:t>
      </w:r>
      <w:r>
        <w:t xml:space="preserve"> </w:t>
      </w:r>
      <w:r>
        <w:t xml:space="preserve">FAP); only GD2 (assayed via its synthase B4GALNT1, an imperfect proxy) shows a restricted</w:t>
      </w:r>
      <w:r>
        <w:t xml:space="preserve"> </w:t>
      </w:r>
      <w:r>
        <w:rPr>
          <w:iCs/>
          <w:i/>
        </w:rPr>
        <w:t xml:space="preserve">normal-tissue</w:t>
      </w:r>
      <w:r>
        <w:t xml:space="preserve"> </w:t>
      </w:r>
      <w:r>
        <w:t xml:space="preserve">window (its EMC expression is unmeasured). EMC’s reported neuroendocrine differentiation (IHC: INSM1,</w:t>
      </w:r>
      <w:r>
        <w:t xml:space="preserve"> </w:t>
      </w:r>
      <w:r>
        <w:t xml:space="preserve">synaptophysin — pending citation) motivates two hypotheses the field has not tested for EMC:</w:t>
      </w:r>
      <w:r>
        <w:t xml:space="preserve"> </w:t>
      </w:r>
      <w:r>
        <w:rPr>
          <w:bCs/>
          <w:b/>
        </w:rPr>
        <w:t xml:space="preserve">SSTR2</w:t>
      </w:r>
      <w:r>
        <w:t xml:space="preserve"> </w:t>
      </w:r>
      <w:r>
        <w:t xml:space="preserve">(target</w:t>
      </w:r>
      <w:r>
        <w:t xml:space="preserve"> </w:t>
      </w:r>
      <w:r>
        <w:t xml:space="preserve">of the approved radioligand ¹⁷⁷Lu-DOTATATE) and</w:t>
      </w:r>
      <w:r>
        <w:t xml:space="preserve"> </w:t>
      </w:r>
      <w:r>
        <w:rPr>
          <w:bCs/>
          <w:b/>
        </w:rPr>
        <w:t xml:space="preserve">GD2</w:t>
      </w:r>
      <w:r>
        <w:t xml:space="preserve"> </w:t>
      </w:r>
      <w:r>
        <w:t xml:space="preserve">— both requiring direct EMC measurement.</w:t>
      </w:r>
    </w:p>
    <w:p>
      <w:pPr>
        <w:pStyle w:val="BodyText"/>
      </w:pPr>
      <w:r>
        <w:rPr>
          <w:bCs/>
          <w:b/>
        </w:rPr>
        <w:t xml:space="preserve">Conclusion.</w:t>
      </w:r>
      <w:r>
        <w:t xml:space="preserve"> </w:t>
      </w:r>
      <w:r>
        <w:t xml:space="preserve">Done rigorously, in-silico surface-target discovery for EMC does not hand over a clean target;</w:t>
      </w:r>
      <w:r>
        <w:t xml:space="preserve"> </w:t>
      </w:r>
      <w:r>
        <w:t xml:space="preserve">its value is to de-risk over-optimistic assumptions (especially B7-H3), to expose antigen-specific liabilities,</w:t>
      </w:r>
      <w:r>
        <w:t xml:space="preserve"> </w:t>
      </w:r>
      <w:r>
        <w:t xml:space="preserve">to surface the one available EMC line’s profile, and to nominate the neuroendocrine SSTR2/GD2 route. The</w:t>
      </w:r>
      <w:r>
        <w:t xml:space="preserve"> </w:t>
      </w:r>
      <w:r>
        <w:t xml:space="preserve">decisive validation — EMC surface</w:t>
      </w:r>
      <w:r>
        <w:t xml:space="preserve"> </w:t>
      </w:r>
      <w:r>
        <w:rPr>
          <w:iCs/>
          <w:i/>
        </w:rPr>
        <w:t xml:space="preserve">protein</w:t>
      </w:r>
      <w:r>
        <w:t xml:space="preserve"> </w:t>
      </w:r>
      <w:r>
        <w:t xml:space="preserve">expression with a normal-tissue window — requires the</w:t>
      </w:r>
      <w:r>
        <w:t xml:space="preserve"> </w:t>
      </w:r>
      <w:r>
        <w:t xml:space="preserve">patient-derived EMC lines, and we invite their holders to co-resolve it.</w:t>
      </w:r>
    </w:p>
    <w:p>
      <w:r>
        <w:pict>
          <v:rect style="width:0;height:1.5pt" o:hralign="center" o:hrstd="t" o:hr="t"/>
        </w:pict>
      </w:r>
    </w:p>
    <w:bookmarkEnd w:id="21"/>
    <w:bookmarkStart w:id="22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EMC is a rare soft-tissue sarcoma (commonly cited as well under 1% of soft-tissue sarcomas [citation to</w:t>
      </w:r>
      <w:r>
        <w:t xml:space="preserve"> </w:t>
      </w:r>
      <w:r>
        <w:t xml:space="preserve">verify]) defined by a translocation fusing the 5′ region of</w:t>
      </w:r>
      <w:r>
        <w:t xml:space="preserve"> </w:t>
      </w:r>
      <w:r>
        <w:rPr>
          <w:iCs/>
          <w:i/>
        </w:rPr>
        <w:t xml:space="preserve">EWSR1</w:t>
      </w:r>
      <w:r>
        <w:t xml:space="preserve"> </w:t>
      </w:r>
      <w:r>
        <w:t xml:space="preserve">(less often TAF15/others) to the orphan</w:t>
      </w:r>
      <w:r>
        <w:t xml:space="preserve"> </w:t>
      </w:r>
      <w:r>
        <w:t xml:space="preserve">nuclear receptor</w:t>
      </w:r>
      <w:r>
        <w:t xml:space="preserve"> </w:t>
      </w:r>
      <w:r>
        <w:rPr>
          <w:iCs/>
          <w:i/>
        </w:rPr>
        <w:t xml:space="preserve">NR4A3</w:t>
      </w:r>
      <w:r>
        <w:t xml:space="preserve">, producing a chimeric transcription factor on a genome with few recurrent secondary</w:t>
      </w:r>
      <w:r>
        <w:t xml:space="preserve"> </w:t>
      </w:r>
      <w:r>
        <w:t xml:space="preserve">mutations [Sjögren; Panagopoulos; whole-genome characterisation citation to verify]. Its line of differentiation</w:t>
      </w:r>
      <w:r>
        <w:t xml:space="preserve"> </w:t>
      </w:r>
      <w:r>
        <w:t xml:space="preserve">was long debated; recent immunohistochemistry supports a</w:t>
      </w:r>
      <w:r>
        <w:t xml:space="preserve"> </w:t>
      </w:r>
      <w:r>
        <w:rPr>
          <w:bCs/>
          <w:b/>
        </w:rPr>
        <w:t xml:space="preserve">neuroendocrine phenotype</w:t>
      </w:r>
      <w:r>
        <w:t xml:space="preserve"> </w:t>
      </w:r>
      <w:r>
        <w:t xml:space="preserve">— INSM1 is a</w:t>
      </w:r>
      <w:r>
        <w:t xml:space="preserve"> </w:t>
      </w:r>
      <w:r>
        <w:t xml:space="preserve">sensitive/relatively specific EMC marker and synaptophysin/NSE are frequently expressed, while S100 is only</w:t>
      </w:r>
      <w:r>
        <w:t xml:space="preserve"> </w:t>
      </w:r>
      <w:r>
        <w:t xml:space="preserve">focally positive [Yoshida/Modern Pathology 2017; comprehensive review 2025 — citations to verify].</w:t>
      </w:r>
    </w:p>
    <w:p>
      <w:pPr>
        <w:pStyle w:val="BodyText"/>
      </w:pPr>
      <w:r>
        <w:rPr>
          <w:bCs/>
          <w:b/>
        </w:rPr>
        <w:t xml:space="preserve">The intracellular-target bottleneck and the surface alternative.</w:t>
      </w:r>
      <w:r>
        <w:t xml:space="preserve"> </w:t>
      </w:r>
      <w:r>
        <w:t xml:space="preserve">Because the driver is nuclear,</w:t>
      </w:r>
      <w:r>
        <w:t xml:space="preserve"> </w:t>
      </w:r>
      <w:r>
        <w:t xml:space="preserve">driver-directed therapies act inside the cell and confront a druggability or oligonucleotide-delivery gate.</w:t>
      </w:r>
      <w:r>
        <w:t xml:space="preserve"> </w:t>
      </w:r>
      <w:r>
        <w:t xml:space="preserve">Cell-surface antigens enable modalities that change the problem: ADC (clinically validated antibody-mediated</w:t>
      </w:r>
      <w:r>
        <w:t xml:space="preserve"> </w:t>
      </w:r>
      <w:r>
        <w:t xml:space="preserve">delivery), T-cell engagers and CAR-T/NK (act at the surface; no intracellular delivery), and radioligand</w:t>
      </w:r>
      <w:r>
        <w:t xml:space="preserve"> </w:t>
      </w:r>
      <w:r>
        <w:t xml:space="preserve">therapy (payload is radiation). We stress at the outset that this is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gating,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obviously</w:t>
      </w:r>
      <w:r>
        <w:t xml:space="preserve"> </w:t>
      </w:r>
      <w:r>
        <w:t xml:space="preserve">easier one in EMC (§5), and that it sacrifices the fusion-exclusivity of the RNA route.</w:t>
      </w:r>
    </w:p>
    <w:p>
      <w:pPr>
        <w:pStyle w:val="BodyText"/>
      </w:pPr>
      <w:r>
        <w:rPr>
          <w:bCs/>
          <w:b/>
        </w:rPr>
        <w:t xml:space="preserve">The gap.</w:t>
      </w:r>
      <w:r>
        <w:t xml:space="preserve"> </w:t>
      </w:r>
      <w:r>
        <w:t xml:space="preserve">EMC surface-antigen expression has not been systematically mapped, and EMC has been assumed absent</w:t>
      </w:r>
      <w:r>
        <w:t xml:space="preserve"> </w:t>
      </w:r>
      <w:r>
        <w:t xml:space="preserve">from public cell-line panels. We provide the first in-silico surface-antigen analysis for EMC, with a</w:t>
      </w:r>
      <w:r>
        <w:t xml:space="preserve"> </w:t>
      </w:r>
      <w:r>
        <w:t xml:space="preserve">deliberately hard normal-tissue filter and honest statistics, to prioritise scarce validation and to specify</w:t>
      </w:r>
      <w:r>
        <w:t xml:space="preserve"> </w:t>
      </w:r>
      <w:r>
        <w:t xml:space="preserve">what that validation is.</w:t>
      </w:r>
    </w:p>
    <w:p>
      <w:r>
        <w:pict>
          <v:rect style="width:0;height:1.5pt" o:hralign="center" o:hrstd="t" o:hr="t"/>
        </w:pict>
      </w:r>
    </w:p>
    <w:bookmarkEnd w:id="22"/>
    <w:bookmarkStart w:id="23" w:name="methods"/>
    <w:p>
      <w:pPr>
        <w:pStyle w:val="Heading2"/>
      </w:pPr>
      <w:r>
        <w:t xml:space="preserve">2. Methods</w:t>
      </w:r>
    </w:p>
    <w:p>
      <w:pPr>
        <w:pStyle w:val="FirstParagraph"/>
      </w:pPr>
      <w:r>
        <w:t xml:space="preserve">All analyses are computational, use public data, run in CI, and commit their outputs (Data &amp; code). No wet-lab</w:t>
      </w:r>
      <w:r>
        <w:t xml:space="preserve"> </w:t>
      </w:r>
      <w:r>
        <w:t xml:space="preserve">work was done. Provenance and per-stage controls are recorded in each output JSON.</w:t>
      </w:r>
    </w:p>
    <w:p>
      <w:pPr>
        <w:pStyle w:val="BodyText"/>
      </w:pPr>
      <w:r>
        <w:rPr>
          <w:bCs/>
          <w:b/>
        </w:rPr>
        <w:t xml:space="preserve">2.1 Surfaceome.</w:t>
      </w:r>
      <w:r>
        <w:t xml:space="preserve"> </w:t>
      </w:r>
      <w:r>
        <w:t xml:space="preserve">UniProt-reviewed human proteins with a plasma-membrane location (SL-0039) plus a</w:t>
      </w:r>
      <w:r>
        <w:t xml:space="preserve"> </w:t>
      </w:r>
      <w:r>
        <w:t xml:space="preserve">transmembrane (KW-0812) or GPI-anchor (KW-0336) topology, unioned with a curated seed of actionable surface</w:t>
      </w:r>
      <w:r>
        <w:t xml:space="preserve"> </w:t>
      </w:r>
      <w:r>
        <w:t xml:space="preserve">antigens (so established targets are always evaluated). The committed run used</w:t>
      </w:r>
      <w:r>
        <w:t xml:space="preserve"> </w:t>
      </w:r>
      <w:r>
        <w:rPr>
          <w:bCs/>
          <w:b/>
        </w:rPr>
        <w:t xml:space="preserve">2,820 genes from UniProt ∪ 47</w:t>
      </w:r>
      <w:r>
        <w:rPr>
          <w:bCs/>
          <w:b/>
        </w:rPr>
        <w:t xml:space="preserve"> </w:t>
      </w:r>
      <w:r>
        <w:rPr>
          <w:bCs/>
          <w:b/>
        </w:rPr>
        <w:t xml:space="preserve">curated seed antigens</w:t>
      </w:r>
      <w:r>
        <w:t xml:space="preserve"> </w:t>
      </w:r>
      <w:r>
        <w:t xml:space="preserve">(41 of the seed already in the UniProt set) =</w:t>
      </w:r>
      <w:r>
        <w:t xml:space="preserve"> </w:t>
      </w:r>
      <w:r>
        <w:rPr>
          <w:bCs/>
          <w:b/>
        </w:rPr>
        <w:t xml:space="preserve">2,826 unique</w:t>
      </w:r>
      <w:r>
        <w:t xml:space="preserve">, of which</w:t>
      </w:r>
      <w:r>
        <w:t xml:space="preserve"> </w:t>
      </w:r>
      <w:r>
        <w:rPr>
          <w:bCs/>
          <w:b/>
        </w:rPr>
        <w:t xml:space="preserve">2,692</w:t>
      </w:r>
      <w:r>
        <w:t xml:space="preserve"> </w:t>
      </w:r>
      <w:r>
        <w:t xml:space="preserve">are</w:t>
      </w:r>
      <w:r>
        <w:t xml:space="preserve"> </w:t>
      </w:r>
      <w:r>
        <w:t xml:space="preserve">present in the DepMap expression matrix and were scanned — so the seed is a small, mostly-redundant minority</w:t>
      </w:r>
      <w:r>
        <w:t xml:space="preserve"> </w:t>
      </w:r>
      <w:r>
        <w:t xml:space="preserve">and the set is largely, though</w:t>
      </w:r>
      <w:r>
        <w:t xml:space="preserve"> </w:t>
      </w:r>
      <w:r>
        <w:rPr>
          <w:bCs/>
          <w:b/>
        </w:rPr>
        <w:t xml:space="preserve">not strictly, unbiased</w:t>
      </w:r>
      <w:r>
        <w:t xml:space="preserve">; the UniProt fetch status and counts are recorded in</w:t>
      </w:r>
      <w:r>
        <w:t xml:space="preserve"> </w:t>
      </w:r>
      <w:r>
        <w:t xml:space="preserve">the output. [</w:t>
      </w:r>
      <w:r>
        <w:rPr>
          <w:rStyle w:val="VerbatimChar"/>
        </w:rPr>
        <w:t xml:space="preserve">emc_surfaceome_scan.py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2.2 Expression, selectivity, and the one EMC line.</w:t>
      </w:r>
      <w:r>
        <w:t xml:space="preserve"> </w:t>
      </w:r>
      <w:r>
        <w:t xml:space="preserve">DepMap OmicsExpression (log2(TPM+1)). We defined a</w:t>
      </w:r>
      <w:r>
        <w:t xml:space="preserve"> </w:t>
      </w:r>
      <w:r>
        <w:t xml:space="preserve">translocation-sarcoma class by OncotreeSubtype (Ewing/synovial/alveolar/DSRCT/clear-cell + the EMC line;</w:t>
      </w:r>
      <w:r>
        <w:t xml:space="preserve"> </w:t>
      </w:r>
      <w:r>
        <w:t xml:space="preserve">n = 76) as a lineage-generic surrogate, and — a correction to the field’s assumption — identified a</w:t>
      </w:r>
      <w:r>
        <w:t xml:space="preserve"> </w:t>
      </w:r>
      <w:r>
        <w:rPr>
          <w:bCs/>
          <w:b/>
        </w:rPr>
        <w:t xml:space="preserve">single</w:t>
      </w:r>
      <w:r>
        <w:rPr>
          <w:bCs/>
          <w:b/>
        </w:rPr>
        <w:t xml:space="preserve"> </w:t>
      </w:r>
      <w:r>
        <w:rPr>
          <w:bCs/>
          <w:b/>
        </w:rPr>
        <w:t xml:space="preserve">genuine EMC line, ACH-001519 (H-EMC-SS), OncotreeSubtype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Extraskeletal Myxoid Chondrosarcoma</w:t>
      </w:r>
      <w:r>
        <w:rPr>
          <w:bCs/>
          <w:b/>
        </w:rPr>
        <w:t xml:space="preserve">”</w:t>
      </w:r>
      <w:r>
        <w:t xml:space="preserve">, whose own</w:t>
      </w:r>
      <w:r>
        <w:t xml:space="preserve"> </w:t>
      </w:r>
      <w:r>
        <w:t xml:space="preserve">top surface antigens we report (n = 1, descriptive; H-EMC-SS authentication and EWSR1::NR4A3 status flagged</w:t>
      </w:r>
      <w:r>
        <w:t xml:space="preserve"> </w:t>
      </w:r>
      <w:r>
        <w:t xml:space="preserve">[to verify]). For each surface gene we report expression, an effect size (enrichment versus non-sarcoma</w:t>
      </w:r>
      <w:r>
        <w:t xml:space="preserve"> </w:t>
      </w:r>
      <w:r>
        <w:t xml:space="preserve">lineages), and a</w:t>
      </w:r>
      <w:r>
        <w:t xml:space="preserve"> </w:t>
      </w:r>
      <w:r>
        <w:rPr>
          <w:bCs/>
          <w:b/>
        </w:rPr>
        <w:t xml:space="preserve">rank-based one-sided Mann–Whitney p that the class exceeds the rest, Benjamini–Hochberg</w:t>
      </w:r>
      <w:r>
        <w:rPr>
          <w:bCs/>
          <w:b/>
        </w:rPr>
        <w:t xml:space="preserve"> </w:t>
      </w:r>
      <w:r>
        <w:rPr>
          <w:bCs/>
          <w:b/>
        </w:rPr>
        <w:t xml:space="preserve">corrected</w:t>
      </w:r>
      <w:r>
        <w:t xml:space="preserve">. We are explicit that this is cross-</w:t>
      </w:r>
      <w:r>
        <w:rPr>
          <w:iCs/>
          <w:i/>
        </w:rPr>
        <w:t xml:space="preserve">cancer</w:t>
      </w:r>
      <w:r>
        <w:t xml:space="preserve"> </w:t>
      </w:r>
      <w:r>
        <w:t xml:space="preserve">selectivity (a distinguishable-from-epithelial-tumours</w:t>
      </w:r>
      <w:r>
        <w:t xml:space="preserve"> </w:t>
      </w:r>
      <w:r>
        <w:t xml:space="preserve">descriptor),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tumour-vs-normal window, and that it mechanically favours mesenchymal antigens because</w:t>
      </w:r>
      <w:r>
        <w:t xml:space="preserve"> </w:t>
      </w:r>
      <w:r>
        <w:t xml:space="preserve">the DepMap panel is epithelial-dominated. Self-check: housekeeping genes are excluded by construction (a</w:t>
      </w:r>
      <w:r>
        <w:t xml:space="preserve"> </w:t>
      </w:r>
      <w:r>
        <w:t xml:space="preserve">minimal sanity check, not validation); CD276 recovers as broadly expressed. [</w:t>
      </w:r>
      <w:r>
        <w:rPr>
          <w:rStyle w:val="VerbatimChar"/>
        </w:rPr>
        <w:t xml:space="preserve">emc_surfaceome_scan.py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2.3 Normal-tissue therapeutic-window filter (the primary axis).</w:t>
      </w:r>
      <w:r>
        <w:t xml:space="preserve"> </w:t>
      </w:r>
      <w:r>
        <w:t xml:space="preserve">For each antigen we queried the Human</w:t>
      </w:r>
      <w:r>
        <w:t xml:space="preserve"> </w:t>
      </w:r>
      <w:r>
        <w:t xml:space="preserve">Protein Atlas for RNA tissue specificity, tissue distribution, per-tissue nTPM,</w:t>
      </w:r>
      <w:r>
        <w:t xml:space="preserve"> </w:t>
      </w:r>
      <w:r>
        <w:rPr>
          <w:bCs/>
          <w:b/>
        </w:rPr>
        <w:t xml:space="preserve">blood-cell specificity</w:t>
      </w:r>
      <w:r>
        <w:t xml:space="preserve">, and</w:t>
      </w:r>
      <w:r>
        <w:t xml:space="preserve"> </w:t>
      </w:r>
      <w:r>
        <w:t xml:space="preserve">subcellular location, and classified a window verdict with correct HPA semantics: only</w:t>
      </w:r>
      <w:r>
        <w:t xml:space="preserve"> </w:t>
      </w:r>
      <w:r>
        <w:rPr>
          <w:iCs/>
          <w:i/>
        </w:rPr>
        <w:t xml:space="preserve">tissue enriched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group enriched</w:t>
      </w:r>
      <w:r>
        <w:t xml:space="preserve"> </w:t>
      </w:r>
      <w:r>
        <w:t xml:space="preserve">with a</w:t>
      </w:r>
      <w:r>
        <w:t xml:space="preserve"> </w:t>
      </w:r>
      <w:r>
        <w:rPr>
          <w:iCs/>
          <w:i/>
        </w:rPr>
        <w:t xml:space="preserve">restricted distribution</w:t>
      </w:r>
      <w:r>
        <w:t xml:space="preserve"> </w:t>
      </w:r>
      <w:r>
        <w:t xml:space="preserve">and no vital-tissue and no strong immune/circulating signal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RESTRICTED</w:t>
      </w:r>
      <w:r>
        <w:t xml:space="preserve">;</w:t>
      </w:r>
      <w:r>
        <w:t xml:space="preserve"> </w:t>
      </w:r>
      <w:r>
        <w:rPr>
          <w:iCs/>
          <w:i/>
        </w:rPr>
        <w:t xml:space="preserve">tissue enhanced</w:t>
      </w:r>
      <w:r>
        <w:t xml:space="preserve"> </w:t>
      </w:r>
      <w:r>
        <w:t xml:space="preserve">(detected broadly with a peak) is</w:t>
      </w:r>
      <w:r>
        <w:t xml:space="preserve"> </w:t>
      </w:r>
      <w:r>
        <w:rPr>
          <w:bCs/>
          <w:b/>
        </w:rPr>
        <w:t xml:space="preserve">ENHANCED_BROAD</w:t>
      </w:r>
      <w:r>
        <w:t xml:space="preserve">, not restricted;</w:t>
      </w:r>
      <w:r>
        <w:t xml:space="preserve"> </w:t>
      </w:r>
      <w:r>
        <w:rPr>
          <w:iCs/>
          <w:i/>
        </w:rPr>
        <w:t xml:space="preserve">low tissue specificity</w:t>
      </w:r>
      <w:r>
        <w:t xml:space="preserve"> </w:t>
      </w:r>
      <w:r>
        <w:rPr>
          <w:bCs/>
          <w:b/>
        </w:rPr>
        <w:t xml:space="preserve">or 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detected in all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distribution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BROAD_LIABILITY</w:t>
      </w:r>
      <w:r>
        <w:t xml:space="preserve"> </w:t>
      </w:r>
      <w:r>
        <w:t xml:space="preserve">(the distribution</w:t>
      </w:r>
      <w:r>
        <w:t xml:space="preserve"> </w:t>
      </w:r>
      <w:r>
        <w:t xml:space="preserve">override demotes e.g. MCAM, which is</w:t>
      </w:r>
      <w:r>
        <w:t xml:space="preserve"> </w:t>
      </w:r>
      <w:r>
        <w:t xml:space="preserve">“</w:t>
      </w:r>
      <w:r>
        <w:t xml:space="preserve">group enriched</w:t>
      </w:r>
      <w:r>
        <w:t xml:space="preserve">”</w:t>
      </w:r>
      <w:r>
        <w:t xml:space="preserve"> </w:t>
      </w:r>
      <w:r>
        <w:t xml:space="preserve">but detected in all tissues); and expression in a vital</w:t>
      </w:r>
      <w:r>
        <w:t xml:space="preserve"> </w:t>
      </w:r>
      <w:r>
        <w:t xml:space="preserve">tissue, or a</w:t>
      </w:r>
      <w:r>
        <w:t xml:space="preserve"> </w:t>
      </w:r>
      <w:r>
        <w:rPr>
          <w:iCs/>
          <w:i/>
        </w:rPr>
        <w:t xml:space="preserve">confined</w:t>
      </w:r>
      <w:r>
        <w:t xml:space="preserve"> </w:t>
      </w:r>
      <w:r>
        <w:t xml:space="preserve">blood signal (</w:t>
      </w:r>
      <w:r>
        <w:rPr>
          <w:iCs/>
          <w:i/>
        </w:rPr>
        <w:t xml:space="preserve">immune-cell enriched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group enriched</w:t>
      </w:r>
      <w:r>
        <w:t xml:space="preserve"> </w:t>
      </w:r>
      <w:r>
        <w:t xml:space="preserve">— not weak</w:t>
      </w:r>
      <w:r>
        <w:t xml:space="preserve"> </w:t>
      </w:r>
      <w:r>
        <w:rPr>
          <w:iCs/>
          <w:i/>
        </w:rPr>
        <w:t xml:space="preserve">immune-cell</w:t>
      </w:r>
      <w:r>
        <w:rPr>
          <w:iCs/>
          <w:i/>
        </w:rPr>
        <w:t xml:space="preserve"> </w:t>
      </w:r>
      <w:r>
        <w:rPr>
          <w:iCs/>
          <w:i/>
        </w:rPr>
        <w:t xml:space="preserve">enhanced</w:t>
      </w:r>
      <w:r>
        <w:t xml:space="preserve">), overrides all as</w:t>
      </w:r>
      <w:r>
        <w:t xml:space="preserve"> </w:t>
      </w:r>
      <w:r>
        <w:rPr>
          <w:bCs/>
          <w:b/>
        </w:rPr>
        <w:t xml:space="preserve">VITAL_OR_IMMUNE_LIABILITY</w:t>
      </w:r>
      <w:r>
        <w:t xml:space="preserve">. Controls: DLL3/GPC3 (tumour-restricted) must be RESTRICTED, B2M BROAD,</w:t>
      </w:r>
      <w:r>
        <w:t xml:space="preserve"> </w:t>
      </w:r>
      <w:r>
        <w:t xml:space="preserve">and a</w:t>
      </w:r>
      <w:r>
        <w:t xml:space="preserve"> </w:t>
      </w:r>
      <w:r>
        <w:rPr>
          <w:bCs/>
          <w:b/>
        </w:rPr>
        <w:t xml:space="preserve">hard control CD3E</w:t>
      </w:r>
      <w:r>
        <w:t xml:space="preserve"> </w:t>
      </w:r>
      <w:r>
        <w:t xml:space="preserve">(an immune antigen) must NOT be RESTRICTED — all satisfied. HPA RNA is bulk normal</w:t>
      </w:r>
      <w:r>
        <w:t xml:space="preserve"> </w:t>
      </w:r>
      <w:r>
        <w:t xml:space="preserve">tissue and a window</w:t>
      </w:r>
      <w:r>
        <w:t xml:space="preserve"> </w:t>
      </w:r>
      <w:r>
        <w:rPr>
          <w:iCs/>
          <w:i/>
        </w:rPr>
        <w:t xml:space="preserve">prior</w:t>
      </w:r>
      <w:r>
        <w:t xml:space="preserve">, not a safety guarantee, and mRNA ≠ surface protein. [</w:t>
      </w:r>
      <w:r>
        <w:rPr>
          <w:rStyle w:val="VerbatimChar"/>
        </w:rPr>
        <w:t xml:space="preserve">emc_surface_normal_window.py</w:t>
      </w:r>
      <w:r>
        <w:t xml:space="preserve">]</w:t>
      </w:r>
    </w:p>
    <w:p>
      <w:pPr>
        <w:pStyle w:val="BodyText"/>
      </w:pPr>
      <w:r>
        <w:rPr>
          <w:bCs/>
          <w:b/>
        </w:rPr>
        <w:t xml:space="preserve">2.4 Real-EMC public data (attempted).</w:t>
      </w:r>
      <w:r>
        <w:t xml:space="preserve"> </w:t>
      </w:r>
      <w:r>
        <w:t xml:space="preserve">We attempted the only usable dedicated public EMC tumour</w:t>
      </w:r>
      <w:r>
        <w:t xml:space="preserve"> </w:t>
      </w:r>
      <w:r>
        <w:t xml:space="preserve">transcriptome we could identify (GSE4303) and</w:t>
      </w:r>
      <w:r>
        <w:t xml:space="preserve"> </w:t>
      </w:r>
      <w:r>
        <w:t xml:space="preserve">report why it is unusable. [</w:t>
      </w:r>
      <w:r>
        <w:rPr>
          <w:rStyle w:val="VerbatimChar"/>
        </w:rPr>
        <w:t xml:space="preserve">emc_gse4303_crosscheck.py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emc_line_data_probe.py</w:t>
      </w:r>
      <w:r>
        <w:t xml:space="preserve">]</w:t>
      </w:r>
    </w:p>
    <w:p>
      <w:r>
        <w:pict>
          <v:rect style="width:0;height:1.5pt" o:hralign="center" o:hrstd="t" o:hr="t"/>
        </w:pict>
      </w:r>
    </w:p>
    <w:bookmarkEnd w:id="23"/>
    <w:bookmarkStart w:id="29" w:name="results"/>
    <w:p>
      <w:pPr>
        <w:pStyle w:val="Heading2"/>
      </w:pPr>
      <w:r>
        <w:t xml:space="preserve">3. Results</w:t>
      </w:r>
    </w:p>
    <w:bookmarkStart w:id="24" w:name="the-one-emc-line-in-public-data-h-emc-ss"/>
    <w:p>
      <w:pPr>
        <w:pStyle w:val="Heading3"/>
      </w:pPr>
      <w:r>
        <w:t xml:space="preserve">3.1 The one EMC line in public data — H-EMC-SS</w:t>
      </w:r>
    </w:p>
    <w:p>
      <w:pPr>
        <w:pStyle w:val="FirstParagraph"/>
      </w:pPr>
      <w:r>
        <w:t xml:space="preserve">Contrary to the assumption that EMC is absent from public cell-line panels, DepMap contains one line annotated</w:t>
      </w:r>
      <w:r>
        <w:t xml:space="preserve"> </w:t>
      </w:r>
      <w:r>
        <w:t xml:space="preserve">Extraskeletal Myxoid Chondrosarcoma —</w:t>
      </w:r>
      <w:r>
        <w:t xml:space="preserve"> </w:t>
      </w:r>
      <w:r>
        <w:rPr>
          <w:bCs/>
          <w:b/>
        </w:rPr>
        <w:t xml:space="preserve">ACH-001519 / H-EMC-SS</w:t>
      </w:r>
      <w:r>
        <w:t xml:space="preserve">. Its own top surface-antigen transcripts are</w:t>
      </w:r>
      <w:r>
        <w:t xml:space="preserve"> </w:t>
      </w:r>
      <w:r>
        <w:t xml:space="preserve">the most EMC-specific in-silico signal available (n = 1, descriptive; no statistics; authentication/fusion</w:t>
      </w:r>
      <w:r>
        <w:t xml:space="preserve"> </w:t>
      </w:r>
      <w:r>
        <w:t xml:space="preserve">status [to verify]):</w:t>
      </w:r>
    </w:p>
    <w:p>
      <w:pPr>
        <w:pStyle w:val="BodyText"/>
      </w:pPr>
      <w:r>
        <w:rPr>
          <w:bCs/>
          <w:b/>
        </w:rPr>
        <w:t xml:space="preserve">Table 1. H-EMC-SS (ACH-001519) top surface-antigen transcripts</w:t>
      </w:r>
      <w:r>
        <w:t xml:space="preserve"> </w:t>
      </w:r>
      <w:r>
        <w:t xml:space="preserve">(log2(TPM+1); single sample, descriptive;</w:t>
      </w:r>
      <w:r>
        <w:t xml:space="preserve"> </w:t>
      </w:r>
      <w:r>
        <w:t xml:space="preserve">[</w:t>
      </w:r>
      <w:r>
        <w:rPr>
          <w:rStyle w:val="VerbatimChar"/>
        </w:rPr>
        <w:t xml:space="preserve">emc-surfaceome-scan.json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emc_line_top_surface</w:t>
      </w:r>
      <w:r>
        <w:t xml:space="preserve">]).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Antigen (log2TPM)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Antigen (log2TPM)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(9.9)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CD164 (8.5)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CD63 (9.5)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DNER (8.5)</w:t>
            </w:r>
            <w:r>
              <w:t xml:space="preserve"> </w:t>
            </w:r>
            <w:r>
              <w:rPr>
                <w:iCs/>
                <w:i/>
              </w:rPr>
              <w:t xml:space="preserve">neural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FGFR1 (9.3)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BSG/CD147 (8.2)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SLC38A2 (9.0)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RTN4/Nogo (8.2)</w:t>
            </w:r>
            <w:r>
              <w:t xml:space="preserve"> </w:t>
            </w:r>
            <w:r>
              <w:rPr>
                <w:iCs/>
                <w:i/>
              </w:rPr>
              <w:t xml:space="preserve">neural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GPRC5B (8.9)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MMP14 (8.1)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PERP (8.8)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ITGB1 (7.9)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SLC3A2 (8.6)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PMP22 (7.8)</w:t>
            </w:r>
            <w:r>
              <w:t xml:space="preserve"> </w:t>
            </w:r>
            <w:r>
              <w:rPr>
                <w:iCs/>
                <w:i/>
              </w:rPr>
              <w:t xml:space="preserve">neural/myelin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CD81 (8.5)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ALCAM (7.7)</w:t>
            </w:r>
          </w:p>
        </w:tc>
      </w:tr>
    </w:tbl>
    <w:p>
      <w:pPr>
        <w:pStyle w:val="BodyText"/>
      </w:pPr>
      <w:r>
        <w:t xml:space="preserve">Two honest readings. First, the list is</w:t>
      </w:r>
      <w:r>
        <w:t xml:space="preserve"> </w:t>
      </w:r>
      <w:r>
        <w:rPr>
          <w:bCs/>
          <w:b/>
        </w:rPr>
        <w:t xml:space="preserve">dominated by ubiquitous membrane proteins</w:t>
      </w:r>
      <w:r>
        <w:t xml:space="preserve"> </w:t>
      </w:r>
      <w:r>
        <w:t xml:space="preserve">(APP, the tetraspanins</w:t>
      </w:r>
      <w:r>
        <w:t xml:space="preserve"> </w:t>
      </w:r>
      <w:r>
        <w:t xml:space="preserve">CD63/CD81, BSG/CD147, ITGB1, ALCAM) — raw single-line expression surfaces housekeeping surface proteins, which</w:t>
      </w:r>
      <w:r>
        <w:t xml:space="preserve"> </w:t>
      </w:r>
      <w:r>
        <w:t xml:space="preserve">is precisely why the selectivity and normal-tissue filters below are necessary and why</w:t>
      </w:r>
      <w:r>
        <w:t xml:space="preserve"> </w:t>
      </w:r>
      <w:r>
        <w:t xml:space="preserve">“</w:t>
      </w:r>
      <w:r>
        <w:t xml:space="preserve">highly expressed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targetable</w:t>
      </w:r>
      <w:r>
        <w:t xml:space="preserve">”</w:t>
      </w:r>
      <w:r>
        <w:t xml:space="preserve">. Second,</w:t>
      </w:r>
      <w:r>
        <w:t xml:space="preserve"> </w:t>
      </w:r>
      <w:r>
        <w:rPr>
          <w:bCs/>
          <w:b/>
        </w:rPr>
        <w:t xml:space="preserve">FGFR1 ranks third</w:t>
      </w:r>
      <w:r>
        <w:t xml:space="preserve"> </w:t>
      </w:r>
      <w:r>
        <w:t xml:space="preserve">and several</w:t>
      </w:r>
      <w:r>
        <w:t xml:space="preserve"> </w:t>
      </w:r>
      <w:r>
        <w:rPr>
          <w:bCs/>
          <w:b/>
        </w:rPr>
        <w:t xml:space="preserve">neural-associated surface proteins (DNER,</w:t>
      </w:r>
      <w:r>
        <w:rPr>
          <w:bCs/>
          <w:b/>
        </w:rPr>
        <w:t xml:space="preserve"> </w:t>
      </w:r>
      <w:r>
        <w:rPr>
          <w:bCs/>
          <w:b/>
        </w:rPr>
        <w:t xml:space="preserve">RTN4/Nogo, PMP22)</w:t>
      </w:r>
      <w:r>
        <w:t xml:space="preserve"> </w:t>
      </w:r>
      <w:r>
        <w:t xml:space="preserve">appear — loosely consistent with EMC’s neuroendocrine/neural differentiation (§1), though</w:t>
      </w:r>
      <w:r>
        <w:t xml:space="preserve"> </w:t>
      </w:r>
      <w:r>
        <w:t xml:space="preserve">from a single line this is a suggestion, not evidence, for the SSTR2/GD2 hypothesis (§3.4). This one line</w:t>
      </w:r>
      <w:r>
        <w:t xml:space="preserve"> </w:t>
      </w:r>
      <w:r>
        <w:t xml:space="preserve">cannot carry statistical weight; it anchors the analysis in an established EMC line (ECACC-catalogued H-EMC-SS;</w:t>
      </w:r>
      <w:r>
        <w:t xml:space="preserve"> </w:t>
      </w:r>
      <w:r>
        <w:t xml:space="preserve">authentication/fusion status [to verify]) and is exactly the data that, at n ≫ 1, would resolve the questions</w:t>
      </w:r>
      <w:r>
        <w:t xml:space="preserve"> </w:t>
      </w:r>
      <w:r>
        <w:t xml:space="preserve">below.</w:t>
      </w:r>
    </w:p>
    <w:bookmarkEnd w:id="24"/>
    <w:bookmarkStart w:id="25" w:name="X4e91d88fbcb5094b02aa96fd206919eda3097c1"/>
    <w:p>
      <w:pPr>
        <w:pStyle w:val="Heading3"/>
      </w:pPr>
      <w:r>
        <w:t xml:space="preserve">3.2 Selectivity across the translocation-sarcoma class — and B7-H3 is not selective</w:t>
      </w:r>
    </w:p>
    <w:p>
      <w:pPr>
        <w:pStyle w:val="FirstParagraph"/>
      </w:pPr>
      <w:r>
        <w:t xml:space="preserve">With a rank-based, BH-corrected test (surrogate class vs non-sarcoma lineages; [</w:t>
      </w:r>
      <w:r>
        <w:rPr>
          <w:rStyle w:val="VerbatimChar"/>
        </w:rPr>
        <w:t xml:space="preserve">emc-surfaceome-scan.json</w:t>
      </w:r>
      <w:r>
        <w:t xml:space="preserve">]):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Antigen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Enrichment (log2TPM, class − rest)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 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Significantly selective?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+2.46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CDH11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FGFR1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NCAM1/CD56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PTK7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MCAM/CD146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EPHB4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B7-H3/CD276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Two cautions, stated up front. First, this is</w:t>
      </w:r>
      <w:r>
        <w:t xml:space="preserve"> </w:t>
      </w:r>
      <w:r>
        <w:rPr>
          <w:bCs/>
          <w:b/>
        </w:rPr>
        <w:t xml:space="preserve">cross-cancer</w:t>
      </w:r>
      <w:r>
        <w:t xml:space="preserve"> </w:t>
      </w:r>
      <w:r>
        <w:t xml:space="preserve">selectivity, which the epithelial-dominated</w:t>
      </w:r>
      <w:r>
        <w:t xml:space="preserve"> </w:t>
      </w:r>
      <w:r>
        <w:t xml:space="preserve">DepMap panel biases toward mesenchymal antigens (CDH11’s +3.18 is largely</w:t>
      </w:r>
      <w:r>
        <w:t xml:space="preserve"> </w:t>
      </w:r>
      <w:r>
        <w:t xml:space="preserve">“</w:t>
      </w:r>
      <w:r>
        <w:t xml:space="preserve">not expressed by carcinomas</w:t>
      </w:r>
      <w:r>
        <w:t xml:space="preserve">”</w:t>
      </w:r>
      <w:r>
        <w:t xml:space="preserve">, not</w:t>
      </w:r>
      <w:r>
        <w:t xml:space="preserve"> </w:t>
      </w:r>
      <w:r>
        <w:t xml:space="preserve">“</w:t>
      </w:r>
      <w:r>
        <w:t xml:space="preserve">tumour-specific</w:t>
      </w:r>
      <w:r>
        <w:t xml:space="preserve">”</w:t>
      </w:r>
      <w:r>
        <w:t xml:space="preserve">). Second, mRNA magnitude to two decimals conveys false precision about surface-protein</w:t>
      </w:r>
      <w:r>
        <w:t xml:space="preserve"> </w:t>
      </w:r>
      <w:r>
        <w:t xml:space="preserve">density; read these as</w:t>
      </w:r>
      <w:r>
        <w:t xml:space="preserve"> </w:t>
      </w:r>
      <w:r>
        <w:rPr>
          <w:bCs/>
          <w:b/>
        </w:rPr>
        <w:t xml:space="preserve">coarse tiers</w:t>
      </w:r>
      <w:r>
        <w:t xml:space="preserve">. (Note also that the single EMC line of §3.1 is one of the 76 class</w:t>
      </w:r>
      <w:r>
        <w:t xml:space="preserve"> </w:t>
      </w:r>
      <w:r>
        <w:t xml:space="preserve">lines, so its ~1/76 contribution is negligible and FGFR1 appearing in both §3.1 and §3.2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independent</w:t>
      </w:r>
      <w:r>
        <w:t xml:space="preserve"> </w:t>
      </w:r>
      <w:r>
        <w:t xml:space="preserve">corroboration.) The one decision-grade result here is negative and useful:</w:t>
      </w:r>
      <w:r>
        <w:t xml:space="preserve"> </w:t>
      </w:r>
      <w:r>
        <w:rPr>
          <w:bCs/>
          <w:b/>
        </w:rPr>
        <w:t xml:space="preserve">B7-H3,</w:t>
      </w:r>
      <w:r>
        <w:rPr>
          <w:bCs/>
          <w:b/>
        </w:rPr>
        <w:t xml:space="preserve"> </w:t>
      </w:r>
      <w:r>
        <w:rPr>
          <w:bCs/>
          <w:b/>
        </w:rPr>
        <w:t xml:space="preserve">the field’s default EMC surface target, is not significantly selective in the data</w:t>
      </w:r>
      <w:r>
        <w:t xml:space="preserve"> </w:t>
      </w:r>
      <w:r>
        <w:t xml:space="preserve">(q = 1.0). B7-H3 protein</w:t>
      </w:r>
      <w:r>
        <w:t xml:space="preserve"> </w:t>
      </w:r>
      <w:r>
        <w:t xml:space="preserve">can be tumour-restricted despite broad mRNA — the basis of its clinical traction — so this is a</w:t>
      </w:r>
      <w:r>
        <w:t xml:space="preserve"> </w:t>
      </w:r>
      <w:r>
        <w:t xml:space="preserve">selectivity-of-transcript caveat, not a claim about protein; but it removes the transcriptomic rationale for</w:t>
      </w:r>
      <w:r>
        <w:t xml:space="preserve"> </w:t>
      </w:r>
      <w:r>
        <w:t xml:space="preserve">treating B7-H3 as the obvious first choice.</w:t>
      </w:r>
    </w:p>
    <w:bookmarkEnd w:id="25"/>
    <w:bookmarkStart w:id="26" w:name="X79796ae7b3e7bd6a349a4062801f2ccb4f3b384"/>
    <w:p>
      <w:pPr>
        <w:pStyle w:val="Heading3"/>
      </w:pPr>
      <w:r>
        <w:t xml:space="preserve">3.3 The normal-tissue window is decisive — and leaves no clean classic antigen</w:t>
      </w:r>
    </w:p>
    <w:p>
      <w:pPr>
        <w:pStyle w:val="FirstParagraph"/>
      </w:pPr>
      <w:r>
        <w:t xml:space="preserve">Applying the hard window filter (controls validated: DLL3/GPC3 → RESTRICTED, B2M → BROAD, CD3E →</w:t>
      </w:r>
      <w:r>
        <w:t xml:space="preserve"> </w:t>
      </w:r>
      <w:r>
        <w:t xml:space="preserve">VITAL_OR_IMMUNE_LIABILITY; [</w:t>
      </w:r>
      <w:r>
        <w:rPr>
          <w:rStyle w:val="VerbatimChar"/>
        </w:rPr>
        <w:t xml:space="preserve">emc-surface-normal-window.json</w:t>
      </w:r>
      <w:r>
        <w:t xml:space="preserve">]):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Antigen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HPA tissue 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Blood-cell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B4GALNT1 (GD2 synthase)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Tissue enriched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RESTRICTED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CDH11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Tissue 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ENHANCED_BROAD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Tissue 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ENHANCED_BROAD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Tissue 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ENHANCED_BROAD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SSTR2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Tissue 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ENHANCED_BROAD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EGFR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Tissue 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ENHANCED_BROAD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FGFR1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tissue 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BROAD_LIABILITY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MCAM/CD146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 enriched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BROAD_LIABILITY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EPHB4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tissue 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immune 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BROAD_LIABILITY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CD276/B7-H3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tissue 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BROAD_LIABILITY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ERBB2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tissue specificity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immune 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BROAD_LIABILITY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NCAM1/CD56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Tissue enhanced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immune enriched (NK)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VITAL_OR_IMMUNE_LIABILITY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PTK7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tissue specificity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immune enriched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VITAL_OR_IMMUNE_LIABILITY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Tissue enhanced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group enriched (haematopoietic/mast)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VITAL_OR_IMMUNE_LIABILITY</w:t>
            </w:r>
          </w:p>
        </w:tc>
      </w:tr>
    </w:tbl>
    <w:p>
      <w:pPr>
        <w:pStyle w:val="BodyText"/>
      </w:pPr>
      <w:r>
        <w:t xml:space="preserve">The intersection of §3.2 (selective) and §3.3 (restricted) among classic protein antigens is</w:t>
      </w:r>
      <w:r>
        <w:t xml:space="preserve"> </w:t>
      </w:r>
      <w:r>
        <w:rPr>
          <w:bCs/>
          <w:b/>
        </w:rPr>
        <w:t xml:space="preserve">empty</w:t>
      </w:r>
      <w:r>
        <w:t xml:space="preserve"> </w:t>
      </w:r>
      <w:r>
        <w:t xml:space="preserve">(</w:t>
      </w:r>
      <w:r>
        <w:rPr>
          <w:bCs/>
          <w:b/>
        </w:rPr>
        <w:t xml:space="preserve">Figure 1</w:t>
      </w:r>
      <w:r>
        <w:t xml:space="preserve">: antigens plotted by selectivity × window tier; the selective-and-restricted quadrant is</w:t>
      </w:r>
      <w:r>
        <w:t xml:space="preserve"> </w:t>
      </w:r>
      <w:r>
        <w:t xml:space="preserve">unpopulated — [</w:t>
      </w:r>
      <w:r>
        <w:rPr>
          <w:rStyle w:val="VerbatimChar"/>
        </w:rPr>
        <w:t xml:space="preserve">emc-surface-prioritization.png</w:t>
      </w:r>
      <w:r>
        <w:t xml:space="preserve">]). The candidates fail the window in specific, nameable ways: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NCAM1/CD56</w:t>
      </w:r>
      <w:r>
        <w:t xml:space="preserve"> </w:t>
      </w:r>
      <w:r>
        <w:t xml:space="preserve">is on NK cells (fratricide risk for CAR/NK; a circulating compartment) and neural tissue; the</w:t>
      </w:r>
      <w:r>
        <w:t xml:space="preserve"> </w:t>
      </w:r>
      <w:r>
        <w:t xml:space="preserve">CD56 ADC</w:t>
      </w:r>
      <w:r>
        <w:t xml:space="preserve"> </w:t>
      </w:r>
      <w:r>
        <w:rPr>
          <w:bCs/>
          <w:b/>
        </w:rPr>
        <w:t xml:space="preserve">lorvotuzumab mertansine (IMGN901)</w:t>
      </w:r>
      <w:r>
        <w:t xml:space="preserve"> </w:t>
      </w:r>
      <w:r>
        <w:t xml:space="preserve">was clinically developed and discontinued (no efficacy benefit,</w:t>
      </w:r>
      <w:r>
        <w:t xml:space="preserve"> </w:t>
      </w:r>
      <w:r>
        <w:t xml:space="preserve">added toxicity) [Socinski/Spira — citations to verify]. It is not a clean target despite its selectivity.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CDH11</w:t>
      </w:r>
      <w:r>
        <w:t xml:space="preserve"> </w:t>
      </w:r>
      <w:r>
        <w:t xml:space="preserve">is broadly expressed in normal fibroblasts, synovium and bone (an established rheumatoid-arthritis/</w:t>
      </w:r>
      <w:r>
        <w:t xml:space="preserve"> </w:t>
      </w:r>
      <w:r>
        <w:t xml:space="preserve">fibrosis target); its high cross-cancer enrichment is the mesenchymal-vs-epithelial artifact above. Pairing it</w:t>
      </w:r>
      <w:r>
        <w:t xml:space="preserve"> </w:t>
      </w:r>
      <w:r>
        <w:t xml:space="preserve">with binary-kill modalities (CAR/TCE) would attack normal mesenchyme body-wide.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B7-H3, EGFR, FAP</w:t>
      </w:r>
      <w:r>
        <w:t xml:space="preserve"> </w:t>
      </w:r>
      <w:r>
        <w:t xml:space="preserve">are non-selective and/or broad;</w:t>
      </w:r>
      <w:r>
        <w:t xml:space="preserve"> </w:t>
      </w:r>
      <w:r>
        <w:rPr>
          <w:bCs/>
          <w:b/>
        </w:rPr>
        <w:t xml:space="preserve">FGFR1/MCAM/EPHB4</w:t>
      </w:r>
      <w:r>
        <w:t xml:space="preserve"> </w:t>
      </w:r>
      <w:r>
        <w:t xml:space="preserve">are window-liabilities.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GD2</w:t>
      </w:r>
      <w:r>
        <w:t xml:space="preserve"> </w:t>
      </w:r>
      <w:r>
        <w:t xml:space="preserve">(via the B4GALNT1 proxy — GD2 is a glycolipid, not a gene product, so this is indirect) has the only</w:t>
      </w:r>
      <w:r>
        <w:t xml:space="preserve"> </w:t>
      </w:r>
      <w:r>
        <w:t xml:space="preserve">restricted</w:t>
      </w:r>
      <w:r>
        <w:t xml:space="preserve"> </w:t>
      </w:r>
      <w:r>
        <w:rPr>
          <w:iCs/>
          <w:i/>
        </w:rPr>
        <w:t xml:space="preserve">normal-tissue</w:t>
      </w:r>
      <w:r>
        <w:t xml:space="preserve"> </w:t>
      </w:r>
      <w:r>
        <w:t xml:space="preserve">window here, consistent with GD2’s known tumour-restricted profile — but</w:t>
      </w:r>
      <w:r>
        <w:t xml:space="preserve"> </w:t>
      </w:r>
      <w:r>
        <w:rPr>
          <w:bCs/>
          <w:b/>
        </w:rPr>
        <w:t xml:space="preserve">whether</w:t>
      </w:r>
      <w:r>
        <w:rPr>
          <w:bCs/>
          <w:b/>
        </w:rPr>
        <w:t xml:space="preserve"> </w:t>
      </w:r>
      <w:r>
        <w:rPr>
          <w:bCs/>
          <w:b/>
        </w:rPr>
        <w:t xml:space="preserve">EMC expresses GD2 is unmeasured</w:t>
      </w:r>
      <w:r>
        <w:t xml:space="preserve">, so this is a favourable window, not evidence of an EMC target.</w:t>
      </w:r>
    </w:p>
    <w:bookmarkEnd w:id="26"/>
    <w:bookmarkStart w:id="27" w:name="Xec9e73c3e294ce7b0b6ed7f12f5358761eaecc0"/>
    <w:p>
      <w:pPr>
        <w:pStyle w:val="Heading3"/>
      </w:pPr>
      <w:r>
        <w:t xml:space="preserve">3.4 A neuroendocrine hypothesis the field has not tested for EMC: SSTR2 and GD2</w:t>
      </w:r>
    </w:p>
    <w:p>
      <w:pPr>
        <w:pStyle w:val="FirstParagraph"/>
      </w:pPr>
      <w:r>
        <w:t xml:space="preserve">EMC’s neuroendocrine differentiation (INSM1+, synaptophysin+; §1) motivates two candidate targets absent from</w:t>
      </w:r>
      <w:r>
        <w:t xml:space="preserve"> </w:t>
      </w:r>
      <w:r>
        <w:t xml:space="preserve">prior EMC surface discussions: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SSTR2 (somatostatin receptor 2)</w:t>
      </w:r>
      <w:r>
        <w:t xml:space="preserve"> </w:t>
      </w:r>
      <w:r>
        <w:t xml:space="preserve">— the target of the</w:t>
      </w:r>
      <w:r>
        <w:t xml:space="preserve"> </w:t>
      </w:r>
      <w:r>
        <w:rPr>
          <w:iCs/>
          <w:i/>
        </w:rPr>
        <w:t xml:space="preserve">approved</w:t>
      </w:r>
      <w:r>
        <w:t xml:space="preserve"> </w:t>
      </w:r>
      <w:r>
        <w:t xml:space="preserve">radioligand</w:t>
      </w:r>
      <w:r>
        <w:t xml:space="preserve"> </w:t>
      </w:r>
      <w:r>
        <w:rPr>
          <w:bCs/>
          <w:b/>
        </w:rPr>
        <w:t xml:space="preserve">¹⁷⁷Lu-DOTATATE</w:t>
      </w:r>
      <w:r>
        <w:t xml:space="preserve"> </w:t>
      </w:r>
      <w:r>
        <w:t xml:space="preserve">(Lutathera; approved for gastroenteropancreatic neuroendocrine tumours on the NETTER-1 trial [Strosberg et</w:t>
      </w:r>
      <w:r>
        <w:t xml:space="preserve"> </w:t>
      </w:r>
      <w:r>
        <w:t xml:space="preserve">al.,</w:t>
      </w:r>
      <w:r>
        <w:t xml:space="preserve"> </w:t>
      </w:r>
      <w:r>
        <w:rPr>
          <w:iCs/>
          <w:i/>
        </w:rPr>
        <w:t xml:space="preserve">N Engl J Med</w:t>
      </w:r>
      <w:r>
        <w:t xml:space="preserve"> </w:t>
      </w:r>
      <w:r>
        <w:t xml:space="preserve">2017 — verify]) and its ²²⁵Ac α-analogues. If EMC’s neuroendocrine phenotype</w:t>
      </w:r>
      <w:r>
        <w:t xml:space="preserve"> </w:t>
      </w:r>
      <w:r>
        <w:t xml:space="preserve">extends to SSTR2 surface expression, an off-the-shelf theranostic (SSTR-PET + peptide-receptor radioligand</w:t>
      </w:r>
      <w:r>
        <w:t xml:space="preserve"> </w:t>
      </w:r>
      <w:r>
        <w:t xml:space="preserve">therapy) becomes testable without a bespoke agent. The first gate is whether EMC expresses SSTR2 at all</w:t>
      </w:r>
      <w:r>
        <w:t xml:space="preserve"> </w:t>
      </w:r>
      <w:r>
        <w:t xml:space="preserve">(unmeasured);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it does, then — its window being ENHANCED_BROAD (SSTR2 is expressed in normal</w:t>
      </w:r>
      <w:r>
        <w:t xml:space="preserve"> </w:t>
      </w:r>
      <w:r>
        <w:t xml:space="preserve">neuroendocrine/GI tissue) — dosimetry, not novelty, is the remaining gate, as for approved NET-RLT.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GD2</w:t>
      </w:r>
      <w:r>
        <w:t xml:space="preserve"> </w:t>
      </w:r>
      <w:r>
        <w:t xml:space="preserve">— a surface glycolipid with mature CAR/antibody platforms and (via B4GALNT1) the only restricted-window</w:t>
      </w:r>
      <w:r>
        <w:t xml:space="preserve"> </w:t>
      </w:r>
      <w:r>
        <w:t xml:space="preserve">signal in §3.3.</w:t>
      </w:r>
    </w:p>
    <w:p>
      <w:pPr>
        <w:pStyle w:val="BodyText"/>
      </w:pPr>
      <w:r>
        <w:t xml:space="preserve">These are hypotheses requiring direct EMC measurement (SSTR2 IHC/PET; GD2 immunostaining), not claims.</w:t>
      </w:r>
    </w:p>
    <w:bookmarkEnd w:id="27"/>
    <w:bookmarkStart w:id="28" w:name="X923e585ddeea8b909387745bb91a84efc81282b"/>
    <w:p>
      <w:pPr>
        <w:pStyle w:val="Heading3"/>
      </w:pPr>
      <w:r>
        <w:t xml:space="preserve">3.5 The public real-EMC tumour dataset is unusable</w:t>
      </w:r>
    </w:p>
    <w:p>
      <w:pPr>
        <w:pStyle w:val="FirstParagraph"/>
      </w:pPr>
      <w:r>
        <w:t xml:space="preserve">The only usable, dedicated public EMC tumour transcriptome we could identify, GSE4303, is a seven-platform</w:t>
      </w:r>
      <w:r>
        <w:t xml:space="preserve"> </w:t>
      </w:r>
      <w:r>
        <w:t xml:space="preserve">two-colour cDNA-clone microarray (three EMC samples per platform;</w:t>
      </w:r>
      <w:r>
        <w:t xml:space="preserve"> </w:t>
      </w:r>
      <w:r>
        <w:rPr>
          <w:rStyle w:val="VerbatimChar"/>
        </w:rPr>
        <w:t xml:space="preserve">matrix_files_found</w:t>
      </w:r>
      <w:r>
        <w:t xml:space="preserve"> </w:t>
      </w:r>
      <w:r>
        <w:t xml:space="preserve">lists seven GPLs) whose</w:t>
      </w:r>
      <w:r>
        <w:t xml:space="preserve"> </w:t>
      </w:r>
      <w:r>
        <w:t xml:space="preserve">values are reference-pool log-ratios and</w:t>
      </w:r>
      <w:r>
        <w:t xml:space="preserve"> </w:t>
      </w:r>
      <w:r>
        <w:t xml:space="preserve">whose probes lack gene symbols; zero shortlist genes resolved ([</w:t>
      </w:r>
      <w:r>
        <w:rPr>
          <w:rStyle w:val="VerbatimChar"/>
        </w:rPr>
        <w:t xml:space="preserve">emc-gse4303-crosscheck.json</w:t>
      </w:r>
      <w:r>
        <w:t xml:space="preserve">]). It cannot rank</w:t>
      </w:r>
      <w:r>
        <w:t xml:space="preserve"> </w:t>
      </w:r>
      <w:r>
        <w:t xml:space="preserve">surface antigens. Combined with §3.1 (a single EMC line in DepMap), this is precisely why patient-derived EMC</w:t>
      </w:r>
      <w:r>
        <w:t xml:space="preserve"> </w:t>
      </w:r>
      <w:r>
        <w:t xml:space="preserve">model data is the essential input (§7).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Xe8fcc8f31558272869628229dda9e84e94d7903"/>
    <w:p>
      <w:pPr>
        <w:pStyle w:val="Heading2"/>
      </w:pPr>
      <w:r>
        <w:t xml:space="preserve">4. The modality axis — differently gated, not obviously easier</w:t>
      </w:r>
    </w:p>
    <w:p>
      <w:pPr>
        <w:pStyle w:val="FirstParagraph"/>
      </w:pPr>
      <w:r>
        <w:t xml:space="preserve">If a validated EMC surface antigen existed, the modalities it enables gate differently from the oligonucleotide: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Intracellular delivery?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Replacing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Crossfire 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T-cell engager (antigen × CD3)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Cold/excluded TME (poor in adult sarcoma)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CAR-T / CAR-NK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Solid-tumour infiltration; cold TME; fratricide (for NK-cell antigens)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Radioligand therapy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Antigen level; dosimetry;</w:t>
            </w:r>
            <w:r>
              <w:t xml:space="preserve"> </w:t>
            </w:r>
            <w:r>
              <w:rPr>
                <w:bCs/>
                <w:b/>
              </w:rPr>
              <w:t xml:space="preserve">tumour-to-normal uptake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 (¹⁷⁷Lu) ~2 mm; α (²²⁵Ac) ~50–80 µm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Internalisation (clinically validated)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Internalisation; tumour-vs-normal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Correcting a common intuition:</w:t>
      </w:r>
      <w:r>
        <w:t xml:space="preserve"> </w:t>
      </w:r>
      <w:r>
        <w:t xml:space="preserve">radioligand crossfire mitigates</w:t>
      </w:r>
      <w:r>
        <w:t xml:space="preserve"> </w:t>
      </w:r>
      <w:r>
        <w:rPr>
          <w:iCs/>
          <w:i/>
        </w:rPr>
        <w:t xml:space="preserve">heterogeneous tumour uptake</w:t>
      </w:r>
      <w:r>
        <w:t xml:space="preserve"> </w:t>
      </w:r>
      <w:r>
        <w:t xml:space="preserve">(it kills</w:t>
      </w:r>
      <w:r>
        <w:t xml:space="preserve"> </w:t>
      </w:r>
      <w:r>
        <w:t xml:space="preserve">tumour cells the ligand never bound);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make a</w:t>
      </w:r>
      <w:r>
        <w:t xml:space="preserve"> </w:t>
      </w:r>
      <w:r>
        <w:rPr>
          <w:iCs/>
          <w:i/>
        </w:rPr>
        <w:t xml:space="preserve">broadly-expressed normal</w:t>
      </w:r>
      <w:r>
        <w:t xml:space="preserve"> </w:t>
      </w:r>
      <w:r>
        <w:t xml:space="preserve">antigen safer — for a</w:t>
      </w:r>
      <w:r>
        <w:t xml:space="preserve"> </w:t>
      </w:r>
      <w:r>
        <w:t xml:space="preserve">normal-tissue antigen, crossfire widens the irradiated field. So B7-H3’s breadth is not</w:t>
      </w:r>
      <w:r>
        <w:t xml:space="preserve"> </w:t>
      </w:r>
      <w:r>
        <w:t xml:space="preserve">“</w:t>
      </w:r>
      <w:r>
        <w:t xml:space="preserve">rescued</w:t>
      </w:r>
      <w:r>
        <w:t xml:space="preserve">”</w:t>
      </w:r>
      <w:r>
        <w:t xml:space="preserve"> </w:t>
      </w:r>
      <w:r>
        <w:t xml:space="preserve">by RLT; the</w:t>
      </w:r>
      <w:r>
        <w:t xml:space="preserve"> </w:t>
      </w:r>
      <w:r>
        <w:t xml:space="preserve">RLT case rests on tumour-to-normal uptake ratios and dosimetry (the basis of approved SSTR2-RLT).</w:t>
      </w:r>
    </w:p>
    <w:p>
      <w:r>
        <w:pict>
          <v:rect style="width:0;height:1.5pt" o:hralign="center" o:hrstd="t" o:hr="t"/>
        </w:pict>
      </w:r>
    </w:p>
    <w:bookmarkEnd w:id="30"/>
    <w:bookmarkStart w:id="31" w:name="discussion"/>
    <w:p>
      <w:pPr>
        <w:pStyle w:val="Heading2"/>
      </w:pPr>
      <w:r>
        <w:t xml:space="preserve">5. Discussion</w:t>
      </w:r>
    </w:p>
    <w:p>
      <w:pPr>
        <w:pStyle w:val="FirstParagraph"/>
      </w:pPr>
      <w:r>
        <w:rPr>
          <w:bCs/>
          <w:b/>
        </w:rPr>
        <w:t xml:space="preserve">A differently-gated third axis, honestly weighed.</w:t>
      </w:r>
      <w:r>
        <w:t xml:space="preserve"> </w:t>
      </w:r>
      <w:r>
        <w:t xml:space="preserve">EMC’s driver can be attacked from protein (degrader), RNA</w:t>
      </w:r>
      <w:r>
        <w:t xml:space="preserve"> </w:t>
      </w:r>
      <w:r>
        <w:t xml:space="preserve">(fusion-exclusive ASO) and surface (this work) compartments. The surface axis trades the ASO’s</w:t>
      </w:r>
      <w:r>
        <w:t xml:space="preserve"> </w:t>
      </w:r>
      <w:r>
        <w:t xml:space="preserve">intracellular-delivery gate for others that, in EMC specifically, may be no easier: the abundant</w:t>
      </w:r>
      <w:r>
        <w:t xml:space="preserve"> </w:t>
      </w:r>
      <w:r>
        <w:rPr>
          <w:bCs/>
          <w:b/>
        </w:rPr>
        <w:t xml:space="preserve">myxoid/</w:t>
      </w:r>
      <w:r>
        <w:rPr>
          <w:bCs/>
          <w:b/>
        </w:rPr>
        <w:t xml:space="preserve"> </w:t>
      </w:r>
      <w:r>
        <w:rPr>
          <w:bCs/>
          <w:b/>
        </w:rPr>
        <w:t xml:space="preserve">chondroid extracellular matrix</w:t>
      </w:r>
      <w:r>
        <w:t xml:space="preserve"> </w:t>
      </w:r>
      <w:r>
        <w:t xml:space="preserve">is a diffusion and binding-site barrier to antibodies, adoptive cells and</w:t>
      </w:r>
      <w:r>
        <w:t xml:space="preserve"> </w:t>
      </w:r>
      <w:r>
        <w:t xml:space="preserve">radioligands, and adult sarcoma has a poor CAR/TCE record in cold, immune-excluded tumours. The honest framing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orthogonal and differently-gated</w:t>
      </w:r>
      <w:r>
        <w:t xml:space="preserve">, not</w:t>
      </w:r>
      <w:r>
        <w:t xml:space="preserve"> </w:t>
      </w:r>
      <w:r>
        <w:t xml:space="preserve">“</w:t>
      </w:r>
      <w:r>
        <w:t xml:space="preserve">more tractable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 fusion linkage.</w:t>
      </w:r>
      <w:r>
        <w:t xml:space="preserve"> </w:t>
      </w:r>
      <w:r>
        <w:t xml:space="preserve">Every antigen here is a generic lineage antigen with no mechanistic connection to</w:t>
      </w:r>
      <w:r>
        <w:t xml:space="preserve"> </w:t>
      </w:r>
      <w:r>
        <w:t xml:space="preserve">EWSR1::NR4A3; success or failure would be independent of the fusion. This is a first-order cost: the surface</w:t>
      </w:r>
      <w:r>
        <w:t xml:space="preserve"> </w:t>
      </w:r>
      <w:r>
        <w:t xml:space="preserve">axis abandons the program’s distinctive fusion-exclusivity. Its justification is pragmatic (delivery), not</w:t>
      </w:r>
      <w:r>
        <w:t xml:space="preserve"> </w:t>
      </w:r>
      <w:r>
        <w:t xml:space="preserve">mechanistic, and EMC’s role is as a clean single-driver</w:t>
      </w:r>
      <w:r>
        <w:t xml:space="preserve"> </w:t>
      </w:r>
      <w:r>
        <w:rPr>
          <w:iCs/>
          <w:i/>
        </w:rPr>
        <w:t xml:space="preserve">entry</w:t>
      </w:r>
      <w:r>
        <w:t xml:space="preserve"> </w:t>
      </w:r>
      <w:r>
        <w:t xml:space="preserve">indication for antigens that are pan-sarcoma/</w:t>
      </w:r>
      <w:r>
        <w:t xml:space="preserve"> </w:t>
      </w:r>
      <w:r>
        <w:t xml:space="preserve">pan-cancer.</w:t>
      </w:r>
    </w:p>
    <w:p>
      <w:pPr>
        <w:pStyle w:val="BodyText"/>
      </w:pPr>
      <w:r>
        <w:rPr>
          <w:bCs/>
          <w:b/>
        </w:rPr>
        <w:t xml:space="preserve">What the analysis is good for.</w:t>
      </w:r>
      <w:r>
        <w:t xml:space="preserve"> </w:t>
      </w:r>
      <w:r>
        <w:t xml:space="preserve">Negative and prioritising results: B7-H3 is not transcriptionally selective;</w:t>
      </w:r>
      <w:r>
        <w:t xml:space="preserve"> </w:t>
      </w:r>
      <w:r>
        <w:t xml:space="preserve">CD56/CDH11/PTK7/KIT carry specific window liabilities; the neuroendocrine phenotype points to SSTR2/GD2. These</w:t>
      </w:r>
      <w:r>
        <w:t xml:space="preserve"> </w:t>
      </w:r>
      <w:r>
        <w:t xml:space="preserve">sharpen where scarce wet-lab effort should and should not go.</w:t>
      </w:r>
    </w:p>
    <w:p>
      <w:r>
        <w:pict>
          <v:rect style="width:0;height:1.5pt" o:hralign="center" o:hrstd="t" o:hr="t"/>
        </w:pict>
      </w:r>
    </w:p>
    <w:bookmarkEnd w:id="31"/>
    <w:bookmarkStart w:id="32" w:name="limitations"/>
    <w:p>
      <w:pPr>
        <w:pStyle w:val="Heading2"/>
      </w:pPr>
      <w:r>
        <w:t xml:space="preserve">6. Limitations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EMC line, n = 1</w:t>
      </w:r>
      <w:r>
        <w:t xml:space="preserve"> </w:t>
      </w:r>
      <w:r>
        <w:t xml:space="preserve">(H-EMC-SS); no statistics from it, and its authentication/fusion status is unverified.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Surrogate is lineage-generic;</w:t>
      </w:r>
      <w:r>
        <w:t xml:space="preserve"> </w:t>
      </w:r>
      <w:r>
        <w:t xml:space="preserve">surface phenotype tracks lineage, and Ewing/synovial differ from EMC.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mRNA ≠ surface protein;</w:t>
      </w:r>
      <w:r>
        <w:t xml:space="preserve"> </w:t>
      </w:r>
      <w:r>
        <w:t xml:space="preserve">target density, epitope accessibility and internalisation — what modalities need —</w:t>
      </w:r>
      <w:r>
        <w:t xml:space="preserve"> </w:t>
      </w:r>
      <w:r>
        <w:t xml:space="preserve">are not measured. Rankings are coarse tiers.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Cross-cancer selectivity ≠ tumour-vs-normal;</w:t>
      </w:r>
      <w:r>
        <w:t xml:space="preserve"> </w:t>
      </w:r>
      <w:r>
        <w:t xml:space="preserve">the normal-tissue window (HPA bulk RNA) is a prior, not a</w:t>
      </w:r>
      <w:r>
        <w:t xml:space="preserve"> </w:t>
      </w:r>
      <w:r>
        <w:t xml:space="preserve">safety guarantee, and GD2 is assessed only via a synthase proxy.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public EMC dataset is unusable</w:t>
      </w:r>
      <w:r>
        <w:t xml:space="preserve"> </w:t>
      </w:r>
      <w:r>
        <w:t xml:space="preserve">(§3.5); the surrogate cannot be corroborated against real EMC tumours.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Clinical-agent and EMC-biology citations are flagged</w:t>
      </w:r>
      <w:r>
        <w:t xml:space="preserve"> </w:t>
      </w:r>
      <w:r>
        <w:t xml:space="preserve">[citation to verify] and must be sourced before use.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Delivery is not solved by naming an antigen;</w:t>
      </w:r>
      <w:r>
        <w:t xml:space="preserve"> </w:t>
      </w:r>
      <w:r>
        <w:t xml:space="preserve">modality-specific gates (myxoid-matrix penetration, cold TME,</w:t>
      </w:r>
      <w:r>
        <w:t xml:space="preserve"> </w:t>
      </w:r>
      <w:r>
        <w:t xml:space="preserve">dosimetry) remain.</w:t>
      </w:r>
    </w:p>
    <w:p>
      <w:r>
        <w:pict>
          <v:rect style="width:0;height:1.5pt" o:hralign="center" o:hrstd="t" o:hr="t"/>
        </w:pict>
      </w:r>
    </w:p>
    <w:bookmarkEnd w:id="32"/>
    <w:bookmarkStart w:id="33" w:name="X5277bed5aa068567a115e09b6e02d421e7269f9"/>
    <w:p>
      <w:pPr>
        <w:pStyle w:val="Heading2"/>
      </w:pPr>
      <w:r>
        <w:t xml:space="preserve">7. The validation this needs — a collaboration request</w:t>
      </w:r>
    </w:p>
    <w:p>
      <w:pPr>
        <w:pStyle w:val="FirstParagraph"/>
      </w:pPr>
      <w:r>
        <w:t xml:space="preserve">This analysis produces</w:t>
      </w:r>
      <w:r>
        <w:t xml:space="preserve"> </w:t>
      </w:r>
      <w:r>
        <w:rPr>
          <w:iCs/>
          <w:i/>
        </w:rPr>
        <w:t xml:space="preserve">priors and cautions</w:t>
      </w:r>
      <w:r>
        <w:t xml:space="preserve">, not a validated target, and the single decisive dataset is EMC</w:t>
      </w:r>
      <w:r>
        <w:t xml:space="preserve"> </w:t>
      </w:r>
      <w:r>
        <w:t xml:space="preserve">surface</w:t>
      </w:r>
      <w:r>
        <w:t xml:space="preserve"> </w:t>
      </w:r>
      <w:r>
        <w:rPr>
          <w:bCs/>
          <w:b/>
        </w:rPr>
        <w:t xml:space="preserve">protein</w:t>
      </w:r>
      <w:r>
        <w:t xml:space="preserve"> </w:t>
      </w:r>
      <w:r>
        <w:t xml:space="preserve">expression with a normal-tissue comparison. Two groups hold patient-derived EMC models:</w:t>
      </w:r>
      <w:r>
        <w:t xml:space="preserve"> </w:t>
      </w:r>
      <w:r>
        <w:rPr>
          <w:bCs/>
          <w:b/>
        </w:rPr>
        <w:t xml:space="preserve">USZ-EMC</w:t>
      </w:r>
      <w:r>
        <w:t xml:space="preserve"> </w:t>
      </w:r>
      <w:r>
        <w:t xml:space="preserve">(Bangerter et al.,</w:t>
      </w:r>
      <w:r>
        <w:t xml:space="preserve"> </w:t>
      </w:r>
      <w:r>
        <w:rPr>
          <w:iCs/>
          <w:i/>
        </w:rPr>
        <w:t xml:space="preserve">Human Cell</w:t>
      </w:r>
      <w:r>
        <w:t xml:space="preserve"> </w:t>
      </w:r>
      <w:r>
        <w:t xml:space="preserve">2022/2023) and</w:t>
      </w:r>
      <w:r>
        <w:t xml:space="preserve"> </w:t>
      </w:r>
      <w:r>
        <w:rPr>
          <w:bCs/>
          <w:b/>
        </w:rPr>
        <w:t xml:space="preserve">NCC-EMC1-C1</w:t>
      </w:r>
      <w:r>
        <w:t xml:space="preserve"> </w:t>
      </w:r>
      <w:r>
        <w:t xml:space="preserve">(Iwata et al.,</w:t>
      </w:r>
      <w:r>
        <w:t xml:space="preserve"> </w:t>
      </w:r>
      <w:r>
        <w:rPr>
          <w:iCs/>
          <w:i/>
        </w:rPr>
        <w:t xml:space="preserve">Human Cell</w:t>
      </w:r>
      <w:r>
        <w:t xml:space="preserve"> </w:t>
      </w:r>
      <w:r>
        <w:t xml:space="preserve">2025);</w:t>
      </w:r>
      <w:r>
        <w:t xml:space="preserve"> </w:t>
      </w:r>
      <w:r>
        <w:t xml:space="preserve">DepMap additionally holds H-EMC-SS (n = 1). We propose a genuine collaboration rather than a data extraction:</w:t>
      </w:r>
    </w:p>
    <w:p>
      <w:pPr>
        <w:numPr>
          <w:ilvl w:val="0"/>
          <w:numId w:val="1002"/>
        </w:numPr>
        <w:pStyle w:val="Compact"/>
      </w:pPr>
      <w:r>
        <w:t xml:space="preserve">If useful to them, we will</w:t>
      </w:r>
      <w:r>
        <w:t xml:space="preserve"> </w:t>
      </w:r>
      <w:r>
        <w:rPr>
          <w:bCs/>
          <w:b/>
        </w:rPr>
        <w:t xml:space="preserve">run their existing RNA-seq/expression</w:t>
      </w:r>
      <w:r>
        <w:t xml:space="preserve"> </w:t>
      </w:r>
      <w:r>
        <w:t xml:space="preserve">through this pipeline and share</w:t>
      </w:r>
      <w:r>
        <w:t xml:space="preserve"> </w:t>
      </w:r>
      <w:r>
        <w:t xml:space="preserve">everything; at n ≫ 1 it validates or refutes the selectivity and window priors on real EMC.</w:t>
      </w:r>
    </w:p>
    <w:p>
      <w:pPr>
        <w:numPr>
          <w:ilvl w:val="0"/>
          <w:numId w:val="1002"/>
        </w:numPr>
        <w:pStyle w:val="Compact"/>
      </w:pPr>
      <w:r>
        <w:t xml:space="preserve">A targeted</w:t>
      </w:r>
      <w:r>
        <w:t xml:space="preserve"> </w:t>
      </w:r>
      <w:r>
        <w:rPr>
          <w:bCs/>
          <w:b/>
        </w:rPr>
        <w:t xml:space="preserve">surface panel</w:t>
      </w:r>
      <w:r>
        <w:t xml:space="preserve"> </w:t>
      </w:r>
      <w:r>
        <w:t xml:space="preserve">— prioritising the questions this analysis raises: is</w:t>
      </w:r>
      <w:r>
        <w:t xml:space="preserve"> </w:t>
      </w:r>
      <w:r>
        <w:rPr>
          <w:bCs/>
          <w:b/>
        </w:rPr>
        <w:t xml:space="preserve">SSTR2</w:t>
      </w:r>
      <w:r>
        <w:t xml:space="preserve"> </w:t>
      </w:r>
      <w:r>
        <w:t xml:space="preserve">expressed</w:t>
      </w:r>
      <w:r>
        <w:t xml:space="preserve"> </w:t>
      </w:r>
      <w:r>
        <w:t xml:space="preserve">(→ off-the-shelf DOTATATE theranostic)? is</w:t>
      </w:r>
      <w:r>
        <w:t xml:space="preserve"> </w:t>
      </w:r>
      <w:r>
        <w:rPr>
          <w:bCs/>
          <w:b/>
        </w:rPr>
        <w:t xml:space="preserve">GD2</w:t>
      </w:r>
      <w:r>
        <w:t xml:space="preserve"> </w:t>
      </w:r>
      <w:r>
        <w:t xml:space="preserve">present? and, given the window liabilities, are the</w:t>
      </w:r>
      <w:r>
        <w:t xml:space="preserve"> </w:t>
      </w:r>
      <w:r>
        <w:t xml:space="preserve">selective-but-broad antigens (GPC2, CDH11) actually surface-restricted at the protein level in EMC?</w:t>
      </w:r>
    </w:p>
    <w:p>
      <w:pPr>
        <w:numPr>
          <w:ilvl w:val="0"/>
          <w:numId w:val="1002"/>
        </w:numPr>
        <w:pStyle w:val="Compact"/>
      </w:pPr>
      <w:r>
        <w:t xml:space="preserve">Authorship and study design led by the groups whose models make the work possible.</w:t>
      </w:r>
    </w:p>
    <w:p>
      <w:pPr>
        <w:pStyle w:val="FirstParagraph"/>
      </w:pPr>
      <w:r>
        <w:t xml:space="preserve">We approach the model-holders directly and privately; this manuscript states the analysis, not a claim on their</w:t>
      </w:r>
      <w:r>
        <w:t xml:space="preserve"> </w:t>
      </w:r>
      <w:r>
        <w:t xml:space="preserve">data.</w:t>
      </w:r>
    </w:p>
    <w:p>
      <w:r>
        <w:pict>
          <v:rect style="width:0;height:1.5pt" o:hralign="center" o:hrstd="t" o:hr="t"/>
        </w:pict>
      </w:r>
    </w:p>
    <w:bookmarkEnd w:id="33"/>
    <w:bookmarkStart w:id="34" w:name="conclusion"/>
    <w:p>
      <w:pPr>
        <w:pStyle w:val="Heading2"/>
      </w:pPr>
      <w:r>
        <w:t xml:space="preserve">8. Conclusion</w:t>
      </w:r>
    </w:p>
    <w:p>
      <w:pPr>
        <w:pStyle w:val="FirstParagraph"/>
      </w:pPr>
      <w:r>
        <w:t xml:space="preserve">A deliberately hard in-silico analysis does not deliver a clean EMC surface target: rigorous selectivity</w:t>
      </w:r>
      <w:r>
        <w:t xml:space="preserve"> </w:t>
      </w:r>
      <w:r>
        <w:t xml:space="preserve">testing plus a normal-tissue window shows the field-default B7-H3 is not selective and that the selective</w:t>
      </w:r>
      <w:r>
        <w:t xml:space="preserve"> </w:t>
      </w:r>
      <w:r>
        <w:t xml:space="preserve">candidates carry specific window liabilities, leaving a favourable-normal-tissue-window GD2 (EMC expression</w:t>
      </w:r>
      <w:r>
        <w:t xml:space="preserve"> </w:t>
      </w:r>
      <w:r>
        <w:t xml:space="preserve">unknown) and a grounded-but-unmeasured-in-EMC SSTR2/DOTATATE neuroendocrine hypothesis as the questions most</w:t>
      </w:r>
      <w:r>
        <w:t xml:space="preserve"> </w:t>
      </w:r>
      <w:r>
        <w:t xml:space="preserve">worth testing. We report the one available EMC line’s profile, specify the protein-level validation that</w:t>
      </w:r>
      <w:r>
        <w:t xml:space="preserve"> </w:t>
      </w:r>
      <w:r>
        <w:t xml:space="preserve">matters, and invite the EMC-model groups to resolve it.</w:t>
      </w:r>
    </w:p>
    <w:p>
      <w:r>
        <w:pict>
          <v:rect style="width:0;height:1.5pt" o:hralign="center" o:hrstd="t" o:hr="t"/>
        </w:pict>
      </w:r>
    </w:p>
    <w:bookmarkEnd w:id="34"/>
    <w:bookmarkStart w:id="35" w:name="data-code-availability"/>
    <w:p>
      <w:pPr>
        <w:pStyle w:val="Heading2"/>
      </w:pPr>
      <w:r>
        <w:t xml:space="preserve">Data &amp; code availability</w:t>
      </w:r>
    </w:p>
    <w:p>
      <w:pPr>
        <w:pStyle w:val="FirstParagraph"/>
      </w:pPr>
      <w:r>
        <w:t xml:space="preserve">Code and committed outputs (</w:t>
      </w:r>
      <w:r>
        <w:rPr>
          <w:rStyle w:val="VerbatimChar"/>
        </w:rPr>
        <w:t xml:space="preserve">research/modalities/</w:t>
      </w:r>
      <w:r>
        <w:t xml:space="preserve">, refreshed to the</w:t>
      </w:r>
      <w:r>
        <w:t xml:space="preserve"> </w:t>
      </w:r>
      <w:r>
        <w:rPr>
          <w:rStyle w:val="VerbatimChar"/>
        </w:rPr>
        <w:t xml:space="preserve">modalities-cache</w:t>
      </w:r>
      <w:r>
        <w:t xml:space="preserve"> </w:t>
      </w:r>
      <w:r>
        <w:t xml:space="preserve">branch):</w:t>
      </w:r>
      <w:r>
        <w:t xml:space="preserve"> </w:t>
      </w:r>
      <w:r>
        <w:t xml:space="preserve">- Surfaceome scan + selectivity + EMC-line profile —</w:t>
      </w:r>
      <w:r>
        <w:t xml:space="preserve"> </w:t>
      </w:r>
      <w:r>
        <w:rPr>
          <w:rStyle w:val="VerbatimChar"/>
        </w:rPr>
        <w:t xml:space="preserve">emc_surfaceome_scan.py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emc-surfaceome-scan.json</w:t>
      </w:r>
      <w:r>
        <w:t xml:space="preserve"> </w:t>
      </w:r>
      <w:r>
        <w:t xml:space="preserve">- Normal-tissue window —</w:t>
      </w:r>
      <w:r>
        <w:t xml:space="preserve"> </w:t>
      </w:r>
      <w:r>
        <w:rPr>
          <w:rStyle w:val="VerbatimChar"/>
        </w:rPr>
        <w:t xml:space="preserve">emc_surface_normal_window.py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emc-surface-normal-window.json</w:t>
      </w:r>
      <w:r>
        <w:t xml:space="preserve"> </w:t>
      </w:r>
      <w:r>
        <w:t xml:space="preserve">- EMC-line data probe —</w:t>
      </w:r>
      <w:r>
        <w:t xml:space="preserve"> </w:t>
      </w:r>
      <w:r>
        <w:rPr>
          <w:rStyle w:val="VerbatimChar"/>
        </w:rPr>
        <w:t xml:space="preserve">emc_line_data_probe.py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emc-line-data-probe.json</w:t>
      </w:r>
      <w:r>
        <w:t xml:space="preserve"> </w:t>
      </w:r>
      <w:r>
        <w:t xml:space="preserve">- GSE4303 cross-check —</w:t>
      </w:r>
      <w:r>
        <w:t xml:space="preserve"> </w:t>
      </w:r>
      <w:r>
        <w:rPr>
          <w:rStyle w:val="VerbatimChar"/>
        </w:rPr>
        <w:t xml:space="preserve">emc_gse4303_crosscheck.py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emc-gse4303-crosscheck.json</w:t>
      </w:r>
      <w:r>
        <w:t xml:space="preserve"> </w:t>
      </w:r>
      <w:r>
        <w:t xml:space="preserve">- Red-team log —</w:t>
      </w:r>
      <w:r>
        <w:t xml:space="preserve"> </w:t>
      </w:r>
      <w:r>
        <w:rPr>
          <w:rStyle w:val="VerbatimChar"/>
        </w:rPr>
        <w:t xml:space="preserve">emc-surface-target-redteam.md</w:t>
      </w:r>
    </w:p>
    <w:p>
      <w:pPr>
        <w:pStyle w:val="BodyText"/>
      </w:pPr>
      <w:r>
        <w:t xml:space="preserve">Sources: UniProt; DepMap (incl. H-EMC-SS/ACH-001519); Human Protein Atlas; NCBI GEO (GSE4303).</w:t>
      </w:r>
    </w:p>
    <w:bookmarkEnd w:id="35"/>
    <w:bookmarkStart w:id="3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Verified in the repository pool: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Sjögren H, et al.</w:t>
      </w:r>
      <w:r>
        <w:t xml:space="preserve"> </w:t>
      </w:r>
      <w:r>
        <w:t xml:space="preserve">EWSR1/NR4A3 fusion in EMC.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Panagopoulos I, et al.</w:t>
      </w:r>
      <w:r>
        <w:t xml:space="preserve"> </w:t>
      </w:r>
      <w:r>
        <w:t xml:space="preserve">EMC fusion variants/partners.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Bangerter, et al.</w:t>
      </w:r>
      <w:r>
        <w:t xml:space="preserve"> </w:t>
      </w:r>
      <w:r>
        <w:t xml:space="preserve">USZ-EMC patient-derived models.</w:t>
      </w:r>
      <w:r>
        <w:t xml:space="preserve"> </w:t>
      </w:r>
      <w:r>
        <w:rPr>
          <w:iCs/>
          <w:i/>
        </w:rPr>
        <w:t xml:space="preserve">Human Cell</w:t>
      </w:r>
      <w:r>
        <w:t xml:space="preserve"> </w:t>
      </w:r>
      <w:r>
        <w:t xml:space="preserve">2022/2023.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Iwata S, et al.</w:t>
      </w:r>
      <w:r>
        <w:t xml:space="preserve"> </w:t>
      </w:r>
      <w:r>
        <w:t xml:space="preserve">NCC-EMC1-C1.</w:t>
      </w:r>
      <w:r>
        <w:t xml:space="preserve"> </w:t>
      </w:r>
      <w:r>
        <w:rPr>
          <w:iCs/>
          <w:i/>
        </w:rPr>
        <w:t xml:space="preserve">Human Cell</w:t>
      </w:r>
      <w:r>
        <w:t xml:space="preserve"> </w:t>
      </w:r>
      <w:r>
        <w:t xml:space="preserve">2025.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Uhlén M, et al.</w:t>
      </w:r>
      <w:r>
        <w:t xml:space="preserve"> </w:t>
      </w:r>
      <w:r>
        <w:t xml:space="preserve">Human Protein Atlas.</w:t>
      </w:r>
      <w:r>
        <w:t xml:space="preserve"> </w:t>
      </w:r>
      <w:r>
        <w:rPr>
          <w:iCs/>
          <w:i/>
        </w:rPr>
        <w:t xml:space="preserve">Science</w:t>
      </w:r>
      <w:r>
        <w:t xml:space="preserve"> </w:t>
      </w:r>
      <w:r>
        <w:t xml:space="preserve">2015.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Bausch-Fluck D, et al.</w:t>
      </w:r>
      <w:r>
        <w:t xml:space="preserve"> </w:t>
      </w:r>
      <w:r>
        <w:t xml:space="preserve">The in silico human surfaceome.</w:t>
      </w:r>
      <w:r>
        <w:t xml:space="preserve"> </w:t>
      </w:r>
      <w:r>
        <w:rPr>
          <w:iCs/>
          <w:i/>
        </w:rPr>
        <w:t xml:space="preserve">PNAS</w:t>
      </w:r>
      <w:r>
        <w:t xml:space="preserve"> </w:t>
      </w:r>
      <w:r>
        <w:t xml:space="preserve">2018.</w:t>
      </w:r>
    </w:p>
    <w:p>
      <w:pPr>
        <w:pStyle w:val="BodyText"/>
      </w:pPr>
      <w:r>
        <w:t xml:space="preserve">To verify (candidate anchors identified; confirm before treating as established):</w:t>
      </w:r>
      <w:r>
        <w:t xml:space="preserve"> </w:t>
      </w:r>
      <w:r>
        <w:t xml:space="preserve">- EMC neuroendocrine differentiation —</w:t>
      </w:r>
      <w:r>
        <w:t xml:space="preserve"> </w:t>
      </w:r>
      <w:r>
        <w:rPr>
          <w:bCs/>
          <w:b/>
        </w:rPr>
        <w:t xml:space="preserve">INSM1</w:t>
      </w:r>
      <w:r>
        <w:t xml:space="preserve"> </w:t>
      </w:r>
      <w:r>
        <w:t xml:space="preserve">as a sensitive/relatively specific EMC marker (</w:t>
      </w:r>
      <w:r>
        <w:rPr>
          <w:iCs/>
          <w:i/>
        </w:rPr>
        <w:t xml:space="preserve">Modern</w:t>
      </w:r>
      <w:r>
        <w:rPr>
          <w:iCs/>
          <w:i/>
        </w:rPr>
        <w:t xml:space="preserve"> </w:t>
      </w:r>
      <w:r>
        <w:rPr>
          <w:iCs/>
          <w:i/>
        </w:rPr>
        <w:t xml:space="preserve">Pathology</w:t>
      </w:r>
      <w:r>
        <w:t xml:space="preserve"> </w:t>
      </w:r>
      <w:r>
        <w:t xml:space="preserve">2017; EMC INSM1 series PMID 36563884) and frequent synaptophysin/NSE positivity; S100 only</w:t>
      </w:r>
      <w:r>
        <w:t xml:space="preserve"> </w:t>
      </w:r>
      <w:r>
        <w:t xml:space="preserve">focal —</w:t>
      </w:r>
      <w:r>
        <w:t xml:space="preserve"> </w:t>
      </w:r>
      <w:r>
        <w:rPr>
          <w:bCs/>
          <w:b/>
        </w:rPr>
        <w:t xml:space="preserve">[verify]</w:t>
      </w:r>
      <w:r>
        <w:t xml:space="preserve">.</w:t>
      </w:r>
      <w:r>
        <w:t xml:space="preserve"> </w:t>
      </w:r>
      <w:r>
        <w:t xml:space="preserve">- H-EMC-SS (ACH-001519) — an ECACC-catalogued EMC line; authentication STR / EWSR1::NR4A3 status —</w:t>
      </w:r>
      <w:r>
        <w:t xml:space="preserve"> </w:t>
      </w:r>
      <w:r>
        <w:rPr>
          <w:bCs/>
          <w:b/>
        </w:rPr>
        <w:t xml:space="preserve">[verify via Cellosaurus/DepMap]</w:t>
      </w:r>
      <w:r>
        <w:t xml:space="preserve">.</w:t>
      </w:r>
      <w:r>
        <w:t xml:space="preserve"> </w:t>
      </w:r>
      <w:r>
        <w:t xml:space="preserve">- CD56 ADC</w:t>
      </w:r>
      <w:r>
        <w:t xml:space="preserve"> </w:t>
      </w:r>
      <w:r>
        <w:rPr>
          <w:bCs/>
          <w:b/>
        </w:rPr>
        <w:t xml:space="preserve">lorvotuzumab mertansine (IMGN901)</w:t>
      </w:r>
      <w:r>
        <w:t xml:space="preserve"> </w:t>
      </w:r>
      <w:r>
        <w:t xml:space="preserve">— SCLC Phase 1/2 (no efficacy benefit, added toxicity;</w:t>
      </w:r>
      <w:r>
        <w:t xml:space="preserve"> </w:t>
      </w:r>
      <w:r>
        <w:t xml:space="preserve">PMID 28341109) and CD56⁺ solid-tumour Phase I (PMID 26961907) —</w:t>
      </w:r>
      <w:r>
        <w:t xml:space="preserve"> </w:t>
      </w:r>
      <w:r>
        <w:rPr>
          <w:bCs/>
          <w:b/>
        </w:rPr>
        <w:t xml:space="preserve">[verify]</w:t>
      </w:r>
      <w:r>
        <w:t xml:space="preserve">.</w:t>
      </w:r>
      <w:r>
        <w:t xml:space="preserve"> </w:t>
      </w:r>
      <w:r>
        <w:t xml:space="preserve">- SSTR2 /</w:t>
      </w:r>
      <w:r>
        <w:t xml:space="preserve"> </w:t>
      </w:r>
      <w:r>
        <w:rPr>
          <w:bCs/>
          <w:b/>
        </w:rPr>
        <w:t xml:space="preserve">¹⁷⁷Lu-DOTATATE</w:t>
      </w:r>
      <w:r>
        <w:t xml:space="preserve"> </w:t>
      </w:r>
      <w:r>
        <w:t xml:space="preserve">(Lutathera; NETTER-1,</w:t>
      </w:r>
      <w:r>
        <w:t xml:space="preserve"> </w:t>
      </w:r>
      <w:r>
        <w:rPr>
          <w:bCs/>
          <w:b/>
        </w:rPr>
        <w:t xml:space="preserve">Strosberg et al.,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NEJM</w:t>
      </w:r>
      <w:r>
        <w:rPr>
          <w:bCs/>
          <w:b/>
        </w:rPr>
        <w:t xml:space="preserve"> </w:t>
      </w:r>
      <w:r>
        <w:rPr>
          <w:bCs/>
          <w:b/>
        </w:rPr>
        <w:t xml:space="preserve">2017</w:t>
      </w:r>
      <w:r>
        <w:t xml:space="preserve">) and ²²⁵Ac</w:t>
      </w:r>
      <w:r>
        <w:t xml:space="preserve"> </w:t>
      </w:r>
      <w:r>
        <w:t xml:space="preserve">somatostatin-receptor α-analogues —</w:t>
      </w:r>
      <w:r>
        <w:t xml:space="preserve"> </w:t>
      </w:r>
      <w:r>
        <w:rPr>
          <w:bCs/>
          <w:b/>
        </w:rPr>
        <w:t xml:space="preserve">[verify]</w:t>
      </w:r>
      <w:r>
        <w:t xml:space="preserve">.</w:t>
      </w:r>
      <w:r>
        <w:t xml:space="preserve"> </w:t>
      </w:r>
      <w:r>
        <w:t xml:space="preserve">- α (²²⁵Ac ~50–80 µm) vs β (¹⁷⁷Lu ~2 mm) tissue ranges — standard radiobiology —</w:t>
      </w:r>
      <w:r>
        <w:t xml:space="preserve"> </w:t>
      </w:r>
      <w:r>
        <w:rPr>
          <w:bCs/>
          <w:b/>
        </w:rPr>
        <w:t xml:space="preserve">[verify]</w:t>
      </w:r>
      <w:r>
        <w:t xml:space="preserve">.</w:t>
      </w:r>
      <w:r>
        <w:t xml:space="preserve"> </w:t>
      </w:r>
      <w:r>
        <w:t xml:space="preserve">- CDH11 normal fibroblast/synovial/bone expression (rheumatoid-arthritis/fibrosis target) —</w:t>
      </w:r>
      <w:r>
        <w:t xml:space="preserve"> </w:t>
      </w:r>
      <w:r>
        <w:rPr>
          <w:bCs/>
          <w:b/>
        </w:rPr>
        <w:t xml:space="preserve">[verify]</w:t>
      </w:r>
      <w:r>
        <w:t xml:space="preserve">.</w:t>
      </w:r>
      <w:r>
        <w:t xml:space="preserve"> </w:t>
      </w:r>
      <w:r>
        <w:t xml:space="preserve">- Clinical-stage agents per antigen (GPC2, PTK7, B7-H3 ifinatamab deruxtecan, etc.) —</w:t>
      </w:r>
      <w:r>
        <w:t xml:space="preserve"> </w:t>
      </w:r>
      <w:r>
        <w:rPr>
          <w:bCs/>
          <w:b/>
        </w:rPr>
        <w:t xml:space="preserve">[verify]</w:t>
      </w:r>
      <w:r>
        <w:t xml:space="preserve"> </w:t>
      </w:r>
      <w:r>
        <w:t xml:space="preserve">per antigen.</w:t>
      </w:r>
      <w:r>
        <w:t xml:space="preserve"> </w:t>
      </w:r>
      <w:r>
        <w:t xml:space="preserve">- EMC incidence (&lt;1% of soft-tissue sarcoma) —</w:t>
      </w:r>
      <w:r>
        <w:t xml:space="preserve"> </w:t>
      </w:r>
      <w:r>
        <w:rPr>
          <w:bCs/>
          <w:b/>
        </w:rPr>
        <w:t xml:space="preserve">[verify]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Provenance: consolidates the surfaceome scan (incl. H-EMC-SS profile + BH-corrected selectivity), the</w:t>
      </w:r>
      <w:r>
        <w:rPr>
          <w:iCs/>
          <w:i/>
        </w:rPr>
        <w:t xml:space="preserve"> </w:t>
      </w:r>
      <w:r>
        <w:rPr>
          <w:iCs/>
          <w:i/>
        </w:rPr>
        <w:t xml:space="preserve">normal-tissue window (controls validated), the EMC-line data probe and the GSE4303 cross-check (committed CPU</w:t>
      </w:r>
      <w:r>
        <w:rPr>
          <w:iCs/>
          <w:i/>
        </w:rPr>
        <w:t xml:space="preserve"> </w:t>
      </w:r>
      <w:r>
        <w:rPr>
          <w:iCs/>
          <w:i/>
        </w:rPr>
        <w:t xml:space="preserve">outputs on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modalities-cache</w:t>
      </w:r>
      <w:r>
        <w:rPr>
          <w:iCs/>
          <w:i/>
        </w:rPr>
        <w:t xml:space="preserve">), and two red-team passes ([</w:t>
      </w:r>
      <w:r>
        <w:rPr>
          <w:rStyle w:val="VerbatimChar"/>
          <w:iCs/>
          <w:i/>
        </w:rPr>
        <w:t xml:space="preserve">emc-surface-target-redteam.md</w:t>
      </w:r>
      <w:r>
        <w:rPr>
          <w:iCs/>
          <w:i/>
        </w:rPr>
        <w:t xml:space="preserve">]). No antigen is</w:t>
      </w:r>
      <w:r>
        <w:rPr>
          <w:iCs/>
          <w:i/>
        </w:rPr>
        <w:t xml:space="preserve"> </w:t>
      </w:r>
      <w:r>
        <w:rPr>
          <w:iCs/>
          <w:i/>
        </w:rPr>
        <w:t xml:space="preserve">asserted as an EMC-validated target.</w:t>
      </w:r>
    </w:p>
    <w:bookmarkEnd w:id="36"/>
    <w:bookmarkEnd w:id="3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emc-surface-target-redteam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emc-surface-target-redteam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2026-07-03T02:52:36Z</dcterms:created>
  <dcterms:modified xsi:type="dcterms:W3CDTF">2026-07-03T02:52:36Z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