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We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extension of a fixed 11-gene analysis compared nine EMC specimens with 393 other specimens from 28 source-defined malignant tumor categories in one RNA-sequencing cohort. All 644 eligible specimens, including other tumor categories, remained in the descriptive atlas. We used an exact rank-sum permutation test with Bonferroni correction for 11 genes, retained the original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so comparisons often rely on a small selection of other sarcomas. A difference observed in those comparisons leaves an important question: where does EMC lie within the broader range of tumor types?</w:t>
      </w:r>
    </w:p>
    <w:p>
      <w:r>
        <w:rPr>
          <w:b w:val="0"/>
        </w:rPr>
        <w:t>CSPG4 encodes a cell-surface proteoglycan studied across sarcomas. Boudin and colleagues described variation in its expression and associations with clinical and immune features in a large soft-tissue sarcoma collection.[2] An earlier fixed-panel analysis identified CSPG4 through comparisons of nine EMC specimens with myxoid liposarcoma, low-grade fibromyxoid sarcoma (LGFMS) and synovial sarcoma, with additional comparisons in an array cohort.[3,4,5]</w:t>
      </w:r>
    </w:p>
    <w:p>
      <w:r>
        <w:rPr>
          <w:b w:val="0"/>
        </w:rPr>
        <w:t>Here, we expand the same-source reference to eligible source-defined malignant categories and examine how the result changes when intermediate tumors are included. We also compare tumor types shared across RNA sequencing and arrays and describe CSPG4 expression in additional public collections. These analyses place the available EMC specimens within a wider RNA expression landscape and distinguish recurring differences from patterns that depend on the chosen reference.</w:t>
      </w:r>
    </w:p>
    <w:p>
      <w:pPr>
        <w:pStyle w:val="Heading1"/>
      </w:pPr>
      <w:r>
        <w:t>Methods</w:t>
      </w:r>
    </w:p>
    <w:p>
      <w:pPr>
        <w:pStyle w:val="Heading2"/>
      </w:pPr>
      <w:r>
        <w:t>Study design and reference groups</w:t>
      </w:r>
    </w:p>
    <w:p>
      <w:r>
        <w:rPr>
          <w:b w:val="0"/>
        </w:rPr>
        <w:t>This exploratory public-data reanalysis extends an earlier fixed 11-gene study.[4,6] We retained its specimen exclusions, gene panel and array-probe mappings. The broader comparison was specified on 19 September 2026 after the earlier findings were known. An amendment on 21 September added bootstrap uncertainty and a reference including intermediate tumors. The supplement records the analysis chronology and original protocol.</w:t>
      </w:r>
    </w:p>
    <w:p>
      <w:r>
        <w:rPr>
          <w:b w:val="0"/>
        </w:rPr>
        <w:t>The Hofvander collection provides gene-level transcripts per million (TPM), original diagnoses and specimen metadata.[3] We used the original diagnoses and excluded specimens with a nonblank recurrence or metastasis flag. Of 13 source EMC specimens, three previously reported cases and one local recurrence were excluded, leaving nine. Source Table S1 marked all nine as fusion-positive. Filtered fusion records specify seven NR4A3 fusions, one RT-PCR-verified FUS::NR4A2 fusion and no crosswalked fusion for the remaining specimen (Table S6). Membership follows the source EMC diagnosis.</w:t>
      </w:r>
    </w:p>
    <w:p>
      <w:r>
        <w:rPr>
          <w:b w:val="0"/>
        </w:rPr>
        <w:t>The retained collection contains 644 specimens across 60 original diagnosis labels. The primary reference comprises 393 non-EMC specimens from 28 categories classified as Malignant by the source, excluding melanoma and unclassified spindle-cell tumors. A broader reference adds 96 specimens from nine Intermediate categories, including gastrointestinal stromal tumor (GIST) and dermatofibrosarcoma protuberans (DFSP), for 489 references across 37 labels. All eligible specimens remain in the descriptive atlas.</w:t>
      </w:r>
    </w:p>
    <w:p>
      <w:r>
        <w:rPr>
          <w:b w:val="0"/>
        </w:rPr>
        <w:t>GSE24369 provides six EMC biopsies, 17 LGFMS, six myxofibrosarcomas (MFS), six desmoids, five solitary fibrous tumors (SFT) and two pooled muscle RNAs.[5] We retained the released GPL6244 robust multi-array average log2 signals and CSPG4 transcript cluster 7990545. Lesion stage was not established. Comparisons were calculated within each dataset, keeping TPM and array signals separate.</w:t>
      </w:r>
    </w:p>
    <w:p>
      <w:pPr>
        <w:pStyle w:val="Heading2"/>
      </w:pPr>
      <w:r>
        <w:t>Additional public collections</w:t>
      </w:r>
    </w:p>
    <w:p>
      <w:r>
        <w:rPr>
          <w:b w:val="0"/>
        </w:rPr>
        <w:t>The source search, completed on 19 September, examined public sarcoma compendia, their original accessions and identifiable EMC-containing studies. Records required a usable CSPG4 measurement and traceable diagnosis. We retained source-specific measurement scales: Treehouse Tumor Compendium 25.01 log2(TPM+1), Boudin et al. published normalized log2 values, GSE213065 Salmon TPM, GSE234092 featureCounts-derived counts per million (CPM), and OpenPedCan v15 gene TPM.[2,7,8,9,10] The supplement lists unresolved or inaccessible EMC sources.</w:t>
      </w:r>
    </w:p>
    <w:p>
      <w:r>
        <w:rPr>
          <w:b w:val="0"/>
        </w:rPr>
        <w:t>Selection used diagnosis and identity metadata rather than CSPG4 values. Treehouse profiles were grouped by donor identifier or conservative specimen prefix; Boudin records were joined to original GEO metadata. TCGA records already represented in Treehouse were omitted from Boudin summaries. GSE213065 contributed one earliest-timepoint T1a profile per explicit patient ID; GSE234092 retained its 69 repository records as a separately defined collection. OpenPedCan used independent-specimen lists, excluded known Treehouse donor aliases and kept one provenance-uncertain parental tumor outside clinical summaries. Analyses retained library-method and original-source strata. Counts describe profiles within resources, not a globally unique patient cohort; detailed selection and overlap ledgers are supplied.</w:t>
      </w:r>
    </w:p>
    <w:p>
      <w:pPr>
        <w:pStyle w:val="Heading2"/>
      </w:pPr>
      <w:r>
        <w:t>Statistical analysis</w:t>
      </w:r>
    </w:p>
    <w:p>
      <w:r>
        <w:rPr>
          <w:b w:val="0"/>
        </w:rPr>
        <w:t>We summarized expression by median, quartiles and range. The comparison score A=P(EMC&gt;reference)+0.5P(tie) averages all specimen pairs; A=0.5 denotes neutral ordering. The primary estimate weights reference specimens equally. We also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preserving ties.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quantiles.[11] No new hypothesis test was added for the broader reference.</w:t>
      </w:r>
    </w:p>
    <w:p>
      <w:r>
        <w:rPr>
          <w:b w:val="0"/>
        </w:rPr>
        <w:t>Earlier comparator-specific and sequencing-year-conditioned analyses were retained as sensitivities. External summaries and pairwise A values were calculated within designated source strata; comparisons across sources required at least five profiles per diagnosis in each stratum. External measurements were not pooled, and no external P values were calculated. Code, source digests, selection ledgers and complete results accompany the data archive.</w:t>
      </w:r>
    </w:p>
    <w:p>
      <w:pPr>
        <w:pStyle w:val="Heading1"/>
      </w:pPr>
      <w:r>
        <w:t>Results</w:t>
      </w:r>
    </w:p>
    <w:p>
      <w:pPr>
        <w:pStyle w:val="Heading2"/>
      </w:pPr>
      <w:r>
        <w:t>EMC within the broader reference</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These pooled comparisons answer a different question from the original comparator-specific rule, which CSPG4 alone satisfied.</w:t>
      </w:r>
    </w:p>
    <w:p>
      <w:pPr>
        <w:pStyle w:val="Heading2"/>
      </w:pPr>
      <w:r>
        <w:t>Direct comparisons across assays</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pPr>
        <w:pStyle w:val="Heading2"/>
      </w:pPr>
      <w:r>
        <w:t>Patterns in additional collections</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2"/>
      </w:pPr>
      <w:r>
        <w:t>Less favorable conditional sensitivities</w:t>
      </w:r>
    </w:p>
    <w:p>
      <w:r>
        <w:rPr>
          <w:b w:val="0"/>
        </w:rPr>
        <w:t>The original three-histology CSPG4 composite was 0.89454 across all years and 0.81111 when conditioned on sequencing year. Only four distinct EMC patients supported the latter. Removing the 2019 sample group left two matchable EMC patients and a conditional score of 0.43333, while the all-year score remained 0.83333. The expanded-reference year-conditioned sensitivity gave P=0.02064 and adjusted P=0.22704, using a different statistic and 319 supported-year references. These sensitivities change the supporting patients and comparison sets; they do not establish a sequencing-year effect. Full conditional results and the separate CHRNA6, normal-tissue and PRAME evidence are retained in the supplement.</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GIST and DFSP nevertheless had slightly higher observed medians than EMC, and several benign categories also had high expression. The findings describe a comparative pattern with substantial overlap and dependence on the chosen reference.</w:t>
      </w:r>
    </w:p>
    <w:p>
      <w:r>
        <w:rPr>
          <w:b w:val="0"/>
        </w:rPr>
        <w:t>Boudin et al. established broad CSPG4 heterogeneity and prognostic and immune associations across soft-tissue sarcomas.[2] This study adds the explicit placement of a rare histology and a paired view of the available direct EMC comparisons. The additional public collections broadened histologic coverage and showed both recurring and divergent relative patterns. They supplied no further explicitly labeled EMC group, leaving independent replication of the EMC comparison unresolved.</w:t>
      </w:r>
    </w:p>
    <w:p>
      <w:r>
        <w:rPr>
          <w:b w:val="0"/>
        </w:rPr>
        <w:t>The nine EMC specimens remain the main limit on precision, reflected in the wide bootstrap intervals. Small comparison groups also make median rankings uncertain. The references reflect source classifications and sampling rather than population incidence or a comprehensive clinical taxonomy. Equal-category estimates change the weights but retain this dependence. This exploratory extension followed the identification of CSPG4 as a gene of interest. Correction for 11 genes addresses that family of tests; retrospective selection and unmeasured confounding remain outside both that correction and the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Array lesion stage and independence from historical collections remain incompletely established.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study provides a broader RNA comparison and a reproducible reference resource for tissue studies and independently sampled EMC cohorts.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revision’s data and code package, including exact source URLs, selection ledgers, digests and specimen values, is available at https://github.com/trimcrae/Rare-cancers/blob/1f9f087e2dd666f721bed6c20b8b64d72203c12e/research/release-candidates/cspg4-presubmission-20260921/CSPG4-data-code.zip. The original reproducibility archive remains at https://assets-eu.researchsquare.com/files/rs-10959636/v1/b95606f3a3799c60c8ac4434.zip. That historical archive does not contain the new expanded analyses.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[3]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[4] McRae TD. Fixed-panel tissue RNA prioritization in extraskeletal myxoid chondrosarcoma: CSPG4 evidence across cohorts with comparator and sequencing-year limits. Research Square. 2026. Version 1 and accompanying code/data supplement. https://doi.org/10.21203/rs.3.rs-10959636/v1.</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McRae TD. EMC research program expression-panel definitions. Pinned revision 81d2931733aae640220c042039d0c53efed1690a. https://github.com/trimcrae/Rare-cancers/blob/81d2931733aae640220c042039d0c53efed1690a/research/modalities/emc_expression_panels.py.</w:t>
      </w:r>
    </w:p>
    <w:p>
      <w:pPr>
        <w:spacing w:line="252" w:lineRule="auto" w:after="140"/>
      </w:pPr>
      <w:r>
        <w:rPr>
          <w:b w:val="0"/>
          <w:sz w:val="21"/>
        </w:rPr>
        <w:t>[7] Beale HC, Learned K, Kephart ET, et al. Consistently processed RNA sequencing data from 50 sources enriched for pediatric data. Sci Data. 2025;12:1134. https://doi.org/10.1038/s41597-025-05376-z.</w:t>
      </w:r>
    </w:p>
    <w:p>
      <w:pPr>
        <w:spacing w:line="252" w:lineRule="auto" w:after="140"/>
      </w:pPr>
      <w:r>
        <w:rPr>
          <w:b w:val="0"/>
          <w:sz w:val="21"/>
        </w:rPr>
        <w:t>[8]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[9]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[10] Geng Z, Wafula E, Corbett RJ, et al. The Open Pediatric Cancer Project. GigaScience. 2025;14:giaf093. https://doi.org/10.1093/gigascience/giaf093.</w:t>
      </w:r>
    </w:p>
    <w:p>
      <w:pPr>
        <w:spacing w:line="252" w:lineRule="auto" w:after="140"/>
      </w:pPr>
      <w:r>
        <w:rPr>
          <w:b w:val="0"/>
          <w:sz w:val="21"/>
        </w:rPr>
        <w:t>[11] Efron B. Bootstrap methods: another look at the jackknife. Ann Statist. 1979;7:1–26. https://doi.org/10.1214/aos/1176344552.</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4657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646570"/>
                    </a:xfrm>
                    <a:prstGeom prst="rect"/>
                  </pic:spPr>
                </pic:pic>
              </a:graphicData>
            </a:graphic>
          </wp:inline>
        </w:drawing>
      </w:r>
    </w:p>
    <w:p>
      <w:pPr>
        <w:spacing w:line="250" w:lineRule="auto" w:after="0"/>
      </w:pPr>
      <w:r>
        <w:rPr>
          <w:b w:val="0"/>
          <w:sz w:val="18"/>
        </w:rPr>
      </w:r>
      <w:r>
        <w:rPr>
          <w:b/>
          <w:sz w:val="18"/>
        </w:rPr>
        <w:t>Figure 1. CSPG4 RNA in EMC and the primary and broader references.</w:t>
      </w:r>
      <w:r>
        <w:rPr>
          <w:b w:val="0"/>
          <w:sz w:val="18"/>
        </w:rPr>
        <w:t xml:space="preserve"> The 498 specimens span 38 source diagnosis labels: nine EMC (burgundy), 393 Malignant-category references (blue) and 96 additional Intermediate-category references (ochre). Dots show specimens,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