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 for CSPG4 tissue RNA enrichment in extraskeletal myxoid chondrosarcoma</w:t>
      </w:r>
    </w:p>
    <w:p>
      <w:r>
        <w:t>The scientific measurements, frozen protocols and original reproducibility archive are unchanged from Research Square version 1 (</w:t>
      </w:r>
      <w:hyperlink r:id="rId10">
        <w:r>
          <w:rPr>
            <w:color w:val="000000"/>
            <w:sz w:val="18"/>
          </w:rPr>
          <w:t>https://doi.org/10.21203/rs.3.rs-10959636/v1</w:t>
        </w:r>
      </w:hyperlink>
      <w:r>
        <w:t>).</w:t>
      </w:r>
      <w:r>
        <w:t xml:space="preserve"> The complete public code/data archive is </w:t>
      </w:r>
      <w:hyperlink r:id="rId11">
        <w:r>
          <w:rPr>
            <w:color w:val="000000"/>
            <w:sz w:val="18"/>
          </w:rPr>
          <w:t>https://assets-eu.researchsquare.com/files/rs-10959636/v1/b95606f3a3799c60c8ac4434.zip</w:t>
        </w:r>
      </w:hyperlink>
      <w:r>
        <w:t>.</w:t>
      </w:r>
      <w:r>
        <w:t xml:space="preserve"> Its SHA256 is </w:t>
      </w:r>
      <w:r>
        <w:rPr>
          <w:rFonts w:ascii="Consolas" w:hAnsi="Consolas"/>
          <w:sz w:val="18"/>
        </w:rPr>
        <w:t>56e089a6b39b9d5d5140a4185987778803359ab1154d26beb882d6e6197f3ea6</w:t>
      </w:r>
      <w:r>
        <w:t>. File names below identify its preserved components; no new analysis or public preregistration is claimed.</w:t>
      </w:r>
    </w:p>
    <w:p>
      <w:pPr>
        <w:pStyle w:val="Heading1"/>
      </w:pPr>
      <w:r>
        <w:t>Source inventory and specimen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923"/>
        <w:gridCol w:w="2448"/>
        <w:gridCol w:w="3010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Source</w:t>
            </w:r>
          </w:p>
        </w:tc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Units and usable specimens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Assay / release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Hofvander 2026</w:t>
            </w:r>
          </w:p>
        </w:tc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704 source patients; 9 primary EMC after fixed exclusions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19,116 gene symbols, gene TPM; author release v1.0.1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New-to-this-analysis tissue cohort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GSE24369</w:t>
            </w:r>
          </w:p>
        </w:tc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42 original arrays: 6 EMC, 17 LGFMS, 6 MFS, 6 desmoid, 5 SFT, 2 muscle pools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GPL6244 transcript-cluster RMA log2 signal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Retrospective same-histology anchor; also CHRNA6 discovery data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GSE28866</w:t>
            </w:r>
          </w:p>
        </w:tc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Four EMC library/STT records; individual patient count unverified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Selected 3SEQ peaks, supplied compressed normalized scale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Historical, different-estimand sample/organ context only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HPA</w:t>
            </w:r>
          </w:p>
        </w:tc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12 gene XML/JSON pairs; tissue/cell records are not independent subjects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XML version 25; current methods/download 25.1, Ensembl 109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Descriptive normal RNA, IHC and ICC/IF context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Cammareri 2023</w:t>
            </w:r>
          </w:p>
        </w:tc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Five EMC rows in original supplementary workbook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Whole-section PRAME QR005 IHC; both reader columns negative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External negative protein evidence, not paired with present RNA</w:t>
            </w:r>
          </w:p>
        </w:tc>
      </w:tr>
    </w:tbl>
    <w:p/>
    <w:p>
      <w:r>
        <w:t>Nine retained Hofvander EMC IDs: 11881-19, 3371-22, 3372-22, 4716-22, 4840-13, 5149-18, 5241-06, 7931-19, 8102-22. Excluded previously reported cases 104-92,168-97 and 536-00 map to source MDB9736 cases 3, 4 and 7; 5081-14 is a local recurrence. Original Table S1 diagnosis and nonblank specimen exception are preserved for every 704-source sample. No patient date is inferred from an accession suffix. Blank publication references do not prove independence. Gene-fusion positive in this source can mean current RNA-sequencing or an earlier assay, not necessarily a known partner in every case.</w:t>
      </w:r>
    </w:p>
    <w:p>
      <w:r>
        <w:t>Original-diagnosis primary comparators contain 14 MLPS, 13 LGFMS, 18 synovial sarcomas; separate contexts contain 60 MFS and 10 DFSP. Shared-histology secondary contexts add 11 primary SFT and 11 desmoids. Source metadata sometimes uses revised or transcriptomic labels; original labels are primary and the separately reported revision sensitivity changes all relevant rows symmetrically. Purity and grade are unavailable for EMC adjustment.</w:t>
      </w:r>
    </w:p>
    <w:p>
      <w:r>
        <w:t>Sequencing years for the nine EMC are 2019(n=2), 2020(n=1), 2021(n=1), 2022(n=2), 2023(n=3). MLPS has 2 comparators in 2019 and 5 in 2021; LGFMS has 7 and 5; synovial sarcoma has 10 in 2019 and 8 in 2020. Consequently, each primary matched contrast contains 3 EMC and the union is 4 EMC. Context DFSP has only 1 matched EMC and 3 comparators in 2021. Unsupported year cells remain null. All counts refer to the exact specimen policy, not the full published histology totals.</w:t>
      </w:r>
    </w:p>
    <w:p>
      <w:pPr>
        <w:pStyle w:val="Heading1"/>
      </w:pPr>
      <w:r>
        <w:t>Exact measurement contract</w:t>
      </w:r>
    </w:p>
    <w:p>
      <w:r>
        <w:t xml:space="preserve">TPM source SHA256: </w:t>
      </w:r>
      <w:r>
        <w:rPr>
          <w:rFonts w:ascii="Consolas" w:hAnsi="Consolas"/>
          <w:sz w:val="18"/>
        </w:rPr>
        <w:t>b0d665d1bd1d96ace1faf66cc5a4d7ab7e41cb487c8f0f61734f102a1f9a7af3</w:t>
      </w:r>
      <w:r>
        <w:t xml:space="preserve">. Original GSE24369 family gzip SHA256: </w:t>
      </w:r>
      <w:r>
        <w:rPr>
          <w:rFonts w:ascii="Consolas" w:hAnsi="Consolas"/>
          <w:sz w:val="18"/>
        </w:rPr>
        <w:t>98c83c8ca23b7052cf0d4d0099a7bf1af6c3c972276038c3a633e2a5349b3c37</w:t>
      </w:r>
      <w:r>
        <w:t>. Full source digests and byte sizes are in the two frozen metadata manifests. Analysis uses released numeric precision, not the earlier rounded cache.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160"/>
        <w:gridCol w:w="5645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Gene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GPL6244 probe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CD276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7984743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SSTR2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8009526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PRAME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8074856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FAP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8056257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CD248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7949588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CSPG4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7990545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MSLN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7992071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L1CAM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8175871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GPC3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8175234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ALPP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8049123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CDH17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8151795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CHRNA6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8150550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Separate context control</w:t>
            </w:r>
          </w:p>
        </w:tc>
      </w:tr>
    </w:tbl>
    <w:p/>
    <w:p>
      <w:r>
        <w:t>All transcript-cluster assignments for each selected probe resolve to the same gene. No probe mean, best probe, alias substitution or expression-dependent feature filter is used. Array finite signed log signals are valid; TPM must be finite and nonnegative. Zero observations remain ties. Missing/duplicate observations cause a recorded technical failure rather than deletion or imputation. Actual runs completed without these failures.</w:t>
      </w:r>
    </w:p>
    <w:p>
      <w:r>
        <w:t>For EMC values x_i and comparator values y_j, A=(1/nm) Σ_iΣ_j[I(x_i&gt;y_j)+0.5I(x_i=y_j)]. Pair counts are not independent-patient counts. The marginal summary is the mean of the 3 histology effects. Matched effects first average within exact year, weighting by supported EMC counts, then average equally across histologies. A common EMC specimen can contribute to multiple histology contrasts; bootstrap sampling preserves that dependence by sharing its resample. No cross-platform scale or patient pooling is performed.</w:t>
      </w:r>
    </w:p>
    <w:p>
      <w:r>
        <w:t>Bootstrap seed 20260906, 2000 replicates, stratified by histology/year. The conditional 95% percentile intervals are pointwise, not familywise and not used to select genes. For CSPG4, a degenerate MLPS matched interval [0.66667, 0.66667] reflects observed sparse strata and the resampling design, not absence of biological uncertainty. All singleton flags and patient placements are supplied. Independent 5000-draw resampling reproduced the main matched interval endpoints; this numerical check does not remove small-sample limitations.</w:t>
      </w:r>
    </w:p>
    <w:p>
      <w:r>
        <w:t>The allocation rule requires marginal composite≥0.70, each primary marginal/matched histology&gt;0.5, and both summaries&gt;0.5 after each single EMC and histology deletion. Year/comparator deletion and revised diagnoses are qualifiers. Deletions renormalize retained supported-year weights; a lost contrast remains undefined. Complete-case selection or imputation is not performed. No new replication success cutoff was added. The separate cross-cohort output compares signs and magnitudes against LGFMS primarily, MFS/SFT/desmoid secondarily.</w:t>
      </w:r>
    </w:p>
    <w:p>
      <w:pPr>
        <w:pStyle w:val="Heading1"/>
      </w:pPr>
      <w:r>
        <w:t>Tables and evidence files</w:t>
      </w:r>
    </w:p>
    <w:p>
      <w:r>
        <w:t xml:space="preserve">Table S1, </w:t>
      </w:r>
      <w:r>
        <w:rPr>
          <w:rFonts w:ascii="Consolas" w:hAnsi="Consolas"/>
          <w:sz w:val="18"/>
        </w:rPr>
        <w:t>../../autonomy/atlas-hofvander-validation-2026-09-06/all12-gene-effects.csv</w:t>
      </w:r>
      <w:r>
        <w:t xml:space="preserve">, includes every gene, both primary composites, conditional intervals and same-LGFMS effects. Table S2, </w:t>
      </w:r>
      <w:r>
        <w:rPr>
          <w:rFonts w:ascii="Consolas" w:hAnsi="Consolas"/>
          <w:sz w:val="18"/>
        </w:rPr>
        <w:t>../../autonomy/atlas-hofvander-validation-2026-09-06/all-hofvander-contrasts.csv</w:t>
      </w:r>
      <w:r>
        <w:t xml:space="preserve">, contains 60 gene×histology rows; </w:t>
      </w:r>
      <w:r>
        <w:rPr>
          <w:rFonts w:ascii="Consolas" w:hAnsi="Consolas"/>
          <w:sz w:val="18"/>
        </w:rPr>
        <w:t>../../autonomy/atlas-hofvander-validation-2026-09-06/all-year-cells.csv</w:t>
      </w:r>
      <w:r>
        <w:t xml:space="preserve"> provides all supported/unsupported cells. Table S3, </w:t>
      </w:r>
      <w:r>
        <w:rPr>
          <w:rFonts w:ascii="Consolas" w:hAnsi="Consolas"/>
          <w:sz w:val="18"/>
        </w:rPr>
        <w:t>../../autonomy/atlas-hofvander-validation-2026-09-06/all-shared-histology-replication.csv</w:t>
      </w:r>
      <w:r>
        <w:t xml:space="preserve">, contains 48 gene×shared-histology comparisons and individual-deletion ranges. </w:t>
      </w:r>
      <w:r>
        <w:rPr>
          <w:rFonts w:ascii="Consolas" w:hAnsi="Consolas"/>
          <w:sz w:val="18"/>
        </w:rPr>
        <w:t>../../autonomy/atlas-hofvander-validation-2026-09-06/all-primary-deletions.csv</w:t>
      </w:r>
      <w:r>
        <w:t xml:space="preserve"> retains every summary deletion. Full JSON adds every specimen value, placement, individual contrast and revised-label mapping.</w:t>
      </w:r>
    </w:p>
    <w:p>
      <w:r>
        <w:t xml:space="preserve">Table S4, </w:t>
      </w:r>
      <w:r>
        <w:rPr>
          <w:rFonts w:ascii="Consolas" w:hAnsi="Consolas"/>
          <w:sz w:val="18"/>
        </w:rPr>
        <w:t>../../autonomy/atlas-hofvander-validation-2026-09-06/draft/normal-context.csv</w:t>
      </w:r>
      <w:r>
        <w:t>, contains 12 source-linked HPA records with normal IHC reliability/missingness and assay-location context. It is a descriptive extract, not a normal-sparing assessment. Source data include 1092 RNA tissue/block records and 1054 categorical normal-IHC cell records; neither total is a count of newly measured independent donors. HPA consensus RNA summarizes maxima across HPA/GTEx sources/subtissues. GPC3/CHRNA6 lack tissue-IHC rows in this recovery; absence of a row is not a negative stain. SSTR2/FAP uncertain IHC and ALPP multi-gene antibody warning remain explicit. PRAME's localization tags are not evidence of endogenous EMC peptide-HLA presentation.</w:t>
      </w:r>
    </w:p>
    <w:p>
      <w:r>
        <w:t>PRAME supplementary workbook SHA256:</w:t>
      </w:r>
    </w:p>
    <w:p>
      <w:r>
        <w:rPr>
          <w:rFonts w:ascii="Consolas" w:hAnsi="Consolas"/>
          <w:sz w:val="18"/>
        </w:rPr>
        <w:t>20b4bd1243be22e4eee2da7470da986091f91cc4959fa416708748ba99187ca7</w:t>
      </w:r>
    </w:p>
    <w:p>
      <w:r>
        <w:t>Sheet 1 rows 128–132 contain five EMC, negative in both reader columns; blank percentage fields were not converted to measurements. Case 2 has EWSR1::NR4A3 RNA-sequencing support, cases 3–5 NR4A3-positive FISH, case 1 no recorded ancillary method. This supports a negative result in those 5 specimens, not universal PRAME absence or absent peptide-HLA presentation.</w:t>
      </w:r>
    </w:p>
    <w:p>
      <w:pPr>
        <w:pStyle w:val="Heading1"/>
      </w:pPr>
      <w:r>
        <w:t>Reproduction and figure status</w:t>
      </w:r>
    </w:p>
    <w:p>
      <w:r>
        <w:t xml:space="preserve">Empirical programs are </w:t>
      </w:r>
      <w:r>
        <w:rPr>
          <w:rFonts w:ascii="Consolas" w:hAnsi="Consolas"/>
          <w:sz w:val="18"/>
        </w:rPr>
        <w:t>../../autonomy/atlas-hofvander-validation-2026-09-06/analyze.py</w:t>
      </w:r>
      <w:r>
        <w:t xml:space="preserve"> and </w:t>
      </w:r>
      <w:r>
        <w:rPr>
          <w:rFonts w:ascii="Consolas" w:hAnsi="Consolas"/>
          <w:sz w:val="18"/>
        </w:rPr>
        <w:t>../../autonomy/atlas-hofvander-validation-2026-09-06/replication.py</w:t>
      </w:r>
      <w:r>
        <w:t xml:space="preserve">; all 8 pre-outcome approved files are listed in </w:t>
      </w:r>
      <w:r>
        <w:rPr>
          <w:rFonts w:ascii="Consolas" w:hAnsi="Consolas"/>
          <w:sz w:val="18"/>
        </w:rPr>
        <w:t>../../autonomy/atlas-hofvander-validation-2026-09-06/coordinator-authorization.json</w:t>
      </w:r>
      <w:r>
        <w:t xml:space="preserve">. Original scientific protocol bytes are preserved alongside frontmatter-corrected versions. Each analysis ran once: command elapsed 46.38 and 12.72 seconds, exit 0. Runtime was Python 3.12.14, NumPy 2.3.5, openpyxl 3.1.5; exact executable/version receipt is in </w:t>
      </w:r>
      <w:r>
        <w:rPr>
          <w:rFonts w:ascii="Consolas" w:hAnsi="Consolas"/>
          <w:sz w:val="18"/>
        </w:rPr>
        <w:t>../../autonomy/atlas-hofvander-validation-2026-09-06/draft/runtime.json</w:t>
      </w:r>
      <w:r>
        <w:t>. Independent original-source arithmetic reproduced 8,448 TPM values, 504 array values, 2,436 estimate/deletion blocks and 266,772 scalar comparisons without discrepancy. These checks verify computation, not causal or clinical validity.</w:t>
      </w:r>
    </w:p>
    <w:p>
      <w:r>
        <w:t>Source locations in the original manifests remain historical workstation paths. The portable offline wrapper accepts an explicit bundle root, stages exact archive/gzip members and changes only source_location in derived manifests. One fresh-directory replay on the same Windows host completed with 829,482 exact scalar comparisons and zero discrepancies across 29 scientific JSON files and five CSV exports; two execution records separately matched status and final stage. This is not a second-machine or second-OS claim. Python 3.12.14, NumPy 2.3.5, openpyxl 3.1.5 and et-xmlfile 2.0.0 are pinned. Historical approval is preserved, while the compatibility record explicitly identifies the mechanical replay. Installation instructions suffice; no bundled runtime or wheels are claimed.</w:t>
      </w:r>
    </w:p>
    <w:p>
      <w:r>
        <w:t xml:space="preserve">The canonical </w:t>
      </w:r>
      <w:r>
        <w:rPr>
          <w:rFonts w:ascii="Consolas" w:hAnsi="Consolas"/>
          <w:sz w:val="18"/>
        </w:rPr>
        <w:t>plot_emc_tissue_rna.py</w:t>
      </w:r>
      <w:r>
        <w:t xml:space="preserve"> adapter preserves the frozen draft plotting statistics and geometry, adds SVG output for the manuscript renderer alongside vector PDF and 300-dpi PNG, and rejects rendering until exact source and plotting-script bytes are committed. Figures remain descriptive; no uncertainty bars or new statistical tests are introduced. Normal-expression context remains Table S4. Figure rendering and visual inspection are recorded separately from numerical replay.</w:t>
      </w:r>
    </w:p>
    <w:p>
      <w:r>
        <w:t>Author identity, affiliation, correspondence and ORCID match the posted Research Square article. The author confirmed no funding and no competing interests on 7 September 2026. This public-data reanalysis asserts no new ethics approval, exemption or waiver. OpenAI Codex assisted with implementation, source organization, verification and drafting; this assistance is disclosed in the main article.</w:t>
      </w:r>
    </w:p>
    <w:p>
      <w:r>
        <w:t>The historical analysis, draft and replay packets are preserved unchanged. Canonical manuscript routing and the SVG plotting adapter are separate presentation files; no scientific decision or source membership changed.</w:t>
      </w:r>
    </w:p>
    <w:p>
      <w:pPr>
        <w:pStyle w:val="Heading1"/>
      </w:pPr>
      <w:r>
        <w:t>Table S1 All fixed panel effects</w:t>
      </w:r>
    </w:p>
    <w:p>
      <w:r>
        <w:t>A=0.5 is neutral ordering; the control is separate from the address pass count. Matched columns use the supported-year specimens, not all nine EMC. Intervals and complete sensitivities are retained in the machine-readable tables described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642"/>
        <w:gridCol w:w="1642"/>
        <w:gridCol w:w="1526"/>
        <w:gridCol w:w="1901"/>
        <w:gridCol w:w="1814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</w:pPr>
            <w:r>
              <w:rPr>
                <w:b/>
                <w:sz w:val="19"/>
              </w:rPr>
              <w:t>Gene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19"/>
              </w:rPr>
              <w:t>Hofvander marginal A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19"/>
              </w:rPr>
              <w:t>Hofvander matched A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19"/>
              </w:rPr>
              <w:t>LGFMS array A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19"/>
              </w:rPr>
              <w:t>LGFMS Hofvander A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CD276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0.26575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0.27143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0.32353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0.02564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SSTR2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0.56926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0.73373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0.47059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0.76068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PRAME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0.21573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0.25397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0.68627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0.64103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FAP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0.34367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0.27897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0.54902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0.05128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CD248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0.12178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0.01587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0.30392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0.21368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CSPG4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0.89454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0.81111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1.00000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0.96581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MSLN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0.68008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0.58968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0.29412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0.92735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L1CAM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0.69931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0.61627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0.76471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0.90171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GPC3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0.29060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0.31270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0.48039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0.76068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ALPP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0.53336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0.49722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0.63725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0.61111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CDH17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0.44520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0.43115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0.09804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0.30342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Fail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9"/>
              </w:rPr>
              <w:t>CHRNA6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1.00000</w:t>
            </w:r>
          </w:p>
        </w:tc>
        <w:tc>
          <w:tcPr>
            <w:tcW w:type="dxa" w:w="16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1.00000</w:t>
            </w:r>
          </w:p>
        </w:tc>
        <w:tc>
          <w:tcPr>
            <w:tcW w:type="dxa" w:w="15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1.00000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1.00000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2" w:lineRule="auto"/>
              <w:jc w:val="center"/>
            </w:pPr>
            <w:r>
              <w:rPr>
                <w:b w:val="0"/>
                <w:sz w:val="19"/>
              </w:rPr>
              <w:t>Control only</w:t>
            </w:r>
          </w:p>
        </w:tc>
      </w:tr>
    </w:tbl>
    <w:p/>
    <w:sectPr w:rsidR="00FC693F" w:rsidRPr="0006063C" w:rsidSect="00034616">
      <w:footerReference w:type="default" r:id="rId9"/>
      <w:pgSz w:w="11909" w:h="16834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21203/rs.3.rs-10959636/v1" TargetMode="External"/><Relationship Id="rId11" Type="http://schemas.openxmlformats.org/officeDocument/2006/relationships/hyperlink" Target="https://assets-eu.researchsquare.com/files/rs-10959636/v1/b95606f3a3799c60c8ac4434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for CSPG4 tissue RNA enrichment in extraskeletal myxoid chondrosarcoma</dc:title>
  <dc:subject>Computational tissue RNA study prepared for Cancer Genetics</dc:subject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