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keepNext/>
        <w:bidi w:val="0"/>
        <w:spacing w:line="480" w:lineRule="exact"/>
        <w:jc w:val="left"/>
        <w:rPr/>
      </w:pPr>
      <w:r>
        <w:rPr/>
        <w:t>Figure legends for: NR4A3 fusion-junction antisense gapmers for extraskeletal myxoid chondrosarcoma: reagents, test articles and a pre-registrable knockdown experiment</w:t>
      </w:r>
    </w:p>
    <w:p>
      <w:pPr>
        <w:pStyle w:val="Heading1"/>
        <w:keepNext/>
        <w:bidi w:val="0"/>
        <w:spacing w:line="480" w:lineRule="exact"/>
        <w:jc w:val="left"/>
        <w:rPr/>
      </w:pPr>
      <w:r>
        <w:rPr/>
        <w:t>Figure legends</w:t>
      </w:r>
    </w:p>
    <w:p>
      <w:pPr>
        <w:pStyle w:val="BodyTextlegend"/>
        <w:bidi w:val="0"/>
        <w:spacing w:before="0" w:after="320" w:line="480" w:lineRule="exact"/>
        <w:jc w:val="left"/>
        <w:rPr/>
      </w:pPr>
      <w:r>
        <w:rPr>
          <w:rStyle w:val="Strong"/>
        </w:rPr>
        <w:t>Figure 1. One 16-mer spans three partners' breakpoints; only one is reported in patients.</w:t>
      </w:r>
      <w:r>
        <w:rPr/>
        <w:t xml:space="preserve"> Breakpoint-aligned windows join </w:t>
      </w:r>
      <w:r>
        <w:rPr>
          <w:rStyle w:val="Emphasis"/>
        </w:rPr>
        <w:t>EWSR1</w:t>
      </w:r>
      <w:r>
        <w:rPr/>
        <w:t xml:space="preserve"> exon 12, </w:t>
      </w:r>
      <w:r>
        <w:rPr>
          <w:rStyle w:val="Emphasis"/>
        </w:rPr>
        <w:t>TAF15</w:t>
      </w:r>
      <w:r>
        <w:rPr/>
        <w:t xml:space="preserve"> exon 11 and </w:t>
      </w:r>
      <w:r>
        <w:rPr>
          <w:rStyle w:val="Emphasis"/>
        </w:rPr>
        <w:t>FUS</w:t>
      </w:r>
      <w:r>
        <w:rPr/>
        <w:t xml:space="preserve"> exon 10 to </w:t>
      </w:r>
      <w:r>
        <w:rPr>
          <w:rStyle w:val="Emphasis"/>
        </w:rPr>
        <w:t>NR4A3</w:t>
      </w:r>
      <w:r>
        <w:rPr/>
        <w:t xml:space="preserve"> exon 3, with reporting status for each row. The </w:t>
      </w:r>
      <w:r>
        <w:rPr>
          <w:rStyle w:val="Emphasis"/>
        </w:rPr>
        <w:t>TAF15</w:t>
      </w:r>
      <w:r>
        <w:rPr/>
        <w:t xml:space="preserve"> exon-11 row differs from Table 1's exon-6 reagent: it is an additional breakpoint spanned by the </w:t>
      </w:r>
      <w:r>
        <w:rPr>
          <w:rStyle w:val="Emphasis"/>
        </w:rPr>
        <w:t>EWSR1</w:t>
      </w:r>
      <w:r>
        <w:rPr/>
        <w:t xml:space="preserve"> reagent, not a selected reagent.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auto"/>
    <w:pitch w:val="default"/>
  </w:font>
  <w:font w:name="DejaVu Sans Mono">
    <w:altName w:val="Consolas"/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480"/>
    </w:pPr>
    <w:rPr>
      <w:rFonts w:ascii="Liberation Serif;Times New Roman;Times;serif" w:hAnsi="Liberation Serif;Times New Roman;Times;serif" w:eastAsia="Liberation Serif;Times New Roman;Times;serif" w:cs="Liberation Serif;Times New Roman;Times;serif"/>
      <w:color w:val="000000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lineRule="auto" w:line="480" w:before="240" w:after="280"/>
      <w:outlineLvl w:val="0"/>
    </w:pPr>
    <w:rPr>
      <w:rFonts w:ascii="Times New Roman" w:hAnsi="Times New Roman" w:eastAsia="NSimSun" w:cs="Arial"/>
      <w:b/>
      <w:bCs/>
      <w:color w:val="000000"/>
      <w:sz w:val="28"/>
      <w:szCs w:val="28"/>
    </w:rPr>
  </w:style>
  <w:style w:type="paragraph" w:styleId="Heading2">
    <w:name w:val="heading 2"/>
    <w:basedOn w:val="Heading"/>
    <w:next w:val="BodyText"/>
    <w:qFormat/>
    <w:pPr>
      <w:pBdr>
        <w:bottom w:val="single" w:sz="4" w:space="3" w:color="CCCCCC"/>
      </w:pBdr>
      <w:spacing w:before="400" w:after="120" w:line="480" w:lineRule="auto"/>
      <w:ind w:left="400" w:right="400"/>
      <w:outlineLvl w:val="1"/>
    </w:pPr>
    <w:rPr>
      <w:rFonts w:ascii="Times New Roman" w:hAnsi="Times New Roman" w:eastAsia="NSimSun" w:cs="Arial"/>
      <w:b/>
      <w:bCs/>
      <w:color w:val="000000"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280" w:after="80" w:line="480" w:lineRule="auto"/>
      <w:ind w:left="280" w:right="280"/>
      <w:outlineLvl w:val="2"/>
    </w:pPr>
    <w:rPr>
      <w:rFonts w:ascii="Times New Roman" w:hAnsi="Times New Roman" w:eastAsia="NSimSun" w:cs="Arial"/>
      <w:b/>
      <w:bCs/>
      <w:color w:val="000000"/>
      <w:sz w:val="22"/>
      <w:szCs w:val="22"/>
    </w:rPr>
  </w:style>
  <w:style w:type="character" w:styleId="SourceText">
    <w:name w:val="Source Text"/>
    <w:qFormat/>
    <w:rPr>
      <w:rFonts w:ascii="DejaVu Sans Mono;Consolas;monospace" w:hAnsi="DejaVu Sans Mono;Consolas;monospace" w:eastAsia="DejaVu Sans Mono;Consolas;monospace" w:cs="DejaVu Sans Mono;Consolas;monospace"/>
      <w:shd w:fill="F4F4F4" w:val="clear"/>
    </w:rPr>
  </w:style>
  <w:style w:type="character" w:styleId="SourceTextbrk">
    <w:name w:val="Source Text.brk"/>
    <w:basedOn w:val="SourceText"/>
    <w:qFormat/>
    <w:rPr/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Hyperlink">
    <w:name w:val="Hyperlink"/>
    <w:rPr>
      <w:strike w:val="false"/>
      <w:dstrike w:val="false"/>
      <w:color w:val="14507D"/>
      <w:u w:val="none"/>
      <w:effect w:val="none"/>
    </w:rPr>
  </w:style>
  <w:style w:type="character" w:styleId="FollowedHyperlink">
    <w:name w:val="FollowedHyperlink"/>
    <w:rPr>
      <w:strike w:val="false"/>
      <w:dstrike w:val="false"/>
      <w:color w:val="14507D"/>
      <w:u w:val="none"/>
      <w:effect w:val="no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 w:line="480" w:lineRule="auto"/>
    </w:pPr>
    <w:rPr>
      <w:rFonts w:ascii="Arial" w:hAnsi="Arial" w:eastAsia="Microsoft YaHei" w:cs="Arial"/>
      <w:color w:val="000000"/>
      <w:sz w:val="28"/>
      <w:szCs w:val="28"/>
    </w:rPr>
  </w:style>
  <w:style w:type="paragraph" w:styleId="BodyText">
    <w:name w:val="Body Text"/>
    <w:basedOn w:val="Normal"/>
    <w:pPr>
      <w:widowControl/>
      <w:spacing w:lineRule="auto" w:line="480" w:before="0" w:after="160"/>
      <w:jc w:val="both"/>
    </w:pPr>
    <w:rPr>
      <w:color w:val="000000"/>
    </w:rPr>
  </w:style>
  <w:style w:type="paragraph" w:styleId="List">
    <w:name w:val="List"/>
    <w:basedOn w:val="BodyText"/>
    <w:pPr>
      <w:spacing w:line="480" w:lineRule="auto"/>
    </w:pPr>
    <w:rPr>
      <w:rFonts w:cs="Arial"/>
      <w:color w:val="000000"/>
    </w:rPr>
  </w:style>
  <w:style w:type="paragraph" w:styleId="Caption">
    <w:name w:val="caption"/>
    <w:basedOn w:val="Normal"/>
    <w:qFormat/>
    <w:pPr>
      <w:suppressLineNumbers/>
      <w:spacing w:before="120" w:after="120" w:line="480" w:lineRule="auto"/>
    </w:pPr>
    <w:rPr>
      <w:rFonts w:cs="Arial"/>
      <w:i/>
      <w:iCs/>
      <w:color w:val="000000"/>
      <w:sz w:val="24"/>
      <w:szCs w:val="24"/>
    </w:rPr>
  </w:style>
  <w:style w:type="paragraph" w:styleId="Index">
    <w:name w:val="Index"/>
    <w:basedOn w:val="Normal"/>
    <w:qFormat/>
    <w:pPr>
      <w:suppressLineNumbers/>
      <w:spacing w:line="480" w:lineRule="auto"/>
    </w:pPr>
    <w:rPr>
      <w:rFonts w:cs="Arial"/>
      <w:color w:val="000000"/>
    </w:rPr>
  </w:style>
  <w:style w:type="paragraph" w:styleId="BlockQuotation">
    <w:name w:val="Block Quotation"/>
    <w:basedOn w:val="Normal"/>
    <w:qFormat/>
    <w:pPr>
      <w:spacing w:before="120" w:after="160" w:line="480" w:lineRule="auto"/>
      <w:ind w:hanging="0" w:left="120" w:right="120"/>
      <w:jc w:val="center"/>
    </w:pPr>
    <w:rPr>
      <w:color w:val="000000"/>
    </w:rPr>
  </w:style>
  <w:style w:type="paragraph" w:styleId="PreformattedText">
    <w:name w:val="Preformatted Text"/>
    <w:basedOn w:val="Normal"/>
    <w:qFormat/>
    <w:pPr>
      <w:pBdr>
        <w:left w:val="single" w:sz="16" w:space="7" w:color="C8D2DC"/>
      </w:pBdr>
      <w:shd w:fill="F4F4F4" w:val="clear"/>
      <w:spacing w:lineRule="auto" w:line="480" w:before="0" w:after="160"/>
      <w:jc w:val="left"/>
    </w:pPr>
    <w:rPr>
      <w:rFonts w:ascii="DejaVu Sans Mono;Consolas;monospace" w:hAnsi="DejaVu Sans Mono;Consolas;monospace" w:eastAsia="DejaVu Sans Mono;Consolas;monospace" w:cs="DejaVu Sans Mono;Consolas;monospace"/>
      <w:color w:val="000000"/>
      <w:sz w:val="20"/>
      <w:szCs w:val="20"/>
    </w:rPr>
  </w:style>
  <w:style w:type="paragraph" w:styleId="BodyTextlegend">
    <w:name w:val="Body Text.legend"/>
    <w:basedOn w:val="BodyText"/>
    <w:qFormat/>
    <w:pPr>
      <w:widowControl/>
      <w:spacing w:before="0" w:after="320" w:line="480" w:lineRule="auto"/>
      <w:jc w:val="left"/>
    </w:pPr>
    <w:rPr>
      <w:color w:val="000000"/>
      <w:sz w:val="18"/>
      <w:szCs w:val="18"/>
    </w:rPr>
  </w:style>
  <w:style w:type="paragraph" w:styleId="BodyTextversion">
    <w:name w:val="Body Text.version"/>
    <w:basedOn w:val="BodyText"/>
    <w:qFormat/>
    <w:pPr>
      <w:spacing w:before="0" w:after="240" w:line="480" w:lineRule="auto"/>
      <w:ind w:left="0" w:right="0"/>
      <w:jc w:val="left"/>
    </w:pPr>
    <w:rPr>
      <w:color w:val="000000"/>
      <w:sz w:val="17"/>
      <w:szCs w:val="17"/>
    </w:rPr>
  </w:style>
  <w:style w:type="paragraph" w:styleId="BodyTextsitrace">
    <w:name w:val="Body Text.sitrace"/>
    <w:basedOn w:val="BodyText"/>
    <w:qFormat/>
    <w:pPr>
      <w:spacing w:before="0" w:after="200" w:line="480" w:lineRule="auto"/>
      <w:jc w:val="left"/>
    </w:pPr>
    <w:rPr>
      <w:color w:val="000000"/>
      <w:sz w:val="18"/>
      <w:szCs w:val="18"/>
    </w:rPr>
  </w:style>
  <w:style w:type="paragraph" w:styleId="Heading2runs-on">
    <w:name w:val="Heading 2.runs-on"/>
    <w:basedOn w:val="Heading2"/>
    <w:qFormat/>
    <w:pPr>
      <w:spacing w:before="360" w:after="120" w:line="480" w:lineRule="auto"/>
      <w:ind w:hanging="0" w:left="400"/>
      <w:outlineLvl w:val="9"/>
    </w:pPr>
    <w:rPr>
      <w:color w:val="000000"/>
    </w:rPr>
  </w:style>
  <w:style w:type="paragraph" w:styleId="TableContents">
    <w:name w:val="Table Contents"/>
    <w:basedOn w:val="Normal"/>
    <w:qFormat/>
    <w:pPr>
      <w:widowControl w:val="false"/>
      <w:suppressLineNumbers/>
      <w:spacing w:line="480" w:lineRule="auto"/>
      <w:jc w:val="left"/>
    </w:pPr>
    <w:rPr>
      <w:color w:val="000000"/>
    </w:rPr>
  </w:style>
  <w:style w:type="paragraph" w:styleId="TableHeading">
    <w:name w:val="Table Heading"/>
    <w:basedOn w:val="TableContents"/>
    <w:qFormat/>
    <w:pPr>
      <w:suppressLineNumbers/>
      <w:shd w:fill="EAEEF2" w:val="clear"/>
      <w:spacing w:line="480" w:lineRule="auto"/>
      <w:jc w:val="left"/>
    </w:pPr>
    <w:rPr>
      <w:b/>
      <w:bCs/>
      <w:color w:val="000000"/>
    </w:rPr>
  </w:style>
  <w:style w:type="paragraph" w:customStyle="1" w:styleId="Title">
    <w:name w:val="Title"/>
    <w:pPr>
      <w:spacing w:line="480" w:lineRule="auto"/>
    </w:pPr>
    <w:rPr>
      <w:color w:val="000000"/>
      <w:sz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LibreOffice/26.2.6.2$Windows_X86_64 LibreOffice_project/ad5cf9fd4989cacf0bca866ebefc0ec8926cb0b2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Tristan D. McRae</dc:creator>
  <dc:description/>
  <dc:language>en-US</dc:language>
  <cp:lastModifiedBy/>
  <cp:revision>0</cp:revision>
  <dc:subject/>
  <dc:title>NR4A3 fusion-junction antisense gapmers for extraskeletal myxoid chondrosarcoma: reagents, test articles and a pre-registrable knockdown experiment — figure legends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