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The parent liability the Introduction describes is mostly,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because every base inside the gap comes from the donor or the acceptor exon.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Each null rate is 38,000 draws with a Wilson 95% interval.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most designs here being specific to the exon pair they were tiled at, and nine of the panel's 176 distinct sequences matching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parent pairs more than 13 base pairs anywhere in the panel, against the whole 16 for the eight fully paired off-target duplexes above, five of them curated records. Both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