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91EF50" w14:textId="77777777" w:rsidR="007E1D4E" w:rsidRPr="007E1D4E" w:rsidRDefault="007E1D4E" w:rsidP="00DD0922">
      <w:pPr>
        <w:jc w:val="both"/>
        <w:rPr>
          <w:rFonts w:ascii="Times New Roman" w:hAnsi="Times New Roman" w:cs="Times New Roman"/>
          <w:b/>
        </w:rPr>
      </w:pPr>
      <w:r w:rsidRPr="007E1D4E">
        <w:rPr>
          <w:rFonts w:ascii="Times New Roman" w:eastAsiaTheme="majorEastAsia" w:hAnsi="Times New Roman" w:cs="Times New Roman"/>
          <w:b/>
        </w:rPr>
        <w:t>DNA methylation-based profiling of bone and soft tissue tumours: a validation study of the ‘DKFZ sarcoma Classifier’</w:t>
      </w:r>
    </w:p>
    <w:p w14:paraId="60969405" w14:textId="77777777" w:rsidR="007E1D4E" w:rsidRPr="007E1D4E" w:rsidRDefault="007E1D4E" w:rsidP="00DD0922">
      <w:pPr>
        <w:spacing w:line="480" w:lineRule="auto"/>
        <w:jc w:val="both"/>
        <w:outlineLvl w:val="0"/>
        <w:rPr>
          <w:rFonts w:ascii="Times New Roman" w:hAnsi="Times New Roman" w:cs="Times New Roman"/>
        </w:rPr>
      </w:pPr>
    </w:p>
    <w:p w14:paraId="0BB97A5B" w14:textId="2B63A180" w:rsidR="007E1D4E" w:rsidRPr="007E1D4E" w:rsidRDefault="007E1D4E" w:rsidP="00DD0922">
      <w:pPr>
        <w:spacing w:line="480" w:lineRule="auto"/>
        <w:jc w:val="both"/>
        <w:outlineLvl w:val="0"/>
        <w:rPr>
          <w:rFonts w:ascii="Times New Roman" w:hAnsi="Times New Roman" w:cs="Times New Roman"/>
        </w:rPr>
      </w:pPr>
      <w:r w:rsidRPr="007E1D4E">
        <w:rPr>
          <w:rFonts w:ascii="Times New Roman" w:hAnsi="Times New Roman" w:cs="Times New Roman"/>
        </w:rPr>
        <w:t xml:space="preserve">I Lyskjær </w:t>
      </w:r>
      <w:r w:rsidRPr="007E1D4E">
        <w:rPr>
          <w:rFonts w:ascii="Times New Roman" w:hAnsi="Times New Roman" w:cs="Times New Roman"/>
          <w:i/>
          <w:iCs/>
        </w:rPr>
        <w:t>et al</w:t>
      </w:r>
      <w:r w:rsidR="00385710">
        <w:rPr>
          <w:rFonts w:ascii="Times New Roman" w:hAnsi="Times New Roman" w:cs="Times New Roman"/>
        </w:rPr>
        <w:t>.</w:t>
      </w:r>
      <w:r w:rsidRPr="007E1D4E">
        <w:rPr>
          <w:rFonts w:ascii="Times New Roman" w:hAnsi="Times New Roman" w:cs="Times New Roman"/>
          <w:i/>
          <w:iCs/>
        </w:rPr>
        <w:t xml:space="preserve"> J Pathol Clin Res </w:t>
      </w:r>
      <w:r w:rsidRPr="007E1D4E">
        <w:rPr>
          <w:rFonts w:ascii="Times New Roman" w:hAnsi="Times New Roman" w:cs="Times New Roman"/>
        </w:rPr>
        <w:t>DOI</w:t>
      </w:r>
      <w:r w:rsidR="00385710">
        <w:rPr>
          <w:rFonts w:ascii="Times New Roman" w:hAnsi="Times New Roman" w:cs="Times New Roman"/>
        </w:rPr>
        <w:t>:</w:t>
      </w:r>
      <w:r w:rsidRPr="007E1D4E">
        <w:rPr>
          <w:rFonts w:ascii="Times New Roman" w:hAnsi="Times New Roman" w:cs="Times New Roman"/>
        </w:rPr>
        <w:t xml:space="preserve"> 10.1002/cjp2.</w:t>
      </w:r>
      <w:r w:rsidR="00385710">
        <w:rPr>
          <w:rFonts w:ascii="Times New Roman" w:hAnsi="Times New Roman" w:cs="Times New Roman"/>
        </w:rPr>
        <w:t>215</w:t>
      </w:r>
    </w:p>
    <w:p w14:paraId="41B22A4D" w14:textId="77777777" w:rsidR="007E1D4E" w:rsidRPr="007E1D4E" w:rsidRDefault="007E1D4E" w:rsidP="00DD0922">
      <w:pPr>
        <w:jc w:val="both"/>
        <w:rPr>
          <w:rFonts w:ascii="Times New Roman" w:hAnsi="Times New Roman" w:cs="Times New Roman"/>
          <w:b/>
          <w:bCs/>
        </w:rPr>
      </w:pPr>
    </w:p>
    <w:p w14:paraId="30F698AF" w14:textId="11A844BF" w:rsidR="003B690D" w:rsidRDefault="007E1D4E" w:rsidP="00DD0922">
      <w:pPr>
        <w:jc w:val="both"/>
        <w:rPr>
          <w:rFonts w:ascii="Times New Roman" w:hAnsi="Times New Roman" w:cs="Times New Roman"/>
          <w:b/>
          <w:bCs/>
        </w:rPr>
      </w:pPr>
      <w:r w:rsidRPr="007E1D4E">
        <w:rPr>
          <w:rFonts w:ascii="Times New Roman" w:hAnsi="Times New Roman" w:cs="Times New Roman"/>
          <w:b/>
          <w:bCs/>
        </w:rPr>
        <w:t>Supplementary Materials and Methods</w:t>
      </w:r>
    </w:p>
    <w:p w14:paraId="7F620D01" w14:textId="6F99D35A" w:rsidR="00474457" w:rsidRDefault="00474457" w:rsidP="00DD0922">
      <w:pPr>
        <w:jc w:val="both"/>
        <w:rPr>
          <w:rFonts w:ascii="Times New Roman" w:hAnsi="Times New Roman" w:cs="Times New Roman"/>
          <w:b/>
          <w:bCs/>
        </w:rPr>
      </w:pPr>
    </w:p>
    <w:p w14:paraId="7B4E046D" w14:textId="18BAF4A4" w:rsidR="00474457" w:rsidRPr="00474457" w:rsidRDefault="00474457" w:rsidP="00DD0922">
      <w:pPr>
        <w:jc w:val="both"/>
        <w:rPr>
          <w:rFonts w:ascii="Times New Roman" w:hAnsi="Times New Roman" w:cs="Times New Roman"/>
        </w:rPr>
      </w:pPr>
      <w:r w:rsidRPr="00474457">
        <w:rPr>
          <w:rFonts w:ascii="Times New Roman" w:hAnsi="Times New Roman" w:cs="Times New Roman"/>
        </w:rPr>
        <w:t>Reference numbers refer to the list in the main paper</w:t>
      </w:r>
    </w:p>
    <w:p w14:paraId="73C5CD86" w14:textId="77777777" w:rsidR="007E1D4E" w:rsidRPr="007E1D4E" w:rsidRDefault="007E1D4E" w:rsidP="00DD0922">
      <w:pPr>
        <w:jc w:val="both"/>
        <w:rPr>
          <w:rFonts w:ascii="Times New Roman" w:hAnsi="Times New Roman" w:cs="Times New Roman"/>
        </w:rPr>
      </w:pPr>
    </w:p>
    <w:p w14:paraId="2878185E" w14:textId="224B909D" w:rsidR="003B690D" w:rsidRPr="007E1D4E" w:rsidRDefault="003B690D" w:rsidP="00DD0922">
      <w:pPr>
        <w:jc w:val="both"/>
        <w:rPr>
          <w:rFonts w:ascii="Times New Roman" w:hAnsi="Times New Roman" w:cs="Times New Roman"/>
        </w:rPr>
      </w:pPr>
    </w:p>
    <w:p w14:paraId="32B525F3" w14:textId="77777777" w:rsidR="003B690D" w:rsidRPr="007E1D4E" w:rsidRDefault="003B690D" w:rsidP="00DD0922">
      <w:pPr>
        <w:spacing w:line="480" w:lineRule="auto"/>
        <w:jc w:val="both"/>
        <w:rPr>
          <w:rFonts w:ascii="Times New Roman" w:hAnsi="Times New Roman" w:cs="Times New Roman"/>
          <w:b/>
        </w:rPr>
      </w:pPr>
      <w:r w:rsidRPr="007E1D4E">
        <w:rPr>
          <w:rFonts w:ascii="Times New Roman" w:hAnsi="Times New Roman" w:cs="Times New Roman"/>
          <w:b/>
        </w:rPr>
        <w:t>DNA methylation profiling</w:t>
      </w:r>
    </w:p>
    <w:p w14:paraId="6A7DA72D" w14:textId="76802E34" w:rsidR="003B690D" w:rsidRPr="007E1D4E" w:rsidRDefault="003B690D" w:rsidP="00DD0922">
      <w:pPr>
        <w:spacing w:line="480" w:lineRule="auto"/>
        <w:jc w:val="both"/>
        <w:rPr>
          <w:rFonts w:ascii="Times New Roman" w:hAnsi="Times New Roman" w:cs="Times New Roman"/>
        </w:rPr>
      </w:pPr>
      <w:r w:rsidRPr="007E1D4E">
        <w:rPr>
          <w:rFonts w:ascii="Times New Roman" w:hAnsi="Times New Roman" w:cs="Times New Roman"/>
        </w:rPr>
        <w:t>500</w:t>
      </w:r>
      <w:r w:rsidR="00D3243F">
        <w:rPr>
          <w:rFonts w:ascii="Times New Roman" w:hAnsi="Times New Roman" w:cs="Times New Roman"/>
        </w:rPr>
        <w:t> </w:t>
      </w:r>
      <w:r w:rsidRPr="007E1D4E">
        <w:rPr>
          <w:rFonts w:ascii="Times New Roman" w:hAnsi="Times New Roman" w:cs="Times New Roman"/>
        </w:rPr>
        <w:t>ng of DNA from fresh frozen (FT) or formalin-fixed paraffin-embedded (FFPE) tumour samples were bisul</w:t>
      </w:r>
      <w:r w:rsidR="00D3243F">
        <w:rPr>
          <w:rFonts w:ascii="Times New Roman" w:hAnsi="Times New Roman" w:cs="Times New Roman"/>
        </w:rPr>
        <w:t>ph</w:t>
      </w:r>
      <w:r w:rsidRPr="007E1D4E">
        <w:rPr>
          <w:rFonts w:ascii="Times New Roman" w:hAnsi="Times New Roman" w:cs="Times New Roman"/>
        </w:rPr>
        <w:t>ite converted using the Zymo EZ DNA methylation Gold kit (Zymo Research Corp. Irvine, USA) before hybridisation to the Infinium HumanMethylation450 or EPIC beadchip arrays (Illumina, San Diego, CA) by UCL Genomics. All bisul</w:t>
      </w:r>
      <w:r w:rsidR="00D3243F">
        <w:rPr>
          <w:rFonts w:ascii="Times New Roman" w:hAnsi="Times New Roman" w:cs="Times New Roman"/>
        </w:rPr>
        <w:t>ph</w:t>
      </w:r>
      <w:r w:rsidRPr="007E1D4E">
        <w:rPr>
          <w:rFonts w:ascii="Times New Roman" w:hAnsi="Times New Roman" w:cs="Times New Roman"/>
        </w:rPr>
        <w:t xml:space="preserve">ite-converted FFPE samples were restored with the Infinium FFPE DNA Restore kit (Illumina). </w:t>
      </w:r>
    </w:p>
    <w:p w14:paraId="47F78EEE" w14:textId="60D1E336" w:rsidR="003B690D" w:rsidRPr="007E1D4E" w:rsidRDefault="003B690D" w:rsidP="00DD0922">
      <w:pPr>
        <w:jc w:val="both"/>
        <w:rPr>
          <w:rFonts w:ascii="Times New Roman" w:hAnsi="Times New Roman" w:cs="Times New Roman"/>
        </w:rPr>
      </w:pPr>
    </w:p>
    <w:p w14:paraId="64523D21" w14:textId="77777777" w:rsidR="003B690D" w:rsidRPr="007E1D4E" w:rsidRDefault="003B690D" w:rsidP="00DD0922">
      <w:pPr>
        <w:spacing w:line="480" w:lineRule="auto"/>
        <w:jc w:val="both"/>
        <w:rPr>
          <w:rFonts w:ascii="Times New Roman" w:hAnsi="Times New Roman" w:cs="Times New Roman"/>
          <w:b/>
        </w:rPr>
      </w:pPr>
      <w:r w:rsidRPr="007E1D4E">
        <w:rPr>
          <w:rFonts w:ascii="Times New Roman" w:hAnsi="Times New Roman" w:cs="Times New Roman"/>
          <w:b/>
        </w:rPr>
        <w:t>Investigation of discrepant results</w:t>
      </w:r>
    </w:p>
    <w:p w14:paraId="7A58691D" w14:textId="34F85751" w:rsidR="00FA5F9B" w:rsidRDefault="003B690D" w:rsidP="00DD0922">
      <w:pPr>
        <w:spacing w:line="480" w:lineRule="auto"/>
        <w:jc w:val="both"/>
        <w:rPr>
          <w:rFonts w:ascii="Times New Roman" w:hAnsi="Times New Roman" w:cs="Times New Roman"/>
        </w:rPr>
      </w:pPr>
      <w:r w:rsidRPr="007E1D4E">
        <w:rPr>
          <w:rFonts w:ascii="Times New Roman" w:hAnsi="Times New Roman" w:cs="Times New Roman"/>
        </w:rPr>
        <w:t>All cases where the Classifier result was discrepant with the original histological diagnosis were reviewed by specialist pathologists, including histology</w:t>
      </w:r>
      <w:r w:rsidR="00FA5F9B" w:rsidRPr="007E1D4E">
        <w:rPr>
          <w:rFonts w:ascii="Times New Roman" w:hAnsi="Times New Roman" w:cs="Times New Roman"/>
        </w:rPr>
        <w:t xml:space="preserve"> slides,</w:t>
      </w:r>
      <w:r w:rsidRPr="007E1D4E">
        <w:rPr>
          <w:rFonts w:ascii="Times New Roman" w:hAnsi="Times New Roman" w:cs="Times New Roman"/>
        </w:rPr>
        <w:t xml:space="preserve"> and available</w:t>
      </w:r>
      <w:r w:rsidR="00FA5F9B" w:rsidRPr="007E1D4E">
        <w:rPr>
          <w:rFonts w:ascii="Times New Roman" w:hAnsi="Times New Roman" w:cs="Times New Roman"/>
        </w:rPr>
        <w:t xml:space="preserve"> radiology,</w:t>
      </w:r>
      <w:r w:rsidRPr="007E1D4E">
        <w:rPr>
          <w:rFonts w:ascii="Times New Roman" w:hAnsi="Times New Roman" w:cs="Times New Roman"/>
        </w:rPr>
        <w:t xml:space="preserve"> immunohistochemical and molecular results. </w:t>
      </w:r>
      <w:r w:rsidR="00FA5F9B" w:rsidRPr="007E1D4E">
        <w:rPr>
          <w:rFonts w:ascii="Times New Roman" w:hAnsi="Times New Roman" w:cs="Times New Roman"/>
        </w:rPr>
        <w:t>Definitive evidence to support a diagnosis included (where applicable)</w:t>
      </w:r>
      <w:r w:rsidR="00FA644C" w:rsidRPr="007E1D4E">
        <w:rPr>
          <w:rFonts w:ascii="Times New Roman" w:hAnsi="Times New Roman" w:cs="Times New Roman"/>
        </w:rPr>
        <w:t>:</w:t>
      </w:r>
      <w:r w:rsidR="00FA5F9B" w:rsidRPr="007E1D4E">
        <w:rPr>
          <w:rFonts w:ascii="Times New Roman" w:hAnsi="Times New Roman" w:cs="Times New Roman"/>
        </w:rPr>
        <w:t xml:space="preserve"> i) classical histological features</w:t>
      </w:r>
      <w:r w:rsidR="00FA644C" w:rsidRPr="007E1D4E">
        <w:rPr>
          <w:rFonts w:ascii="Times New Roman" w:hAnsi="Times New Roman" w:cs="Times New Roman"/>
        </w:rPr>
        <w:t>,</w:t>
      </w:r>
      <w:r w:rsidR="00FA5F9B" w:rsidRPr="007E1D4E">
        <w:rPr>
          <w:rFonts w:ascii="Times New Roman" w:hAnsi="Times New Roman" w:cs="Times New Roman"/>
        </w:rPr>
        <w:t xml:space="preserve"> e.g. osteoid formation in high grade bone tumour (osteosarcoma), juxtaposed low grade cartilaginous regions and high grade dedifferentiated tumour (dedifferentiated chondrosarcoma); ii) characteristic immunohistochemical profiles</w:t>
      </w:r>
      <w:r w:rsidR="00FA644C" w:rsidRPr="007E1D4E">
        <w:rPr>
          <w:rFonts w:ascii="Times New Roman" w:hAnsi="Times New Roman" w:cs="Times New Roman"/>
        </w:rPr>
        <w:t>,</w:t>
      </w:r>
      <w:r w:rsidR="00FA5F9B" w:rsidRPr="007E1D4E">
        <w:rPr>
          <w:rFonts w:ascii="Times New Roman" w:hAnsi="Times New Roman" w:cs="Times New Roman"/>
        </w:rPr>
        <w:t xml:space="preserve"> e.g. brachyury expression (chordoma), H3.3 G34W expression (giant cell tumour of bone); iii) radiological features/anatomical location</w:t>
      </w:r>
      <w:r w:rsidR="00FA644C" w:rsidRPr="007E1D4E">
        <w:rPr>
          <w:rFonts w:ascii="Times New Roman" w:hAnsi="Times New Roman" w:cs="Times New Roman"/>
        </w:rPr>
        <w:t>,</w:t>
      </w:r>
      <w:r w:rsidR="00FA5F9B" w:rsidRPr="007E1D4E">
        <w:rPr>
          <w:rFonts w:ascii="Times New Roman" w:hAnsi="Times New Roman" w:cs="Times New Roman"/>
        </w:rPr>
        <w:t xml:space="preserve"> e.g. tumour arising from nerve (MPNST, neurofibroma), tumour arising from bone surface (surface osteosarcoma); iv) recurrent molecular alterations</w:t>
      </w:r>
      <w:r w:rsidR="00FA644C" w:rsidRPr="007E1D4E">
        <w:rPr>
          <w:rFonts w:ascii="Times New Roman" w:hAnsi="Times New Roman" w:cs="Times New Roman"/>
        </w:rPr>
        <w:t>,</w:t>
      </w:r>
      <w:r w:rsidR="00FA5F9B" w:rsidRPr="007E1D4E">
        <w:rPr>
          <w:rFonts w:ascii="Times New Roman" w:hAnsi="Times New Roman" w:cs="Times New Roman"/>
        </w:rPr>
        <w:t xml:space="preserve"> e.g. </w:t>
      </w:r>
      <w:r w:rsidR="00FA5F9B" w:rsidRPr="007E1D4E">
        <w:rPr>
          <w:rFonts w:ascii="Times New Roman" w:hAnsi="Times New Roman" w:cs="Times New Roman"/>
          <w:i/>
          <w:iCs/>
        </w:rPr>
        <w:t>MDM2</w:t>
      </w:r>
      <w:r w:rsidR="00FA5F9B" w:rsidRPr="007E1D4E">
        <w:rPr>
          <w:rFonts w:ascii="Times New Roman" w:hAnsi="Times New Roman" w:cs="Times New Roman"/>
        </w:rPr>
        <w:t xml:space="preserve"> amplification (parosteal osteosarcoma and well differentiated/dedifferentiated liposarcoma), </w:t>
      </w:r>
      <w:r w:rsidR="00FA5F9B" w:rsidRPr="007E1D4E">
        <w:rPr>
          <w:rFonts w:ascii="Times New Roman" w:hAnsi="Times New Roman" w:cs="Times New Roman"/>
          <w:i/>
          <w:iCs/>
        </w:rPr>
        <w:t xml:space="preserve">IDH1/IDH2 </w:t>
      </w:r>
      <w:r w:rsidR="00FA5F9B" w:rsidRPr="007E1D4E">
        <w:rPr>
          <w:rFonts w:ascii="Times New Roman" w:hAnsi="Times New Roman" w:cs="Times New Roman"/>
        </w:rPr>
        <w:t xml:space="preserve">mutations (conventional and dedifferentiated chondrosarcoma), </w:t>
      </w:r>
      <w:r w:rsidR="00FA5F9B" w:rsidRPr="007E1D4E">
        <w:rPr>
          <w:rFonts w:ascii="Times New Roman" w:hAnsi="Times New Roman" w:cs="Times New Roman"/>
          <w:i/>
          <w:iCs/>
        </w:rPr>
        <w:t>BCOR</w:t>
      </w:r>
      <w:r w:rsidR="00FA5F9B" w:rsidRPr="007E1D4E">
        <w:rPr>
          <w:rFonts w:ascii="Times New Roman" w:hAnsi="Times New Roman" w:cs="Times New Roman"/>
        </w:rPr>
        <w:t xml:space="preserve"> rearrangement (FISH, </w:t>
      </w:r>
      <w:r w:rsidR="00FA5F9B" w:rsidRPr="007E1D4E">
        <w:rPr>
          <w:rFonts w:ascii="Times New Roman" w:hAnsi="Times New Roman" w:cs="Times New Roman"/>
          <w:i/>
          <w:iCs/>
        </w:rPr>
        <w:t>BCOR</w:t>
      </w:r>
      <w:r w:rsidR="00FA5F9B" w:rsidRPr="007E1D4E">
        <w:rPr>
          <w:rFonts w:ascii="Times New Roman" w:hAnsi="Times New Roman" w:cs="Times New Roman"/>
        </w:rPr>
        <w:t xml:space="preserve">- </w:t>
      </w:r>
      <w:r w:rsidR="00FA5F9B" w:rsidRPr="007E1D4E">
        <w:rPr>
          <w:rFonts w:ascii="Times New Roman" w:hAnsi="Times New Roman" w:cs="Times New Roman"/>
        </w:rPr>
        <w:lastRenderedPageBreak/>
        <w:t xml:space="preserve">rearranged sarcoma) and v) </w:t>
      </w:r>
      <w:r w:rsidR="00C16E84" w:rsidRPr="007E1D4E">
        <w:rPr>
          <w:rFonts w:ascii="Times New Roman" w:hAnsi="Times New Roman" w:cs="Times New Roman"/>
        </w:rPr>
        <w:t>pathognomonic clinical history</w:t>
      </w:r>
      <w:r w:rsidR="00FA644C" w:rsidRPr="007E1D4E">
        <w:rPr>
          <w:rFonts w:ascii="Times New Roman" w:hAnsi="Times New Roman" w:cs="Times New Roman"/>
        </w:rPr>
        <w:t>,</w:t>
      </w:r>
      <w:r w:rsidR="00C16E84" w:rsidRPr="007E1D4E">
        <w:rPr>
          <w:rFonts w:ascii="Times New Roman" w:hAnsi="Times New Roman" w:cs="Times New Roman"/>
        </w:rPr>
        <w:t xml:space="preserve"> e.g. germline NF1 alteration (MPNST).</w:t>
      </w:r>
    </w:p>
    <w:p w14:paraId="363A805D" w14:textId="77777777" w:rsidR="008858B6" w:rsidRPr="007E1D4E" w:rsidRDefault="008858B6" w:rsidP="00DD0922">
      <w:pPr>
        <w:spacing w:line="480" w:lineRule="auto"/>
        <w:jc w:val="both"/>
        <w:rPr>
          <w:rFonts w:ascii="Times New Roman" w:hAnsi="Times New Roman" w:cs="Times New Roman"/>
        </w:rPr>
      </w:pPr>
    </w:p>
    <w:p w14:paraId="4200138C" w14:textId="4B60CA77" w:rsidR="003B690D" w:rsidRPr="007E1D4E" w:rsidRDefault="003B690D" w:rsidP="00DD0922">
      <w:pPr>
        <w:spacing w:line="480" w:lineRule="auto"/>
        <w:jc w:val="both"/>
        <w:rPr>
          <w:rFonts w:ascii="Times New Roman" w:hAnsi="Times New Roman" w:cs="Times New Roman"/>
        </w:rPr>
      </w:pPr>
      <w:r w:rsidRPr="007E1D4E">
        <w:rPr>
          <w:rFonts w:ascii="Times New Roman" w:hAnsi="Times New Roman" w:cs="Times New Roman"/>
        </w:rPr>
        <w:t>Additional tests were performed on an individual case basis to provide evidence to support or refute the Classifier prediction</w:t>
      </w:r>
      <w:r w:rsidR="00C16E84" w:rsidRPr="007E1D4E">
        <w:rPr>
          <w:rFonts w:ascii="Times New Roman" w:hAnsi="Times New Roman" w:cs="Times New Roman"/>
        </w:rPr>
        <w:t xml:space="preserve"> as follows</w:t>
      </w:r>
      <w:r w:rsidRPr="007E1D4E">
        <w:rPr>
          <w:rFonts w:ascii="Times New Roman" w:hAnsi="Times New Roman" w:cs="Times New Roman"/>
        </w:rPr>
        <w:t xml:space="preserve">: </w:t>
      </w:r>
    </w:p>
    <w:p w14:paraId="17FAC5AB" w14:textId="3946555F" w:rsidR="003B690D" w:rsidRPr="007E1D4E" w:rsidRDefault="003B690D" w:rsidP="00DD0922">
      <w:pPr>
        <w:spacing w:line="480" w:lineRule="auto"/>
        <w:jc w:val="both"/>
        <w:rPr>
          <w:rFonts w:ascii="Times New Roman" w:hAnsi="Times New Roman" w:cs="Times New Roman"/>
        </w:rPr>
      </w:pPr>
      <w:r w:rsidRPr="007E1D4E">
        <w:rPr>
          <w:rFonts w:ascii="Times New Roman" w:hAnsi="Times New Roman" w:cs="Times New Roman"/>
        </w:rPr>
        <w:t>Immunohistochemical (IHC) testing was performed in accordance with standardised procedures</w:t>
      </w:r>
      <w:r w:rsidR="00984E92">
        <w:rPr>
          <w:rFonts w:ascii="Times New Roman" w:hAnsi="Times New Roman" w:cs="Times New Roman"/>
        </w:rPr>
        <w:t xml:space="preserve"> [34]</w:t>
      </w:r>
      <w:r w:rsidRPr="007E1D4E">
        <w:rPr>
          <w:rFonts w:ascii="Times New Roman" w:hAnsi="Times New Roman" w:cs="Times New Roman"/>
        </w:rPr>
        <w:t xml:space="preserve"> using the following antibodies: anti-SMARCB1 (INI1/BAF47; clone 25/BAF47, 1/400, BD Biosciences, UK), anti-histone 3.3 G34W (H3.3G34W; clone RM263, 1/1500, RevMAb Biosc</w:t>
      </w:r>
      <w:r w:rsidR="00A775D7">
        <w:rPr>
          <w:rFonts w:ascii="Times New Roman" w:hAnsi="Times New Roman" w:cs="Times New Roman"/>
        </w:rPr>
        <w:t>i</w:t>
      </w:r>
      <w:r w:rsidRPr="007E1D4E">
        <w:rPr>
          <w:rFonts w:ascii="Times New Roman" w:hAnsi="Times New Roman" w:cs="Times New Roman"/>
        </w:rPr>
        <w:t>ences, USA), Tri-Methyl-Histone H3 (Lys27)</w:t>
      </w:r>
      <w:r w:rsidRPr="007E1D4E" w:rsidDel="00A75451">
        <w:rPr>
          <w:rFonts w:ascii="Times New Roman" w:hAnsi="Times New Roman" w:cs="Times New Roman"/>
        </w:rPr>
        <w:t xml:space="preserve"> </w:t>
      </w:r>
      <w:r w:rsidRPr="007E1D4E">
        <w:rPr>
          <w:rFonts w:ascii="Times New Roman" w:hAnsi="Times New Roman" w:cs="Times New Roman"/>
        </w:rPr>
        <w:t>(H3K27me3; clone C36B11, Cell Signalling Technology, London, UK), anti-mucin 4 (MUC-4; clone 8G7, 1/400, Santa Cruz Biotechnology, USA), anti-BCOR (BCoR, clone C-10, 1/150, Santa Cruz Biotechnology, USA), anti-CD99 (clone PCB1, 1/100, Leica Microsystems, UK).</w:t>
      </w:r>
    </w:p>
    <w:p w14:paraId="0A7DE281" w14:textId="77777777" w:rsidR="003B690D" w:rsidRPr="007E1D4E" w:rsidRDefault="003B690D" w:rsidP="00DD0922">
      <w:pPr>
        <w:spacing w:line="480" w:lineRule="auto"/>
        <w:jc w:val="both"/>
        <w:rPr>
          <w:rFonts w:ascii="Times New Roman" w:hAnsi="Times New Roman" w:cs="Times New Roman"/>
        </w:rPr>
      </w:pPr>
    </w:p>
    <w:p w14:paraId="1A6716E1" w14:textId="1B66F136" w:rsidR="003B690D" w:rsidRPr="007E1D4E" w:rsidRDefault="003B690D" w:rsidP="00DD0922">
      <w:pPr>
        <w:spacing w:line="480" w:lineRule="auto"/>
        <w:jc w:val="both"/>
        <w:rPr>
          <w:rFonts w:ascii="Times New Roman" w:hAnsi="Times New Roman" w:cs="Times New Roman"/>
        </w:rPr>
      </w:pPr>
      <w:r w:rsidRPr="007E1D4E">
        <w:rPr>
          <w:rFonts w:ascii="Times New Roman" w:hAnsi="Times New Roman" w:cs="Times New Roman"/>
        </w:rPr>
        <w:t xml:space="preserve">Interphase fluorescence in situ hybridisation (FISH) was performed as previously described </w:t>
      </w:r>
      <w:r w:rsidR="00DD0922">
        <w:rPr>
          <w:rFonts w:ascii="Times New Roman" w:hAnsi="Times New Roman" w:cs="Times New Roman"/>
        </w:rPr>
        <w:t>[34]</w:t>
      </w:r>
      <w:r w:rsidRPr="007E1D4E">
        <w:rPr>
          <w:rFonts w:ascii="Times New Roman" w:hAnsi="Times New Roman" w:cs="Times New Roman"/>
        </w:rPr>
        <w:t xml:space="preserve"> using commercially available dual colour probes: Agilent (Agilent, Santa Clara, USA) SureFISH CIC break-apart probe (CIC rearranged sarcoma; SBRCT (CIC) methylation class), Vysis (Ab</w:t>
      </w:r>
      <w:r w:rsidR="00A775D7">
        <w:rPr>
          <w:rFonts w:ascii="Times New Roman" w:hAnsi="Times New Roman" w:cs="Times New Roman"/>
        </w:rPr>
        <w:t>b</w:t>
      </w:r>
      <w:r w:rsidRPr="007E1D4E">
        <w:rPr>
          <w:rFonts w:ascii="Times New Roman" w:hAnsi="Times New Roman" w:cs="Times New Roman"/>
        </w:rPr>
        <w:t>ott Laboratories, Illinois, USA) MDM2 CEP 12 and Zytolight (Zytovision, Bremerhave</w:t>
      </w:r>
      <w:r w:rsidR="00A775D7">
        <w:rPr>
          <w:rFonts w:ascii="Times New Roman" w:hAnsi="Times New Roman" w:cs="Times New Roman"/>
        </w:rPr>
        <w:t>n</w:t>
      </w:r>
      <w:r w:rsidRPr="007E1D4E">
        <w:rPr>
          <w:rFonts w:ascii="Times New Roman" w:hAnsi="Times New Roman" w:cs="Times New Roman"/>
        </w:rPr>
        <w:t xml:space="preserve">, Germany) SPEC MDM2/CEN 12 (well differentiated/dedifferentiated Liposarcoma; WDLS/DDLS methylation class), Vysis SS18 break-apart probe (synovial sarcoma; SYSA methylation class), Zytolight SPEC USP6 break-apart probe (aneurysmal bone cyst) and Zytolight SPEC COL1A1-PDGFB fusion probe (dermatofibrosarcoma protuberans; DFSP methylation class). Reverse transcription-polymerase chain reaction (RT-PCR) was performed to detect BCOR-CCNB3 fusions (BCOR-rearranged sarcoma; SBRCT (BCOR) methylation class) using Eurofins Genomics (Louisville, USA) primers BCOR-exon15/CCNB3-exon5 (BCOR Reference Sequence: NM_001123383.1, primer sequence </w:t>
      </w:r>
      <w:r w:rsidRPr="007E1D4E">
        <w:rPr>
          <w:rFonts w:ascii="Times New Roman" w:hAnsi="Times New Roman" w:cs="Times New Roman"/>
        </w:rPr>
        <w:lastRenderedPageBreak/>
        <w:t>GGCTCCACCCCAGTGATCT, CCNB3 - Reference Sequence: NM_033031.2, primer sequence GGGTGTTTTGGAGGTGGTGGAT).</w:t>
      </w:r>
    </w:p>
    <w:p w14:paraId="6F066B60" w14:textId="7E48584D" w:rsidR="003B690D" w:rsidRPr="007E1D4E" w:rsidRDefault="003B690D" w:rsidP="00DD0922">
      <w:pPr>
        <w:jc w:val="both"/>
        <w:rPr>
          <w:rFonts w:ascii="Times New Roman" w:hAnsi="Times New Roman" w:cs="Times New Roman"/>
        </w:rPr>
      </w:pPr>
    </w:p>
    <w:p w14:paraId="512A540E" w14:textId="77777777" w:rsidR="003B690D" w:rsidRPr="007E1D4E" w:rsidRDefault="003B690D" w:rsidP="00DD0922">
      <w:pPr>
        <w:spacing w:line="480" w:lineRule="auto"/>
        <w:jc w:val="both"/>
        <w:rPr>
          <w:rFonts w:ascii="Times New Roman" w:hAnsi="Times New Roman" w:cs="Times New Roman"/>
          <w:b/>
        </w:rPr>
      </w:pPr>
      <w:r w:rsidRPr="007E1D4E">
        <w:rPr>
          <w:rFonts w:ascii="Times New Roman" w:hAnsi="Times New Roman" w:cs="Times New Roman"/>
          <w:b/>
        </w:rPr>
        <w:t>Tumour purity</w:t>
      </w:r>
      <w:r w:rsidRPr="007E1D4E">
        <w:rPr>
          <w:rFonts w:ascii="Times New Roman" w:hAnsi="Times New Roman" w:cs="Times New Roman"/>
        </w:rPr>
        <w:t xml:space="preserve"> </w:t>
      </w:r>
      <w:r w:rsidRPr="007E1D4E">
        <w:rPr>
          <w:rFonts w:ascii="Times New Roman" w:hAnsi="Times New Roman" w:cs="Times New Roman"/>
          <w:b/>
        </w:rPr>
        <w:t>estimation and statistical analysis</w:t>
      </w:r>
    </w:p>
    <w:p w14:paraId="5FE77640" w14:textId="00FC1D6C" w:rsidR="003B690D" w:rsidRPr="007E1D4E" w:rsidRDefault="003B690D" w:rsidP="00DD0922">
      <w:pPr>
        <w:spacing w:line="480" w:lineRule="auto"/>
        <w:jc w:val="both"/>
        <w:rPr>
          <w:rFonts w:ascii="Times New Roman" w:hAnsi="Times New Roman" w:cs="Times New Roman"/>
        </w:rPr>
      </w:pPr>
      <w:r w:rsidRPr="007E1D4E">
        <w:rPr>
          <w:rFonts w:ascii="Times New Roman" w:hAnsi="Times New Roman" w:cs="Times New Roman"/>
        </w:rPr>
        <w:t>The estimated tumour purity was computed for all cases using the ‘ABSOLUTE’ method in the ‘RF_Puri</w:t>
      </w:r>
      <w:r w:rsidR="00DD0922">
        <w:rPr>
          <w:rFonts w:ascii="Times New Roman" w:hAnsi="Times New Roman" w:cs="Times New Roman"/>
        </w:rPr>
        <w:t>f</w:t>
      </w:r>
      <w:r w:rsidRPr="007E1D4E">
        <w:rPr>
          <w:rFonts w:ascii="Times New Roman" w:hAnsi="Times New Roman" w:cs="Times New Roman"/>
        </w:rPr>
        <w:t>y’ R package</w:t>
      </w:r>
      <w:r w:rsidR="008858B6">
        <w:rPr>
          <w:rFonts w:ascii="Times New Roman" w:hAnsi="Times New Roman" w:cs="Times New Roman"/>
        </w:rPr>
        <w:t xml:space="preserve"> [17]</w:t>
      </w:r>
      <w:r w:rsidRPr="007E1D4E">
        <w:rPr>
          <w:rFonts w:ascii="Times New Roman" w:hAnsi="Times New Roman" w:cs="Times New Roman"/>
        </w:rPr>
        <w:t>. No statistical methods were used to predetermine sample size. All data analysis was done in R, version 3.6.1</w:t>
      </w:r>
      <w:r w:rsidR="00007B2D">
        <w:rPr>
          <w:rFonts w:ascii="Times New Roman" w:hAnsi="Times New Roman" w:cs="Times New Roman"/>
        </w:rPr>
        <w:t xml:space="preserve"> [35]</w:t>
      </w:r>
      <w:r w:rsidRPr="007E1D4E">
        <w:rPr>
          <w:rFonts w:ascii="Times New Roman" w:hAnsi="Times New Roman" w:cs="Times New Roman"/>
        </w:rPr>
        <w:t>. Plots were generated using</w:t>
      </w:r>
      <w:r w:rsidR="00DD0922">
        <w:rPr>
          <w:rFonts w:ascii="Times New Roman" w:hAnsi="Times New Roman" w:cs="Times New Roman"/>
        </w:rPr>
        <w:t xml:space="preserve"> the</w:t>
      </w:r>
      <w:r w:rsidRPr="007E1D4E">
        <w:rPr>
          <w:rFonts w:ascii="Times New Roman" w:hAnsi="Times New Roman" w:cs="Times New Roman"/>
        </w:rPr>
        <w:t xml:space="preserve"> following R packages: ggplot2 and ggpubr. Sankey plot was generated using SankeyMATIC (Beta) web-based tool (http://sankeymatic.com/build/). P-values were determined using Student’s t-test or Spearman's rank correlation for analysis where the values were not normal distributed. </w:t>
      </w:r>
    </w:p>
    <w:p w14:paraId="38708EFD" w14:textId="658894A4" w:rsidR="003B690D" w:rsidRPr="007E1D4E" w:rsidRDefault="003B690D" w:rsidP="00DD0922">
      <w:pPr>
        <w:spacing w:line="480" w:lineRule="auto"/>
        <w:jc w:val="both"/>
        <w:rPr>
          <w:rFonts w:ascii="Times New Roman" w:hAnsi="Times New Roman" w:cs="Times New Roman"/>
          <w:color w:val="000000" w:themeColor="text1"/>
        </w:rPr>
      </w:pPr>
      <w:r w:rsidRPr="007E1D4E">
        <w:rPr>
          <w:rFonts w:ascii="Times New Roman" w:hAnsi="Times New Roman" w:cs="Times New Roman"/>
          <w:color w:val="000000" w:themeColor="text1"/>
        </w:rPr>
        <w:t xml:space="preserve">To examine the correlation between tumour cellularity and estimated tumour purity, a subset of 18 samples were chosen across four tumour types (conventional chondrosarcoma, high grade osteosarcoma, undifferentiated sarcoma and chordoma) and histological tumour cellularity was scored under the categories “low”, “low/moderate”, “moderate”, “moderate/high”, and “high”. Histological scoring was performed blinded to the estimated tumour purity result. </w:t>
      </w:r>
    </w:p>
    <w:p w14:paraId="43BB38AF" w14:textId="609C9F3B" w:rsidR="008421F6" w:rsidRPr="007E1D4E" w:rsidRDefault="008421F6" w:rsidP="00DD0922">
      <w:pPr>
        <w:spacing w:line="480" w:lineRule="auto"/>
        <w:jc w:val="both"/>
        <w:rPr>
          <w:rFonts w:ascii="Times New Roman" w:hAnsi="Times New Roman" w:cs="Times New Roman"/>
          <w:color w:val="000000" w:themeColor="text1"/>
        </w:rPr>
      </w:pPr>
      <w:r w:rsidRPr="007E1D4E">
        <w:rPr>
          <w:rFonts w:ascii="Times New Roman" w:hAnsi="Times New Roman" w:cs="Times New Roman"/>
          <w:color w:val="000000" w:themeColor="text1"/>
        </w:rPr>
        <w:t>Statistical analysis of classifier performance (</w:t>
      </w:r>
      <w:r w:rsidR="000A3637">
        <w:rPr>
          <w:rFonts w:ascii="Times New Roman" w:hAnsi="Times New Roman" w:cs="Times New Roman"/>
          <w:color w:val="000000" w:themeColor="text1"/>
        </w:rPr>
        <w:t xml:space="preserve">supplementary material, </w:t>
      </w:r>
      <w:r w:rsidRPr="007E1D4E">
        <w:rPr>
          <w:rFonts w:ascii="Times New Roman" w:hAnsi="Times New Roman" w:cs="Times New Roman"/>
          <w:color w:val="000000" w:themeColor="text1"/>
        </w:rPr>
        <w:t xml:space="preserve">Table </w:t>
      </w:r>
      <w:r w:rsidR="000A3637">
        <w:rPr>
          <w:rFonts w:ascii="Times New Roman" w:hAnsi="Times New Roman" w:cs="Times New Roman"/>
          <w:color w:val="000000" w:themeColor="text1"/>
        </w:rPr>
        <w:t>S</w:t>
      </w:r>
      <w:r w:rsidRPr="007E1D4E">
        <w:rPr>
          <w:rFonts w:ascii="Times New Roman" w:hAnsi="Times New Roman" w:cs="Times New Roman"/>
          <w:color w:val="000000" w:themeColor="text1"/>
        </w:rPr>
        <w:t xml:space="preserve">4) was calculated as follows: Sensitivity = cases from histological subtype predicted correctly/total number of cases from histological subtype; Precision = cases from histological subtype predicted correctly/total number of cases from histological subtype receiving a prediction. </w:t>
      </w:r>
    </w:p>
    <w:p w14:paraId="5376DF33" w14:textId="45CEB461" w:rsidR="000A6F8B" w:rsidRPr="007E1D4E" w:rsidRDefault="000A6F8B" w:rsidP="00DD0922">
      <w:pPr>
        <w:spacing w:line="480" w:lineRule="auto"/>
        <w:jc w:val="both"/>
        <w:rPr>
          <w:rFonts w:ascii="Times New Roman" w:hAnsi="Times New Roman" w:cs="Times New Roman"/>
        </w:rPr>
      </w:pPr>
    </w:p>
    <w:sectPr w:rsidR="000A6F8B" w:rsidRPr="007E1D4E" w:rsidSect="00ED6A47">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ACBC02" w14:textId="77777777" w:rsidR="003B66DC" w:rsidRDefault="003B66DC" w:rsidP="00DE725C">
      <w:r>
        <w:separator/>
      </w:r>
    </w:p>
  </w:endnote>
  <w:endnote w:type="continuationSeparator" w:id="0">
    <w:p w14:paraId="259CA38B" w14:textId="77777777" w:rsidR="003B66DC" w:rsidRDefault="003B66DC" w:rsidP="00DE7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17641874"/>
      <w:docPartObj>
        <w:docPartGallery w:val="Page Numbers (Bottom of Page)"/>
        <w:docPartUnique/>
      </w:docPartObj>
    </w:sdtPr>
    <w:sdtEndPr>
      <w:rPr>
        <w:rStyle w:val="PageNumber"/>
      </w:rPr>
    </w:sdtEndPr>
    <w:sdtContent>
      <w:p w14:paraId="1A30D5BB" w14:textId="115CCD20" w:rsidR="00DE725C" w:rsidRDefault="00DE725C" w:rsidP="00D36D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7A8AF0" w14:textId="77777777" w:rsidR="00DE725C" w:rsidRDefault="00DE7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192196154"/>
      <w:docPartObj>
        <w:docPartGallery w:val="Page Numbers (Bottom of Page)"/>
        <w:docPartUnique/>
      </w:docPartObj>
    </w:sdtPr>
    <w:sdtEndPr>
      <w:rPr>
        <w:rStyle w:val="PageNumber"/>
      </w:rPr>
    </w:sdtEndPr>
    <w:sdtContent>
      <w:p w14:paraId="18822933" w14:textId="3A70AD6E" w:rsidR="00DE725C" w:rsidRPr="00DE725C" w:rsidRDefault="00DE725C" w:rsidP="00D36D95">
        <w:pPr>
          <w:pStyle w:val="Footer"/>
          <w:framePr w:wrap="none" w:vAnchor="text" w:hAnchor="margin" w:xAlign="center" w:y="1"/>
          <w:rPr>
            <w:rStyle w:val="PageNumber"/>
            <w:rFonts w:ascii="Times New Roman" w:hAnsi="Times New Roman" w:cs="Times New Roman"/>
          </w:rPr>
        </w:pPr>
        <w:r w:rsidRPr="00DE725C">
          <w:rPr>
            <w:rStyle w:val="PageNumber"/>
            <w:rFonts w:ascii="Times New Roman" w:hAnsi="Times New Roman" w:cs="Times New Roman"/>
          </w:rPr>
          <w:fldChar w:fldCharType="begin"/>
        </w:r>
        <w:r w:rsidRPr="00DE725C">
          <w:rPr>
            <w:rStyle w:val="PageNumber"/>
            <w:rFonts w:ascii="Times New Roman" w:hAnsi="Times New Roman" w:cs="Times New Roman"/>
          </w:rPr>
          <w:instrText xml:space="preserve"> PAGE </w:instrText>
        </w:r>
        <w:r w:rsidRPr="00DE725C">
          <w:rPr>
            <w:rStyle w:val="PageNumber"/>
            <w:rFonts w:ascii="Times New Roman" w:hAnsi="Times New Roman" w:cs="Times New Roman"/>
          </w:rPr>
          <w:fldChar w:fldCharType="separate"/>
        </w:r>
        <w:r w:rsidRPr="00DE725C">
          <w:rPr>
            <w:rStyle w:val="PageNumber"/>
            <w:rFonts w:ascii="Times New Roman" w:hAnsi="Times New Roman" w:cs="Times New Roman"/>
            <w:noProof/>
          </w:rPr>
          <w:t>1</w:t>
        </w:r>
        <w:r w:rsidRPr="00DE725C">
          <w:rPr>
            <w:rStyle w:val="PageNumber"/>
            <w:rFonts w:ascii="Times New Roman" w:hAnsi="Times New Roman" w:cs="Times New Roman"/>
          </w:rPr>
          <w:fldChar w:fldCharType="end"/>
        </w:r>
      </w:p>
    </w:sdtContent>
  </w:sdt>
  <w:p w14:paraId="5A01F789" w14:textId="77777777" w:rsidR="00DE725C" w:rsidRDefault="00DE7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3D1AF9" w14:textId="77777777" w:rsidR="003B66DC" w:rsidRDefault="003B66DC" w:rsidP="00DE725C">
      <w:r>
        <w:separator/>
      </w:r>
    </w:p>
  </w:footnote>
  <w:footnote w:type="continuationSeparator" w:id="0">
    <w:p w14:paraId="029C4E17" w14:textId="77777777" w:rsidR="003B66DC" w:rsidRDefault="003B66DC" w:rsidP="00DE72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tal_Editing_Time" w:val="0"/>
  </w:docVars>
  <w:rsids>
    <w:rsidRoot w:val="003B690D"/>
    <w:rsid w:val="00007B2D"/>
    <w:rsid w:val="000A3637"/>
    <w:rsid w:val="000A6F8B"/>
    <w:rsid w:val="002E6F48"/>
    <w:rsid w:val="002F7AFF"/>
    <w:rsid w:val="00325026"/>
    <w:rsid w:val="00385710"/>
    <w:rsid w:val="003B66DC"/>
    <w:rsid w:val="003B690D"/>
    <w:rsid w:val="00474457"/>
    <w:rsid w:val="004E4A8A"/>
    <w:rsid w:val="00586A4A"/>
    <w:rsid w:val="00610502"/>
    <w:rsid w:val="0074279A"/>
    <w:rsid w:val="007E1D4E"/>
    <w:rsid w:val="008421F6"/>
    <w:rsid w:val="008858B6"/>
    <w:rsid w:val="00984E92"/>
    <w:rsid w:val="00A775D7"/>
    <w:rsid w:val="00AD7045"/>
    <w:rsid w:val="00B92C39"/>
    <w:rsid w:val="00BB4E53"/>
    <w:rsid w:val="00C16E84"/>
    <w:rsid w:val="00CD00E2"/>
    <w:rsid w:val="00D3243F"/>
    <w:rsid w:val="00DD0922"/>
    <w:rsid w:val="00DE725C"/>
    <w:rsid w:val="00E72BC7"/>
    <w:rsid w:val="00ED6A47"/>
    <w:rsid w:val="00FA5F9B"/>
    <w:rsid w:val="00FA644C"/>
    <w:rsid w:val="00FB51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C56D3"/>
  <w15:chartTrackingRefBased/>
  <w15:docId w15:val="{0A1A99A4-CAEC-C249-AB38-4F0C4266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B690D"/>
    <w:rPr>
      <w:sz w:val="16"/>
      <w:szCs w:val="16"/>
    </w:rPr>
  </w:style>
  <w:style w:type="paragraph" w:styleId="CommentText">
    <w:name w:val="annotation text"/>
    <w:basedOn w:val="Normal"/>
    <w:link w:val="CommentTextChar"/>
    <w:uiPriority w:val="99"/>
    <w:unhideWhenUsed/>
    <w:rsid w:val="003B690D"/>
    <w:rPr>
      <w:sz w:val="20"/>
      <w:szCs w:val="20"/>
    </w:rPr>
  </w:style>
  <w:style w:type="character" w:customStyle="1" w:styleId="CommentTextChar">
    <w:name w:val="Comment Text Char"/>
    <w:basedOn w:val="DefaultParagraphFont"/>
    <w:link w:val="CommentText"/>
    <w:uiPriority w:val="99"/>
    <w:rsid w:val="003B690D"/>
    <w:rPr>
      <w:sz w:val="20"/>
      <w:szCs w:val="20"/>
    </w:rPr>
  </w:style>
  <w:style w:type="paragraph" w:styleId="BalloonText">
    <w:name w:val="Balloon Text"/>
    <w:basedOn w:val="Normal"/>
    <w:link w:val="BalloonTextChar"/>
    <w:uiPriority w:val="99"/>
    <w:semiHidden/>
    <w:unhideWhenUsed/>
    <w:rsid w:val="003B69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B690D"/>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CD00E2"/>
    <w:rPr>
      <w:b/>
      <w:bCs/>
    </w:rPr>
  </w:style>
  <w:style w:type="character" w:customStyle="1" w:styleId="CommentSubjectChar">
    <w:name w:val="Comment Subject Char"/>
    <w:basedOn w:val="CommentTextChar"/>
    <w:link w:val="CommentSubject"/>
    <w:uiPriority w:val="99"/>
    <w:semiHidden/>
    <w:rsid w:val="00CD00E2"/>
    <w:rPr>
      <w:b/>
      <w:bCs/>
      <w:sz w:val="20"/>
      <w:szCs w:val="20"/>
    </w:rPr>
  </w:style>
  <w:style w:type="paragraph" w:styleId="Footer">
    <w:name w:val="footer"/>
    <w:basedOn w:val="Normal"/>
    <w:link w:val="FooterChar"/>
    <w:uiPriority w:val="99"/>
    <w:unhideWhenUsed/>
    <w:rsid w:val="00DE725C"/>
    <w:pPr>
      <w:tabs>
        <w:tab w:val="center" w:pos="4513"/>
        <w:tab w:val="right" w:pos="9026"/>
      </w:tabs>
    </w:pPr>
  </w:style>
  <w:style w:type="character" w:customStyle="1" w:styleId="FooterChar">
    <w:name w:val="Footer Char"/>
    <w:basedOn w:val="DefaultParagraphFont"/>
    <w:link w:val="Footer"/>
    <w:uiPriority w:val="99"/>
    <w:rsid w:val="00DE725C"/>
  </w:style>
  <w:style w:type="character" w:styleId="PageNumber">
    <w:name w:val="page number"/>
    <w:basedOn w:val="DefaultParagraphFont"/>
    <w:uiPriority w:val="99"/>
    <w:semiHidden/>
    <w:unhideWhenUsed/>
    <w:rsid w:val="00DE725C"/>
  </w:style>
  <w:style w:type="paragraph" w:styleId="Header">
    <w:name w:val="header"/>
    <w:basedOn w:val="Normal"/>
    <w:link w:val="HeaderChar"/>
    <w:uiPriority w:val="99"/>
    <w:unhideWhenUsed/>
    <w:rsid w:val="00DE725C"/>
    <w:pPr>
      <w:tabs>
        <w:tab w:val="center" w:pos="4513"/>
        <w:tab w:val="right" w:pos="9026"/>
      </w:tabs>
    </w:pPr>
  </w:style>
  <w:style w:type="character" w:customStyle="1" w:styleId="HeaderChar">
    <w:name w:val="Header Char"/>
    <w:basedOn w:val="DefaultParagraphFont"/>
    <w:link w:val="Header"/>
    <w:uiPriority w:val="99"/>
    <w:rsid w:val="00DE7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4A9C2-7404-1A47-AC18-BA603EC4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737</Words>
  <Characters>4401</Characters>
  <Application>Microsoft Office Word</Application>
  <DocSecurity>0</DocSecurity>
  <Lines>84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Lyskjaer, Iben</dc:creator>
  <cp:keywords/>
  <dc:description/>
  <cp:lastModifiedBy>Praveena VS</cp:lastModifiedBy>
  <cp:revision>7</cp:revision>
  <dcterms:created xsi:type="dcterms:W3CDTF">2021-03-17T14:43:00Z</dcterms:created>
  <dcterms:modified xsi:type="dcterms:W3CDTF">2021-03-29T10:31:00Z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dbe49ae2-bad1-312b-8ce0-6ebda1b23697</vt:lpwstr>
  </property>
  <property fmtid="{D5CDD505-2E9C-101B-9397-08002B2CF9AE}" pid="24" name="Mendeley Citation Style_1">
    <vt:lpwstr>http://www.zotero.org/styles/nature</vt:lpwstr>
  </property>
</Properties>
</file>