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distinguishes the preserved original analysis, the expanded same-source comparison and the new public-source characterization. The original protocols and computations remain available in the Research Square version 1 archive. New calculations and metadata corrections are supplied with this revision; the old archive is not presented as containing them.</w:t>
      </w:r>
    </w:p>
    <w:p>
      <w:pPr>
        <w:pStyle w:val="Heading1"/>
      </w:pPr>
      <w:r>
        <w:t>Scope and chronology</w:t>
      </w:r>
    </w:p>
    <w:p>
      <w:r>
        <w:rPr>
          <w:b w:val="0"/>
        </w:rPr>
        <w:t>The original fixed panel and comparator rule preceded inspection of target values in the Hofvander cohort. The primary types were MLPS, LGFMS and synovial sarcoma, with separate MFS, DFSP, SFT and desmoid contexts. The September 19 extension broadened the descriptive atlas and malignant-category reference after those results were known. A dated amendment made the all-specimen rank test the leading analysis after an earlier year-conditioned run. It is exploratory, not preregistered. Bonferroni correction applies to the 11 retained genes and does not remove all consequences of retrospective analysis choices.</w:t>
      </w:r>
    </w:p>
    <w:p>
      <w:r>
        <w:rPr>
          <w:b w:val="0"/>
        </w:rPr>
        <w:t>External source plans were recorded before new expression analysis. Treehouse metadata review found 11 cross-project NCI donor aliases after the first gene slices were obtained but before expression summaries. The same expression-blind ranking rule was applied to the corrected identities. Boudin diagnosis mapping was frozen before reading its CSPG4 column. Modern GEO selection preceded extraction. GSE234092 required a header-based mapping amendment because its matrix column names differ from GEO titles. OpenPedCan specimen selection preceded remote extraction. One parental-tumor provenance exclusion was communicated from metadata review before the root read its expression values and recorded afterward. No specimen was selected or excluded because of a favorable CSPG4 value.</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The previously reported IDs 104-92, 168-97 and 536-00 map to historical MDB9736 cases 3, 4 and 7. The fourth excluded EMC specimen, 5081-14, is a local recurrence. No patient date is inferred from an identifier suffix. Original diagnoses, publication flags and specimen exceptions are retained in the supplied eligibility manifest.</w:t>
      </w: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The exact null distribution uses doubled midranks so ties retain their integer multiplicity.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nine observed CSPG4 values in increasing order are 10.14, 12.77, 41.41, 48.92, 54.18, 58.20, 63.98, 90.14 and 207.08 TPM.</w:t>
      </w:r>
    </w:p>
    <w:p>
      <w:pPr>
        <w:pStyle w:val="Heading1"/>
      </w:pPr>
      <w:r>
        <w:t>Original panel rule and retained adverse checks</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CHRNA6 was discovered using GSE24369, so its reanalysis there is not independent discovery validation.</w:t>
      </w:r>
    </w:p>
    <w:p>
      <w:r>
        <w:rPr>
          <w:b w:val="0"/>
        </w:rPr>
        <w:t>HPA records distinguish normal RNA, IHC and ICC/IF, with reliability warnings and missing records preserved. HPA normalized TPM is not directly divided into tumor TPM to estimate safety. GSE28866 contains four EMC library/STT records whose patient independence is not established; its selected 3SEQ peaks are a different quantity. A normal-colon value exceeds the lowest EMC library value. The PRAME workbook SHA256 is 20b4bd1243be22e4eee2da7470da986091f91cc4959fa416708748ba99187ca7. Sheet 1 rows 128–132 contain five EMC cases, all negative in both reader columns with antibody QR005. Four have recorded molecular support; the fifth lacks a recorded ancillary method. Blank percentage fields were not turned into measurements.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We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we do not relabel it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We followed its original diagnosis metadata rather than an inconsistent secondary description. GSE71118 reuses 303 of 312 records from GSE21050 and was not counted as 312 additional independent tumors. The large ORIEN sarcoma collection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Original panel effects and all deletion results remain in the historical-analysis subfolder and the original public archive.</w:t>
      </w:r>
    </w:p>
    <w:p>
      <w:r>
        <w:rPr>
          <w:b w:val="0"/>
        </w:rPr>
        <w:t>The original reproducibility archive has SHA256 56e089a6b39b9d5d5140a4185987778803359ab1154d26beb882d6e6197f3ea6. Its original-source checks and offline replay are historical accepted evidence for those exact inputs; they were not repeated to validate the new data. 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59.095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 These contexts remain visible regardless of whether they weaken an EMC-specific interpretation.</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